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320B1">
      <w:pPr>
        <w:keepNext w:val="0"/>
        <w:keepLines w:val="0"/>
        <w:pageBreakBefore w:val="0"/>
        <w:widowControl/>
        <w:kinsoku/>
        <w:wordWrap w:val="0"/>
        <w:overflowPunct/>
        <w:topLinePunct w:val="0"/>
        <w:autoSpaceDE/>
        <w:autoSpaceDN/>
        <w:bidi w:val="0"/>
        <w:adjustRightInd/>
        <w:snapToGrid/>
        <w:spacing w:before="0" w:after="0" w:line="360" w:lineRule="auto"/>
        <w:ind w:right="-34" w:rightChars="-16"/>
        <w:jc w:val="center"/>
        <w:textAlignment w:val="auto"/>
        <w:outlineLvl w:val="9"/>
        <w:rPr>
          <w:rFonts w:hint="eastAsia" w:ascii="宋体" w:hAnsi="宋体" w:eastAsia="宋体" w:cs="Times New Roman"/>
          <w:color w:val="auto"/>
          <w:kern w:val="0"/>
          <w:sz w:val="36"/>
          <w:szCs w:val="36"/>
          <w:highlight w:val="none"/>
          <w:lang w:val="en-US" w:eastAsia="zh-CN" w:bidi="ar-SA"/>
        </w:rPr>
      </w:pPr>
      <w:bookmarkStart w:id="0" w:name="_Toc221949901"/>
      <w:bookmarkStart w:id="1" w:name="_Toc221949902"/>
      <w:r>
        <w:rPr>
          <w:rFonts w:hint="eastAsia" w:ascii="宋体" w:hAnsi="宋体" w:eastAsia="宋体" w:cs="Times New Roman"/>
          <w:b/>
          <w:bCs/>
          <w:color w:val="auto"/>
          <w:kern w:val="0"/>
          <w:sz w:val="44"/>
          <w:szCs w:val="44"/>
          <w:highlight w:val="none"/>
          <w:lang w:val="en-US" w:eastAsia="zh-CN" w:bidi="ar-SA"/>
        </w:rPr>
        <w:t>驻马店市薄山水库除险加固工程（一期）</w:t>
      </w:r>
      <w:r>
        <w:rPr>
          <w:rFonts w:hint="eastAsia" w:ascii="宋体" w:hAnsi="宋体" w:eastAsia="宋体" w:cs="Times New Roman"/>
          <w:b/>
          <w:bCs/>
          <w:color w:val="auto"/>
          <w:kern w:val="0"/>
          <w:sz w:val="40"/>
          <w:szCs w:val="40"/>
          <w:highlight w:val="none"/>
          <w:lang w:val="en-US" w:eastAsia="zh-CN" w:bidi="ar-SA"/>
        </w:rPr>
        <w:t>（二次）</w:t>
      </w:r>
    </w:p>
    <w:p w14:paraId="272D49C7">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b/>
          <w:bCs/>
          <w:color w:val="auto"/>
          <w:kern w:val="0"/>
          <w:sz w:val="40"/>
          <w:szCs w:val="40"/>
          <w:highlight w:val="none"/>
          <w:lang w:val="en-US" w:eastAsia="zh-CN" w:bidi="ar-SA"/>
        </w:rPr>
      </w:pPr>
    </w:p>
    <w:p w14:paraId="7196AEAF">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40"/>
          <w:szCs w:val="40"/>
          <w:highlight w:val="none"/>
          <w:lang w:val="en-US" w:eastAsia="zh-CN" w:bidi="ar-SA"/>
        </w:rPr>
        <w:t>（第五标段：机电设备购置标段）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firstLine="3373" w:firstLineChars="1200"/>
        <w:jc w:val="both"/>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项目编号：ZMD2026-038</w:t>
      </w:r>
    </w:p>
    <w:p w14:paraId="09E9901A">
      <w:pPr>
        <w:widowControl/>
        <w:spacing w:after="120"/>
        <w:jc w:val="left"/>
        <w:rPr>
          <w:rFonts w:hint="eastAsia" w:ascii="宋体" w:hAnsi="宋体" w:eastAsia="宋体" w:cs="宋体"/>
          <w:b/>
          <w:color w:val="auto"/>
          <w:kern w:val="0"/>
          <w:sz w:val="28"/>
          <w:szCs w:val="28"/>
          <w:highlight w:val="none"/>
          <w:lang w:val="en-US" w:eastAsia="zh-CN" w:bidi="ar-SA"/>
        </w:rPr>
      </w:pPr>
    </w:p>
    <w:p w14:paraId="631A8C10">
      <w:pPr>
        <w:widowControl/>
        <w:jc w:val="left"/>
        <w:rPr>
          <w:rFonts w:hint="eastAsia" w:ascii="Calibri" w:hAnsi="Calibri" w:eastAsia="宋体" w:cs="Times New Roman"/>
          <w:color w:val="auto"/>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lang w:val="en-US" w:eastAsia="zh-CN" w:bidi="ar-SA"/>
        </w:rPr>
        <w:drawing>
          <wp:inline distT="0" distB="0" distL="114300" distR="114300">
            <wp:extent cx="2494280" cy="2243455"/>
            <wp:effectExtent l="0" t="0" r="1270" b="4445"/>
            <wp:docPr id="4"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5a78228779e97083ae3a88ca3fd9488"/>
                    <pic:cNvPicPr>
                      <a:picLocks noChangeAspect="1"/>
                    </pic:cNvPicPr>
                  </pic:nvPicPr>
                  <pic:blipFill>
                    <a:blip r:embed="rId9"/>
                    <a:stretch>
                      <a:fillRect/>
                    </a:stretch>
                  </pic:blipFill>
                  <pic:spPr>
                    <a:xfrm>
                      <a:off x="0" y="0"/>
                      <a:ext cx="2494280" cy="2243455"/>
                    </a:xfrm>
                    <a:prstGeom prst="rect">
                      <a:avLst/>
                    </a:prstGeom>
                    <a:noFill/>
                    <a:ln>
                      <a:noFill/>
                    </a:ln>
                  </pic:spPr>
                </pic:pic>
              </a:graphicData>
            </a:graphic>
          </wp:inline>
        </w:drawing>
      </w:r>
    </w:p>
    <w:p w14:paraId="6B47DAFE">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0"/>
          <w:sz w:val="32"/>
          <w:szCs w:val="32"/>
          <w:highlight w:val="none"/>
        </w:rPr>
      </w:pPr>
      <w:bookmarkStart w:id="1168" w:name="_GoBack"/>
      <w:bookmarkEnd w:id="1168"/>
    </w:p>
    <w:p w14:paraId="29A8AB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sz w:val="36"/>
          <w:szCs w:val="36"/>
          <w:lang w:val="en-US" w:eastAsia="zh-CN"/>
        </w:rPr>
        <w:drawing>
          <wp:anchor distT="0" distB="0" distL="114300" distR="114300" simplePos="0" relativeHeight="251660288" behindDoc="1" locked="0" layoutInCell="1" allowOverlap="1">
            <wp:simplePos x="0" y="0"/>
            <wp:positionH relativeFrom="column">
              <wp:posOffset>1841500</wp:posOffset>
            </wp:positionH>
            <wp:positionV relativeFrom="paragraph">
              <wp:posOffset>241300</wp:posOffset>
            </wp:positionV>
            <wp:extent cx="4131310" cy="942340"/>
            <wp:effectExtent l="0" t="0" r="0" b="0"/>
            <wp:wrapNone/>
            <wp:docPr id="5" name="图片 5"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jivhkcjX_副本透明"/>
                    <pic:cNvPicPr>
                      <a:picLocks noChangeAspect="1"/>
                    </pic:cNvPicPr>
                  </pic:nvPicPr>
                  <pic:blipFill>
                    <a:blip r:embed="rId10"/>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736757694"/>
        </w:rPr>
        <w:t>招标</w:t>
      </w:r>
      <w:r>
        <w:rPr>
          <w:rFonts w:hint="eastAsia" w:ascii="宋体" w:hAnsi="宋体" w:eastAsia="宋体" w:cs="宋体"/>
          <w:b/>
          <w:bCs/>
          <w:color w:val="auto"/>
          <w:spacing w:val="0"/>
          <w:kern w:val="0"/>
          <w:sz w:val="32"/>
          <w:szCs w:val="32"/>
          <w:highlight w:val="none"/>
          <w:fitText w:val="1920" w:id="736757694"/>
        </w:rPr>
        <w:t>人</w:t>
      </w:r>
      <w:r>
        <w:rPr>
          <w:rFonts w:hint="eastAsia" w:ascii="宋体" w:hAnsi="宋体" w:eastAsia="宋体" w:cs="宋体"/>
          <w:b/>
          <w:bCs/>
          <w:color w:val="auto"/>
          <w:kern w:val="44"/>
          <w:sz w:val="32"/>
          <w:szCs w:val="32"/>
          <w:highlight w:val="none"/>
        </w:rPr>
        <w:t>：</w:t>
      </w:r>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835995470"/>
          <w:lang w:val="en-US" w:eastAsia="zh-CN"/>
        </w:rPr>
        <w:t>招标</w:t>
      </w:r>
      <w:r>
        <w:rPr>
          <w:rFonts w:hint="eastAsia" w:ascii="宋体" w:hAnsi="宋体" w:eastAsia="宋体" w:cs="宋体"/>
          <w:b/>
          <w:bCs/>
          <w:color w:val="auto"/>
          <w:spacing w:val="0"/>
          <w:kern w:val="0"/>
          <w:sz w:val="32"/>
          <w:szCs w:val="32"/>
          <w:highlight w:val="none"/>
          <w:fitText w:val="1920" w:id="835995470"/>
        </w:rPr>
        <w:t>代理机构</w:t>
      </w:r>
      <w:r>
        <w:rPr>
          <w:rFonts w:hint="eastAsia" w:ascii="宋体" w:hAnsi="宋体" w:eastAsia="宋体" w:cs="宋体"/>
          <w:b/>
          <w:bCs/>
          <w:color w:val="auto"/>
          <w:kern w:val="44"/>
          <w:sz w:val="32"/>
          <w:szCs w:val="32"/>
          <w:highlight w:val="none"/>
        </w:rPr>
        <w:t>：</w:t>
      </w:r>
    </w:p>
    <w:p w14:paraId="234893BB">
      <w:pPr>
        <w:widowControl/>
        <w:tabs>
          <w:tab w:val="left" w:pos="1060"/>
        </w:tabs>
        <w:spacing w:before="100" w:beforeAutospacing="1" w:after="100" w:afterAutospacing="1" w:line="360" w:lineRule="auto"/>
        <w:ind w:left="1073" w:leftChars="503" w:hanging="17"/>
        <w:jc w:val="left"/>
        <w:rPr>
          <w:rFonts w:hint="eastAsia" w:ascii="宋体" w:hAnsi="宋体" w:eastAsia="宋体" w:cs="宋体"/>
          <w:b/>
          <w:bCs/>
          <w:color w:val="auto"/>
          <w:sz w:val="32"/>
          <w:szCs w:val="32"/>
          <w:highlight w:val="none"/>
          <w:u w:val="none"/>
        </w:rPr>
      </w:pPr>
      <w:r>
        <w:rPr>
          <w:rFonts w:hint="eastAsia" w:ascii="宋体" w:hAnsi="宋体" w:eastAsia="宋体" w:cs="宋体"/>
          <w:b/>
          <w:bCs/>
          <w:color w:val="auto"/>
          <w:spacing w:val="640"/>
          <w:kern w:val="0"/>
          <w:sz w:val="32"/>
          <w:szCs w:val="32"/>
          <w:highlight w:val="none"/>
          <w:fitText w:val="1920" w:id="1775533792"/>
        </w:rPr>
        <w:t>日</w:t>
      </w:r>
      <w:r>
        <w:rPr>
          <w:rFonts w:hint="eastAsia" w:ascii="宋体" w:hAnsi="宋体" w:eastAsia="宋体" w:cs="宋体"/>
          <w:b/>
          <w:bCs/>
          <w:color w:val="auto"/>
          <w:spacing w:val="0"/>
          <w:kern w:val="0"/>
          <w:sz w:val="32"/>
          <w:szCs w:val="32"/>
          <w:highlight w:val="none"/>
          <w:fitText w:val="1920" w:id="1775533792"/>
        </w:rPr>
        <w:t>期</w:t>
      </w:r>
      <w:r>
        <w:rPr>
          <w:rFonts w:hint="eastAsia" w:ascii="宋体" w:hAnsi="宋体" w:eastAsia="宋体" w:cs="宋体"/>
          <w:b/>
          <w:bCs/>
          <w:color w:val="auto"/>
          <w:kern w:val="44"/>
          <w:sz w:val="32"/>
          <w:szCs w:val="32"/>
          <w:highlight w:val="none"/>
        </w:rPr>
        <w:t>：</w:t>
      </w:r>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eastAsia="zh-CN"/>
        </w:rPr>
        <w:t>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九</w:t>
      </w:r>
      <w:r>
        <w:rPr>
          <w:rFonts w:hint="eastAsia" w:ascii="宋体" w:hAnsi="宋体" w:eastAsia="宋体" w:cs="宋体"/>
          <w:b/>
          <w:bCs/>
          <w:color w:val="auto"/>
          <w:sz w:val="32"/>
          <w:szCs w:val="32"/>
          <w:highlight w:val="none"/>
          <w:u w:val="none"/>
        </w:rPr>
        <w:t>月</w:t>
      </w:r>
    </w:p>
    <w:p w14:paraId="56EABD29">
      <w:pPr>
        <w:spacing w:line="400" w:lineRule="exact"/>
        <w:ind w:right="-34" w:rightChars="-16"/>
        <w:jc w:val="center"/>
        <w:rPr>
          <w:rFonts w:hint="eastAsia" w:ascii="宋体" w:hAnsi="宋体" w:eastAsia="宋体" w:cs="宋体"/>
          <w:b/>
          <w:color w:val="auto"/>
          <w:sz w:val="36"/>
          <w:szCs w:val="36"/>
          <w:highlight w:val="none"/>
        </w:rPr>
        <w:sectPr>
          <w:pgSz w:w="11906" w:h="16838"/>
          <w:pgMar w:top="1417" w:right="1417" w:bottom="1417" w:left="1417" w:header="851" w:footer="992" w:gutter="0"/>
          <w:pgNumType w:fmt="decimal"/>
          <w:cols w:space="720" w:num="1"/>
          <w:rtlGutter w:val="0"/>
          <w:docGrid w:type="lines" w:linePitch="312" w:charSpace="0"/>
        </w:sectPr>
      </w:pPr>
    </w:p>
    <w:p w14:paraId="662148C3">
      <w:pPr>
        <w:widowControl/>
        <w:spacing w:line="400" w:lineRule="exact"/>
        <w:ind w:right="-34" w:rightChars="-16"/>
        <w:jc w:val="center"/>
        <w:rPr>
          <w:rFonts w:hint="eastAsia" w:ascii="宋体" w:hAnsi="宋体" w:eastAsia="宋体" w:cs="宋体"/>
          <w:color w:val="auto"/>
          <w:sz w:val="40"/>
          <w:szCs w:val="28"/>
          <w:highlight w:val="none"/>
        </w:rPr>
      </w:pPr>
      <w:r>
        <w:rPr>
          <w:rFonts w:hint="eastAsia" w:ascii="宋体" w:hAnsi="宋体" w:eastAsia="宋体" w:cs="宋体"/>
          <w:b/>
          <w:color w:val="auto"/>
          <w:sz w:val="36"/>
          <w:szCs w:val="36"/>
          <w:highlight w:val="none"/>
        </w:rPr>
        <w:t>招标代理项目部人员组成</w:t>
      </w:r>
    </w:p>
    <w:p w14:paraId="165BCCAE">
      <w:pPr>
        <w:widowControl/>
        <w:tabs>
          <w:tab w:val="left" w:pos="899"/>
        </w:tabs>
        <w:spacing w:line="360" w:lineRule="auto"/>
        <w:ind w:right="-34" w:rightChars="-16"/>
        <w:jc w:val="left"/>
        <w:rPr>
          <w:rFonts w:hint="eastAsia" w:ascii="宋体" w:hAnsi="宋体" w:eastAsia="宋体" w:cs="宋体"/>
          <w:color w:val="auto"/>
          <w:sz w:val="32"/>
          <w:szCs w:val="32"/>
          <w:highlight w:val="none"/>
        </w:rPr>
      </w:pPr>
    </w:p>
    <w:p w14:paraId="4A816746">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一、项目负责人：</w:t>
      </w:r>
      <w:r>
        <w:rPr>
          <w:rFonts w:hint="eastAsia" w:ascii="宋体" w:hAnsi="宋体" w:eastAsia="宋体" w:cs="宋体"/>
          <w:sz w:val="32"/>
          <w:szCs w:val="32"/>
          <w:u w:val="single"/>
        </w:rPr>
        <w:t xml:space="preserve"> 刘学盈 </w:t>
      </w:r>
    </w:p>
    <w:p w14:paraId="2DF0FEB2">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（建设类注册执业（职业）资格证号：</w:t>
      </w:r>
      <w:r>
        <w:rPr>
          <w:rFonts w:hint="eastAsia" w:ascii="宋体" w:hAnsi="宋体" w:eastAsia="宋体" w:cs="宋体"/>
          <w:sz w:val="32"/>
          <w:szCs w:val="32"/>
          <w:u w:val="single"/>
        </w:rPr>
        <w:t>建【造】11224100010068</w:t>
      </w:r>
      <w:r>
        <w:rPr>
          <w:rFonts w:hint="eastAsia" w:ascii="宋体" w:hAnsi="宋体" w:eastAsia="宋体" w:cs="宋体"/>
          <w:sz w:val="32"/>
          <w:szCs w:val="32"/>
        </w:rPr>
        <w:t>）</w:t>
      </w:r>
    </w:p>
    <w:p w14:paraId="036A6563">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二、其他人员</w:t>
      </w:r>
    </w:p>
    <w:p w14:paraId="0F3EBA9E">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1、姓名： </w:t>
      </w:r>
      <w:r>
        <w:rPr>
          <w:rFonts w:hint="eastAsia" w:ascii="宋体" w:hAnsi="宋体" w:eastAsia="宋体" w:cs="宋体"/>
          <w:sz w:val="32"/>
          <w:szCs w:val="32"/>
          <w:u w:val="single"/>
        </w:rPr>
        <w:t>马  强</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招标代理从业资格证Z4501004634</w:t>
      </w:r>
    </w:p>
    <w:p w14:paraId="4804D4BE">
      <w:pPr>
        <w:widowControl/>
        <w:spacing w:line="600" w:lineRule="auto"/>
        <w:ind w:left="840" w:leftChars="400"/>
        <w:jc w:val="left"/>
        <w:rPr>
          <w:rFonts w:hint="eastAsia" w:ascii="宋体" w:hAnsi="宋体" w:eastAsia="宋体" w:cs="宋体"/>
          <w:sz w:val="32"/>
          <w:szCs w:val="32"/>
          <w:u w:val="single"/>
        </w:rPr>
      </w:pPr>
      <w:r>
        <w:rPr>
          <w:rFonts w:hint="eastAsia" w:ascii="宋体" w:hAnsi="宋体" w:eastAsia="宋体" w:cs="宋体"/>
          <w:sz w:val="32"/>
          <w:szCs w:val="32"/>
        </w:rPr>
        <w:t xml:space="preserve">2、姓名： </w:t>
      </w:r>
      <w:r>
        <w:rPr>
          <w:rFonts w:hint="eastAsia" w:ascii="宋体" w:hAnsi="宋体" w:eastAsia="宋体" w:cs="宋体"/>
          <w:sz w:val="32"/>
          <w:szCs w:val="32"/>
          <w:u w:val="single"/>
        </w:rPr>
        <w:t>赵雅静</w:t>
      </w:r>
      <w:r>
        <w:rPr>
          <w:rFonts w:hint="eastAsia" w:ascii="宋体" w:hAnsi="宋体" w:eastAsia="宋体" w:cs="宋体"/>
          <w:sz w:val="32"/>
          <w:szCs w:val="32"/>
        </w:rPr>
        <w:t xml:space="preserve">  </w:t>
      </w:r>
      <w:r>
        <w:rPr>
          <w:rFonts w:hint="eastAsia" w:ascii="宋体" w:hAnsi="宋体" w:eastAsia="宋体" w:cs="宋体"/>
          <w:sz w:val="32"/>
          <w:szCs w:val="32"/>
          <w:u w:val="single"/>
        </w:rPr>
        <w:t xml:space="preserve"> 招标代理从业资格证Z45020221540</w:t>
      </w:r>
    </w:p>
    <w:p w14:paraId="0F43BAA6">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3、姓名： </w:t>
      </w:r>
      <w:r>
        <w:rPr>
          <w:rFonts w:hint="eastAsia" w:ascii="宋体" w:hAnsi="宋体" w:eastAsia="宋体" w:cs="宋体"/>
          <w:sz w:val="32"/>
          <w:szCs w:val="32"/>
          <w:u w:val="single"/>
        </w:rPr>
        <w:t>董国杰</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招标代理从业资格证Z45020211607</w:t>
      </w:r>
    </w:p>
    <w:p w14:paraId="5B23AE3A">
      <w:pPr>
        <w:autoSpaceDE/>
        <w:autoSpaceDN/>
        <w:adjustRightInd/>
        <w:spacing w:beforeLines="0" w:afterLines="0" w:line="240" w:lineRule="auto"/>
        <w:ind w:firstLine="964" w:firstLineChars="300"/>
        <w:jc w:val="both"/>
        <w:rPr>
          <w:rFonts w:hint="eastAsia" w:ascii="宋体" w:hAnsi="宋体" w:eastAsia="宋体" w:cs="宋体"/>
          <w:b/>
          <w:bCs/>
          <w:color w:val="auto"/>
          <w:sz w:val="32"/>
          <w:szCs w:val="32"/>
          <w:highlight w:val="none"/>
          <w:u w:val="none"/>
        </w:rPr>
        <w:sectPr>
          <w:footerReference r:id="rId3" w:type="default"/>
          <w:pgSz w:w="11906" w:h="16838"/>
          <w:pgMar w:top="1417" w:right="1417" w:bottom="1417" w:left="1417" w:header="851" w:footer="992" w:gutter="0"/>
          <w:pgNumType w:fmt="decimal" w:start="1"/>
          <w:cols w:space="720" w:num="1"/>
          <w:rtlGutter w:val="0"/>
          <w:docGrid w:type="lines" w:linePitch="312" w:charSpace="0"/>
        </w:sectPr>
      </w:pPr>
    </w:p>
    <w:bookmarkEnd w:id="0"/>
    <w:bookmarkEnd w:id="1"/>
    <w:p w14:paraId="1D747C92">
      <w:pPr>
        <w:widowControl/>
        <w:adjustRightInd w:val="0"/>
        <w:snapToGrid w:val="0"/>
        <w:spacing w:beforeLines="0" w:afterLines="0" w:line="360" w:lineRule="auto"/>
        <w:jc w:val="center"/>
        <w:rPr>
          <w:rFonts w:hint="eastAsia" w:ascii="宋体" w:hAnsi="宋体" w:eastAsia="宋体" w:cs="宋体"/>
          <w:b/>
          <w:bCs/>
          <w:color w:val="000000"/>
          <w:sz w:val="30"/>
          <w:szCs w:val="30"/>
          <w:highlight w:val="none"/>
        </w:rPr>
      </w:pPr>
      <w:bookmarkStart w:id="2" w:name="_Toc221949919"/>
      <w:r>
        <w:rPr>
          <w:rFonts w:hint="eastAsia" w:ascii="宋体" w:hAnsi="宋体" w:eastAsia="宋体" w:cs="宋体"/>
          <w:b/>
          <w:bCs/>
          <w:color w:val="000000"/>
          <w:sz w:val="30"/>
          <w:szCs w:val="30"/>
          <w:highlight w:val="none"/>
        </w:rPr>
        <w:t>目  录</w:t>
      </w:r>
    </w:p>
    <w:p w14:paraId="493C1A15">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TOC \o "1-1" \h \u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_Toc20625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_Toc20625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1</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39CAAFFE">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_Toc21719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第一章 招标公告</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_Toc21719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2B025FA6">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_Toc19138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第二章 投标人须知</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_Toc19138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7</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35E3194D">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_Toc21369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第三章 评标办法及定标办法</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_Toc21369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24</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505774E7">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_Toc25049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第四章 合同条款及格式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_Toc25049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32</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7E02DEB0">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_Toc17757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_Toc17757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51</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69F9F088">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_Toc5720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第五章 工程量清单及图纸</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_Toc5720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52</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2BFE5678">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_Toc31364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_Toc31364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53</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0696A415">
      <w:pPr>
        <w:keepNext w:val="0"/>
        <w:keepLines w:val="0"/>
        <w:pageBreakBefore w:val="0"/>
        <w:widowControl/>
        <w:tabs>
          <w:tab w:val="right" w:leader="dot" w:pos="8299"/>
        </w:tabs>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_Toc11164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第六章 投标文件格式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_Toc11164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54</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kern w:val="2"/>
          <w:sz w:val="24"/>
          <w:szCs w:val="24"/>
          <w:highlight w:val="none"/>
          <w:lang w:val="en-US" w:eastAsia="zh-CN" w:bidi="ar-SA"/>
        </w:rPr>
        <w:fldChar w:fldCharType="end"/>
      </w:r>
    </w:p>
    <w:p w14:paraId="3F1BF5FE">
      <w:pPr>
        <w:keepNext w:val="0"/>
        <w:keepLines w:val="0"/>
        <w:pageBreakBefore w:val="0"/>
        <w:widowControl/>
        <w:kinsoku/>
        <w:wordWrap/>
        <w:overflowPunct/>
        <w:topLinePunct w:val="0"/>
        <w:autoSpaceDE/>
        <w:autoSpaceDN/>
        <w:bidi w:val="0"/>
        <w:spacing w:after="0" w:line="360" w:lineRule="auto"/>
        <w:textAlignment w:val="auto"/>
        <w:rPr>
          <w:rFonts w:hint="eastAsia" w:ascii="宋体" w:hAnsi="宋体" w:eastAsia="宋体" w:cs="宋体"/>
          <w:kern w:val="2"/>
          <w:sz w:val="21"/>
          <w:szCs w:val="22"/>
          <w:highlight w:val="none"/>
          <w:lang w:val="en-US" w:eastAsia="zh-CN" w:bidi="ar-SA"/>
        </w:rPr>
      </w:pPr>
      <w:r>
        <w:rPr>
          <w:rFonts w:hint="eastAsia" w:ascii="宋体" w:hAnsi="宋体" w:eastAsia="宋体" w:cs="宋体"/>
          <w:b w:val="0"/>
          <w:bCs w:val="0"/>
          <w:kern w:val="2"/>
          <w:sz w:val="24"/>
          <w:szCs w:val="24"/>
          <w:highlight w:val="none"/>
          <w:lang w:val="en-US" w:eastAsia="zh-CN" w:bidi="ar-SA"/>
        </w:rPr>
        <w:fldChar w:fldCharType="end"/>
      </w:r>
    </w:p>
    <w:p w14:paraId="18DF2828">
      <w:pPr>
        <w:widowControl/>
        <w:spacing w:beforeLines="0" w:afterLines="0" w:line="240" w:lineRule="auto"/>
        <w:ind w:firstLine="0" w:firstLineChars="0"/>
        <w:jc w:val="left"/>
        <w:rPr>
          <w:rFonts w:hint="eastAsia" w:ascii="宋体" w:hAnsi="宋体" w:eastAsia="宋体" w:cs="宋体"/>
          <w:color w:val="000000"/>
          <w:sz w:val="24"/>
          <w:szCs w:val="24"/>
          <w:highlight w:val="none"/>
        </w:rPr>
      </w:pPr>
    </w:p>
    <w:p w14:paraId="031CB888">
      <w:pPr>
        <w:spacing w:beforeLines="0" w:afterLines="0" w:line="240" w:lineRule="auto"/>
        <w:ind w:firstLine="0" w:firstLineChars="0"/>
        <w:rPr>
          <w:rFonts w:hint="eastAsia" w:ascii="宋体" w:hAnsi="宋体" w:eastAsia="宋体" w:cs="宋体"/>
          <w:color w:val="000000"/>
          <w:sz w:val="24"/>
          <w:szCs w:val="24"/>
          <w:highlight w:val="none"/>
        </w:rPr>
        <w:sectPr>
          <w:headerReference r:id="rId4" w:type="default"/>
          <w:footerReference r:id="rId5" w:type="default"/>
          <w:pgSz w:w="11905" w:h="16838"/>
          <w:pgMar w:top="1440" w:right="1803" w:bottom="1440" w:left="1803" w:header="794" w:footer="794" w:gutter="0"/>
          <w:pgNumType w:start="1"/>
          <w:cols w:space="720" w:num="1"/>
          <w:docGrid w:linePitch="286" w:charSpace="0"/>
        </w:sectPr>
      </w:pPr>
    </w:p>
    <w:bookmarkEnd w:id="2"/>
    <w:p w14:paraId="71BE9A77">
      <w:pPr>
        <w:spacing w:beforeLines="0" w:after="0" w:afterLines="0" w:line="240" w:lineRule="auto"/>
        <w:rPr>
          <w:rFonts w:hint="eastAsia" w:ascii="宋体" w:hAnsi="宋体" w:eastAsia="宋体" w:cs="宋体"/>
          <w:color w:val="000000"/>
          <w:kern w:val="2"/>
          <w:sz w:val="24"/>
          <w:szCs w:val="24"/>
          <w:highlight w:val="none"/>
          <w:lang w:val="en-US" w:eastAsia="zh-CN" w:bidi="ar-SA"/>
        </w:rPr>
      </w:pPr>
      <w:bookmarkStart w:id="3" w:name="_Toc222032650"/>
      <w:bookmarkStart w:id="4" w:name="_Toc91344922"/>
      <w:bookmarkStart w:id="5" w:name="_Toc221950007"/>
      <w:bookmarkStart w:id="6" w:name="_Toc168476045"/>
      <w:bookmarkStart w:id="7" w:name="_Toc222030983"/>
      <w:bookmarkStart w:id="8" w:name="_Toc168475642"/>
      <w:bookmarkStart w:id="9" w:name="_Toc222029481"/>
      <w:bookmarkStart w:id="10" w:name="_Toc62034397"/>
      <w:bookmarkStart w:id="11" w:name="_Toc144974495"/>
      <w:bookmarkStart w:id="12" w:name="_Toc222033832"/>
      <w:bookmarkStart w:id="13" w:name="_Toc229305341"/>
    </w:p>
    <w:p w14:paraId="07F37504">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172CE468">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43DE3F6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7520874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94155C0">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3589D3A3">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5F08FF2">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2ED6C125">
      <w:pPr>
        <w:widowControl/>
        <w:spacing w:beforeLines="0" w:afterLines="0" w:line="240" w:lineRule="auto"/>
        <w:jc w:val="left"/>
        <w:rPr>
          <w:rFonts w:hint="eastAsia" w:ascii="宋体" w:hAnsi="宋体" w:eastAsia="宋体" w:cs="宋体"/>
          <w:szCs w:val="22"/>
          <w:highlight w:val="none"/>
        </w:rPr>
      </w:pPr>
    </w:p>
    <w:p w14:paraId="7879E58B">
      <w:pPr>
        <w:widowControl/>
        <w:spacing w:beforeLines="0" w:afterLines="0" w:line="240" w:lineRule="auto"/>
        <w:jc w:val="left"/>
        <w:rPr>
          <w:rFonts w:hint="eastAsia" w:ascii="宋体" w:hAnsi="宋体" w:eastAsia="宋体" w:cs="宋体"/>
          <w:szCs w:val="22"/>
          <w:highlight w:val="none"/>
        </w:rPr>
      </w:pPr>
    </w:p>
    <w:p w14:paraId="4AF68A33">
      <w:pPr>
        <w:widowControl/>
        <w:spacing w:beforeLines="0" w:afterLines="0" w:line="240" w:lineRule="auto"/>
        <w:jc w:val="left"/>
        <w:rPr>
          <w:rFonts w:hint="eastAsia" w:ascii="宋体" w:hAnsi="宋体" w:eastAsia="宋体" w:cs="宋体"/>
          <w:szCs w:val="22"/>
          <w:highlight w:val="none"/>
        </w:rPr>
      </w:pPr>
    </w:p>
    <w:p w14:paraId="014D4099">
      <w:pPr>
        <w:widowControl/>
        <w:spacing w:beforeLines="0" w:afterLines="0" w:line="240" w:lineRule="auto"/>
        <w:jc w:val="left"/>
        <w:rPr>
          <w:rFonts w:hint="eastAsia" w:ascii="宋体" w:hAnsi="宋体" w:eastAsia="宋体" w:cs="宋体"/>
          <w:szCs w:val="22"/>
          <w:highlight w:val="none"/>
        </w:rPr>
      </w:pPr>
    </w:p>
    <w:p w14:paraId="45A6A5AA">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14" w:name="_Toc19173"/>
      <w:bookmarkStart w:id="15" w:name="_Toc20625"/>
      <w:bookmarkStart w:id="16" w:name="_Toc15276"/>
      <w:bookmarkStart w:id="17" w:name="_Toc5303"/>
      <w:bookmarkStart w:id="18" w:name="_Toc91344920"/>
      <w:bookmarkStart w:id="19" w:name="_Toc62034395"/>
      <w:bookmarkStart w:id="20" w:name="_Toc15703"/>
      <w:bookmarkStart w:id="21" w:name="_Toc29130"/>
      <w:bookmarkStart w:id="22" w:name="_Toc332378823"/>
      <w:bookmarkStart w:id="23" w:name="_Toc25370"/>
      <w:bookmarkStart w:id="24" w:name="_Toc15688"/>
      <w:r>
        <w:rPr>
          <w:rFonts w:hint="eastAsia" w:ascii="宋体" w:hAnsi="宋体" w:eastAsia="宋体" w:cs="宋体"/>
          <w:b/>
          <w:bCs/>
          <w:kern w:val="44"/>
          <w:sz w:val="52"/>
          <w:szCs w:val="52"/>
          <w:highlight w:val="none"/>
          <w:lang w:val="en-US" w:eastAsia="zh-CN" w:bidi="ar-SA"/>
        </w:rPr>
        <w:t>第一卷</w:t>
      </w:r>
      <w:bookmarkEnd w:id="14"/>
      <w:bookmarkEnd w:id="15"/>
      <w:bookmarkEnd w:id="16"/>
      <w:bookmarkEnd w:id="17"/>
      <w:bookmarkEnd w:id="18"/>
      <w:bookmarkEnd w:id="19"/>
      <w:bookmarkEnd w:id="20"/>
      <w:bookmarkEnd w:id="21"/>
      <w:bookmarkEnd w:id="22"/>
      <w:bookmarkEnd w:id="23"/>
      <w:bookmarkEnd w:id="24"/>
    </w:p>
    <w:p w14:paraId="257FCBD5">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2F48E812">
      <w:pPr>
        <w:keepNext w:val="0"/>
        <w:keepLines w:val="0"/>
        <w:pageBreakBefore w:val="0"/>
        <w:widowControl/>
        <w:numPr>
          <w:ilvl w:val="-1"/>
          <w:numId w:val="0"/>
        </w:numPr>
        <w:kinsoku/>
        <w:wordWrap/>
        <w:overflowPunct/>
        <w:topLinePunct w:val="0"/>
        <w:autoSpaceDE/>
        <w:autoSpaceDN/>
        <w:bidi w:val="0"/>
        <w:adjustRightInd/>
        <w:snapToGrid/>
        <w:spacing w:beforeLines="0" w:afterLines="0" w:line="360" w:lineRule="auto"/>
        <w:jc w:val="center"/>
        <w:textAlignment w:val="auto"/>
        <w:outlineLvl w:val="0"/>
        <w:rPr>
          <w:rFonts w:hint="eastAsia" w:ascii="宋体" w:hAnsi="宋体" w:eastAsia="宋体" w:cs="宋体"/>
          <w:b/>
          <w:bCs/>
          <w:sz w:val="32"/>
          <w:szCs w:val="32"/>
          <w:highlight w:val="none"/>
          <w:lang w:val="en-US" w:eastAsia="zh-CN"/>
        </w:rPr>
      </w:pPr>
      <w:bookmarkStart w:id="25" w:name="_Toc14499"/>
      <w:bookmarkStart w:id="26" w:name="_Toc21136"/>
      <w:bookmarkStart w:id="27" w:name="_Toc12962"/>
      <w:bookmarkStart w:id="28" w:name="_Toc21719"/>
      <w:r>
        <w:rPr>
          <w:rFonts w:hint="eastAsia" w:ascii="宋体" w:hAnsi="宋体" w:eastAsia="宋体" w:cs="宋体"/>
          <w:b/>
          <w:bCs/>
          <w:sz w:val="32"/>
          <w:szCs w:val="32"/>
          <w:highlight w:val="none"/>
          <w:lang w:val="en-US" w:eastAsia="zh-CN"/>
        </w:rPr>
        <w:t>第一章 招标公告</w:t>
      </w:r>
      <w:bookmarkEnd w:id="25"/>
      <w:bookmarkEnd w:id="26"/>
      <w:bookmarkEnd w:id="27"/>
      <w:bookmarkEnd w:id="28"/>
    </w:p>
    <w:p w14:paraId="605D81F3">
      <w:pPr>
        <w:keepNext w:val="0"/>
        <w:keepLines w:val="0"/>
        <w:pageBreakBefore w:val="0"/>
        <w:widowControl w:val="0"/>
        <w:kinsoku/>
        <w:overflowPunct/>
        <w:topLinePunct w:val="0"/>
        <w:bidi w:val="0"/>
        <w:adjustRightInd/>
        <w:snapToGrid/>
        <w:spacing w:after="0" w:afterLines="0" w:line="360" w:lineRule="auto"/>
        <w:ind w:left="0" w:leftChars="0" w:firstLine="0" w:firstLineChars="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驻马店市薄山水库除险加固工程（一期）（二次）招标公告</w:t>
      </w:r>
    </w:p>
    <w:p w14:paraId="30B7C5ED">
      <w:pPr>
        <w:keepNext w:val="0"/>
        <w:keepLines w:val="0"/>
        <w:pageBreakBefore w:val="0"/>
        <w:widowControl/>
        <w:kinsoku/>
        <w:wordWrap w:val="0"/>
        <w:overflowPunct/>
        <w:topLinePunct w:val="0"/>
        <w:bidi w:val="0"/>
        <w:snapToGrid/>
        <w:spacing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w:t>
      </w:r>
      <w:r>
        <w:rPr>
          <w:rFonts w:hint="eastAsia" w:ascii="宋体" w:hAnsi="宋体" w:eastAsia="宋体" w:cs="宋体"/>
          <w:b/>
          <w:color w:val="auto"/>
          <w:kern w:val="0"/>
          <w:sz w:val="24"/>
          <w:szCs w:val="24"/>
          <w:highlight w:val="none"/>
          <w:lang w:val="en-US" w:eastAsia="zh-CN"/>
        </w:rPr>
        <w:t>ZMD2026-038</w:t>
      </w:r>
    </w:p>
    <w:p w14:paraId="18D7737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72E6A2D2">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驻马店市薄山水库除险加固工程（一期）（二次）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，现就本项目第四标段：金属结构设备购置标段和第五标段：机电设备购置标段进行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二次公开招标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2CF42ADA">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3CCE608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101C222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 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r>
        <w:rPr>
          <w:rFonts w:hint="eastAsia" w:ascii="宋体" w:hAnsi="宋体" w:eastAsia="宋体" w:cs="宋体"/>
          <w:b/>
          <w:bCs/>
          <w:color w:val="auto"/>
          <w:kern w:val="0"/>
          <w:sz w:val="21"/>
          <w:szCs w:val="21"/>
          <w:highlight w:val="none"/>
          <w:shd w:val="clear" w:color="auto" w:fill="FFFFFF"/>
          <w:lang w:val="en-US" w:eastAsia="zh-CN" w:bidi="ar"/>
        </w:rPr>
        <w:t>本次招标其中的第四标段：金属结构设备购置标段、第五标段：机电设备购置标段。</w:t>
      </w:r>
    </w:p>
    <w:p w14:paraId="38BED409">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 第四标段：金属结构设备购置标段相关要求</w:t>
      </w:r>
    </w:p>
    <w:p w14:paraId="3D9DF36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2.3.1质量要求：合格，符合国家、行业、地方规定相应的技术标准和规范要求。</w:t>
      </w:r>
    </w:p>
    <w:p w14:paraId="4C42FB14">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2.3.2供货期（服务期）：自合同签订之日起至竣工验收通过之日止（供货期按照监理人批准的供货计划实施）。</w:t>
      </w:r>
    </w:p>
    <w:p w14:paraId="190A1554">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6E8B6E89">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 第五标段：机电设备购置标段相关要求</w:t>
      </w:r>
    </w:p>
    <w:p w14:paraId="029FDE3A">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2.4.1质量要求：合格，符合国家、行业、地方规定相应的技术标准和规范要求。</w:t>
      </w:r>
    </w:p>
    <w:p w14:paraId="1FC2F145">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2.4.2供货期（服务期）：自合同签订之日起至竣工验收通过之日止（供货期按照监理人批准的供货计划实施）。</w:t>
      </w:r>
    </w:p>
    <w:p w14:paraId="7C3BFC55">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2.4.3招标范围：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p w14:paraId="1A41C0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default" w:ascii="宋体" w:hAnsi="宋体" w:eastAsia="宋体" w:cs="宋体"/>
          <w:b/>
          <w:bCs/>
          <w:color w:val="auto"/>
          <w:kern w:val="0"/>
          <w:sz w:val="21"/>
          <w:szCs w:val="21"/>
          <w:highlight w:val="yellow"/>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2.5 本项目采用评定分离方式确定中标人。</w:t>
      </w:r>
    </w:p>
    <w:p w14:paraId="56747F1B">
      <w:pPr>
        <w:keepNext w:val="0"/>
        <w:keepLines w:val="0"/>
        <w:pageBreakBefore w:val="0"/>
        <w:widowControl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3、投标人资格要求</w:t>
      </w:r>
    </w:p>
    <w:p w14:paraId="5A569A4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3.1金属结构设备购置标段、机电设备购置标段资格要求</w:t>
      </w:r>
    </w:p>
    <w:p w14:paraId="0D89953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3.1.1</w:t>
      </w:r>
      <w:r>
        <w:rPr>
          <w:rFonts w:hint="eastAsia" w:ascii="宋体" w:hAnsi="宋体" w:eastAsia="宋体" w:cs="宋体"/>
          <w:b/>
          <w:bCs/>
          <w:color w:val="auto"/>
          <w:kern w:val="0"/>
          <w:sz w:val="21"/>
          <w:szCs w:val="21"/>
          <w:highlight w:val="none"/>
          <w:shd w:val="clear" w:color="auto" w:fill="FFFFFF"/>
          <w:lang w:val="en-US" w:eastAsia="zh-CN" w:bidi="ar"/>
        </w:rPr>
        <w:t>第四标段：</w:t>
      </w:r>
      <w:r>
        <w:rPr>
          <w:rFonts w:hint="eastAsia" w:ascii="宋体" w:hAnsi="宋体" w:eastAsia="宋体" w:cs="宋体"/>
          <w:b/>
          <w:bCs/>
          <w:color w:val="auto"/>
          <w:kern w:val="2"/>
          <w:sz w:val="21"/>
          <w:szCs w:val="21"/>
          <w:highlight w:val="none"/>
          <w:lang w:val="en-US" w:eastAsia="zh-CN" w:bidi="ar-SA"/>
        </w:rPr>
        <w:t>金属结构设备购置标段</w:t>
      </w:r>
    </w:p>
    <w:p w14:paraId="31CEC711">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2"/>
          <w:sz w:val="21"/>
          <w:szCs w:val="21"/>
          <w:shd w:val="clear" w:color="auto" w:fill="FFFFFF"/>
          <w:lang w:val="en-US" w:eastAsia="zh-CN" w:bidi="ar"/>
        </w:rPr>
        <w:t>（1）</w:t>
      </w:r>
      <w:r>
        <w:rPr>
          <w:rFonts w:hint="eastAsia" w:ascii="宋体" w:hAnsi="宋体" w:eastAsia="宋体" w:cs="宋体"/>
          <w:color w:val="auto"/>
          <w:kern w:val="2"/>
          <w:sz w:val="21"/>
          <w:szCs w:val="21"/>
          <w:highlight w:val="none"/>
          <w:lang w:val="en-US" w:eastAsia="zh-CN" w:bidi="ar-SA"/>
        </w:rPr>
        <w:t>投标人须具有独立法人资格，</w:t>
      </w:r>
      <w:r>
        <w:rPr>
          <w:rFonts w:hint="eastAsia" w:ascii="宋体" w:hAnsi="宋体" w:eastAsia="宋体" w:cs="宋体"/>
          <w:strike w:val="0"/>
          <w:dstrike w:val="0"/>
          <w:color w:val="auto"/>
          <w:kern w:val="2"/>
          <w:sz w:val="21"/>
          <w:szCs w:val="21"/>
          <w:highlight w:val="none"/>
          <w:lang w:val="en-US" w:eastAsia="zh-CN" w:bidi="ar-SA"/>
        </w:rPr>
        <w:t>具有有效的水工金属结构制作与安装工程专业承包二级及以上资质，</w:t>
      </w:r>
      <w:r>
        <w:rPr>
          <w:rFonts w:hint="eastAsia" w:ascii="宋体" w:hAnsi="宋体" w:eastAsia="宋体" w:cs="宋体"/>
          <w:strike w:val="0"/>
          <w:dstrike w:val="0"/>
          <w:color w:val="auto"/>
          <w:kern w:val="0"/>
          <w:sz w:val="21"/>
          <w:szCs w:val="21"/>
          <w:highlight w:val="none"/>
        </w:rPr>
        <w:t>具备有效的安全生产许</w:t>
      </w:r>
      <w:r>
        <w:rPr>
          <w:rFonts w:hint="eastAsia" w:ascii="宋体" w:hAnsi="宋体" w:eastAsia="宋体" w:cs="宋体"/>
          <w:strike w:val="0"/>
          <w:dstrike w:val="0"/>
          <w:color w:val="auto"/>
          <w:kern w:val="0"/>
          <w:sz w:val="21"/>
          <w:szCs w:val="21"/>
          <w:highlight w:val="none"/>
          <w:shd w:val="clear" w:color="auto" w:fill="FFFFFF"/>
          <w:lang w:bidi="ar"/>
        </w:rPr>
        <w:t>可证，并在人员、资金等方面具有相应的能力</w:t>
      </w:r>
      <w:r>
        <w:rPr>
          <w:rFonts w:hint="eastAsia" w:ascii="宋体" w:hAnsi="宋体" w:eastAsia="宋体" w:cs="宋体"/>
          <w:strike w:val="0"/>
          <w:color w:val="auto"/>
          <w:kern w:val="0"/>
          <w:sz w:val="21"/>
          <w:szCs w:val="21"/>
          <w:highlight w:val="none"/>
          <w:shd w:val="clear" w:color="auto" w:fill="FFFFFF"/>
          <w:lang w:bidi="ar"/>
        </w:rPr>
        <w:t>；</w:t>
      </w:r>
    </w:p>
    <w:p w14:paraId="66071629">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val="en-US" w:eastAsia="zh-CN"/>
        </w:rPr>
        <w:t>项目负责人</w:t>
      </w:r>
      <w:r>
        <w:rPr>
          <w:rFonts w:hint="eastAsia" w:ascii="宋体" w:hAnsi="宋体" w:eastAsia="宋体" w:cs="宋体"/>
          <w:color w:val="auto"/>
          <w:kern w:val="0"/>
          <w:sz w:val="21"/>
          <w:szCs w:val="21"/>
          <w:highlight w:val="none"/>
        </w:rPr>
        <w:t>须具有</w:t>
      </w:r>
      <w:r>
        <w:rPr>
          <w:rFonts w:hint="eastAsia" w:ascii="宋体" w:hAnsi="宋体" w:eastAsia="宋体" w:cs="宋体"/>
          <w:color w:val="auto"/>
          <w:kern w:val="0"/>
          <w:sz w:val="21"/>
          <w:szCs w:val="21"/>
          <w:highlight w:val="none"/>
          <w:lang w:val="en-US" w:eastAsia="zh-CN"/>
        </w:rPr>
        <w:t>机械类或水利类相关专业高级职称，拟派</w:t>
      </w:r>
      <w:r>
        <w:rPr>
          <w:rFonts w:hint="eastAsia" w:ascii="宋体" w:hAnsi="宋体" w:eastAsia="宋体" w:cs="宋体"/>
          <w:color w:val="auto"/>
          <w:kern w:val="0"/>
          <w:sz w:val="21"/>
          <w:szCs w:val="21"/>
          <w:highlight w:val="none"/>
        </w:rPr>
        <w:t>项目</w:t>
      </w:r>
      <w:r>
        <w:rPr>
          <w:rFonts w:hint="eastAsia" w:ascii="宋体" w:hAnsi="宋体" w:eastAsia="宋体" w:cs="宋体"/>
          <w:color w:val="auto"/>
          <w:kern w:val="0"/>
          <w:sz w:val="21"/>
          <w:szCs w:val="21"/>
          <w:highlight w:val="none"/>
          <w:lang w:val="en-US" w:eastAsia="zh-CN"/>
        </w:rPr>
        <w:t>负责人</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2025年9月1日以来任意一个月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1806D95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3.1.2</w:t>
      </w:r>
      <w:r>
        <w:rPr>
          <w:rFonts w:hint="eastAsia" w:ascii="宋体" w:hAnsi="宋体" w:eastAsia="宋体" w:cs="宋体"/>
          <w:b/>
          <w:bCs/>
          <w:color w:val="auto"/>
          <w:kern w:val="0"/>
          <w:sz w:val="21"/>
          <w:szCs w:val="21"/>
          <w:highlight w:val="none"/>
          <w:shd w:val="clear" w:color="auto" w:fill="FFFFFF"/>
          <w:lang w:val="en-US" w:eastAsia="zh-CN" w:bidi="ar"/>
        </w:rPr>
        <w:t>第五标段：</w:t>
      </w:r>
      <w:r>
        <w:rPr>
          <w:rFonts w:hint="eastAsia" w:ascii="宋体" w:hAnsi="宋体" w:eastAsia="宋体" w:cs="宋体"/>
          <w:b/>
          <w:bCs/>
          <w:color w:val="auto"/>
          <w:kern w:val="2"/>
          <w:sz w:val="21"/>
          <w:szCs w:val="21"/>
          <w:highlight w:val="none"/>
          <w:lang w:val="en-US" w:eastAsia="zh-CN" w:bidi="ar-SA"/>
        </w:rPr>
        <w:t>机电设备购置标段</w:t>
      </w:r>
    </w:p>
    <w:p w14:paraId="6482BFC4">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strike/>
          <w:dstrike w:val="0"/>
          <w:color w:val="auto"/>
          <w:kern w:val="0"/>
          <w:sz w:val="21"/>
          <w:szCs w:val="21"/>
          <w:highlight w:val="red"/>
          <w:shd w:val="clear" w:color="auto" w:fill="FFFFFF"/>
          <w:lang w:eastAsia="zh-CN" w:bidi="ar"/>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color w:val="auto"/>
          <w:kern w:val="0"/>
          <w:sz w:val="21"/>
          <w:szCs w:val="21"/>
          <w:highlight w:val="none"/>
          <w:shd w:val="clear" w:color="auto" w:fill="FFFFFF"/>
          <w:lang w:eastAsia="zh-CN" w:bidi="ar"/>
        </w:rPr>
        <w:t>；</w:t>
      </w:r>
    </w:p>
    <w:p w14:paraId="26BBF75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（2）投标人拟派</w:t>
      </w:r>
      <w:r>
        <w:rPr>
          <w:rFonts w:hint="eastAsia" w:ascii="宋体" w:hAnsi="宋体" w:eastAsia="宋体" w:cs="宋体"/>
          <w:color w:val="auto"/>
          <w:kern w:val="2"/>
          <w:sz w:val="21"/>
          <w:szCs w:val="21"/>
          <w:highlight w:val="none"/>
          <w:shd w:val="clear" w:color="auto" w:fill="FFFFFF"/>
          <w:lang w:val="en-US" w:eastAsia="zh-CN" w:bidi="ar"/>
        </w:rPr>
        <w:t>项目负责人须具有水利类或机电类或制造安装类相关专业</w:t>
      </w:r>
      <w:r>
        <w:rPr>
          <w:rFonts w:hint="eastAsia" w:ascii="宋体" w:hAnsi="宋体" w:eastAsia="宋体" w:cs="宋体"/>
          <w:color w:val="auto"/>
          <w:kern w:val="2"/>
          <w:sz w:val="21"/>
          <w:szCs w:val="21"/>
          <w:highlight w:val="none"/>
          <w:lang w:val="en-US" w:eastAsia="zh-CN" w:bidi="ar-SA"/>
        </w:rPr>
        <w:t>中级及以上职称，拟派项目负责人应为本单位人员（提供2025年9月1日以来任意一个月社保缴纳证明）。</w:t>
      </w:r>
    </w:p>
    <w:p w14:paraId="5743489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4AFAB4F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strike w:val="0"/>
          <w:dstrike w:val="0"/>
          <w:color w:val="auto"/>
          <w:kern w:val="0"/>
          <w:sz w:val="21"/>
          <w:szCs w:val="21"/>
          <w:highlight w:val="none"/>
          <w:shd w:val="clear" w:color="auto" w:fill="FFFFFF"/>
          <w:lang w:val="en-US" w:eastAsia="zh-CN" w:bidi="ar"/>
        </w:rPr>
      </w:pPr>
      <w:r>
        <w:rPr>
          <w:rFonts w:hint="eastAsia" w:ascii="宋体" w:hAnsi="宋体" w:eastAsia="宋体" w:cs="宋体"/>
          <w:b/>
          <w:bCs/>
          <w:strike w:val="0"/>
          <w:dstrike w:val="0"/>
          <w:color w:val="auto"/>
          <w:kern w:val="0"/>
          <w:sz w:val="21"/>
          <w:szCs w:val="21"/>
          <w:highlight w:val="none"/>
          <w:shd w:val="clear" w:color="auto" w:fill="FFFFFF"/>
          <w:lang w:val="en-US" w:eastAsia="zh-CN" w:bidi="ar"/>
        </w:rPr>
        <w:t>3.3监管平台要求：</w:t>
      </w:r>
      <w:r>
        <w:rPr>
          <w:rFonts w:hint="eastAsia" w:ascii="宋体" w:hAnsi="宋体" w:eastAsia="宋体" w:cs="宋体"/>
          <w:b w:val="0"/>
          <w:bCs w:val="0"/>
          <w:strike w:val="0"/>
          <w:dstrike w:val="0"/>
          <w:color w:val="auto"/>
          <w:kern w:val="0"/>
          <w:sz w:val="21"/>
          <w:szCs w:val="21"/>
          <w:highlight w:val="none"/>
          <w:shd w:val="clear" w:color="auto" w:fill="FFFFFF"/>
          <w:lang w:val="en-US" w:eastAsia="zh-CN" w:bidi="ar"/>
        </w:rPr>
        <w:t>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w:t>
      </w:r>
      <w:r>
        <w:rPr>
          <w:rFonts w:hint="eastAsia" w:ascii="宋体" w:hAnsi="宋体" w:eastAsia="宋体" w:cs="宋体"/>
          <w:b/>
          <w:bCs/>
          <w:strike w:val="0"/>
          <w:dstrike w:val="0"/>
          <w:color w:val="auto"/>
          <w:kern w:val="0"/>
          <w:sz w:val="21"/>
          <w:szCs w:val="21"/>
          <w:highlight w:val="none"/>
          <w:shd w:val="clear" w:color="auto" w:fill="FFFFFF"/>
          <w:lang w:val="en-US" w:eastAsia="zh-CN" w:bidi="ar"/>
        </w:rPr>
        <w:t>（金属结构设备购置标段提供）。</w:t>
      </w:r>
    </w:p>
    <w:p w14:paraId="6D170FD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3.4信誉要求</w:t>
      </w:r>
      <w:r>
        <w:rPr>
          <w:rFonts w:hint="eastAsia" w:ascii="宋体" w:hAnsi="宋体" w:eastAsia="宋体" w:cs="宋体"/>
          <w:color w:val="auto"/>
          <w:kern w:val="0"/>
          <w:sz w:val="21"/>
          <w:szCs w:val="21"/>
          <w:highlight w:val="none"/>
          <w:shd w:val="clear" w:color="auto" w:fill="FFFFFF"/>
          <w:lang w:val="en-US" w:eastAsia="zh-CN" w:bidi="ar"/>
        </w:rPr>
        <w:t>：</w:t>
      </w:r>
    </w:p>
    <w:p w14:paraId="32C1041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7C1ED26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strike w:val="0"/>
          <w:dstrike w:val="0"/>
          <w:color w:val="auto"/>
          <w:kern w:val="0"/>
          <w:sz w:val="21"/>
          <w:szCs w:val="21"/>
          <w:highlight w:val="none"/>
          <w:shd w:val="clear" w:color="auto" w:fill="FFFFFF"/>
          <w:lang w:val="en-US" w:eastAsia="zh-CN" w:bidi="ar"/>
        </w:rPr>
      </w:pPr>
      <w:r>
        <w:rPr>
          <w:rFonts w:hint="eastAsia" w:ascii="宋体" w:hAnsi="宋体" w:eastAsia="宋体" w:cs="宋体"/>
          <w:strike w:val="0"/>
          <w:dstrike w:val="0"/>
          <w:color w:val="auto"/>
          <w:kern w:val="0"/>
          <w:sz w:val="21"/>
          <w:szCs w:val="21"/>
          <w:highlight w:val="none"/>
          <w:shd w:val="clear" w:color="auto" w:fill="FFFFFF"/>
          <w:lang w:val="en-US" w:eastAsia="zh-CN" w:bidi="ar"/>
        </w:rPr>
        <w:t>3.4.2 本次招标要求的水利水电工程施工总承包资质被全国建筑市场监管公共服务平台(四库一平台)资质“动态核查”被标注“资质异常”的投标人，拒绝参加本项目投标活动。提供投标人应标的资质条件未在全国建筑市场监管公共服务平台(四库一平台)资质“动态核查”标注异常的查询截图；</w:t>
      </w:r>
    </w:p>
    <w:p w14:paraId="3294B62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3.4.3 投标人市场主体被列入“信用中国-严重失信主体名单查询”、“信用河南-失信惩戒对象名单”的均依法限制或禁止其参与本项目投标活动（提供自招标公告发布日之后网页查询截图，查询截图须显示查询时间）。</w:t>
      </w:r>
    </w:p>
    <w:p w14:paraId="3406EEE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3.5其他要求：</w:t>
      </w:r>
    </w:p>
    <w:p w14:paraId="611F47D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3.5.1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单位负责人为同一人或者存在控股、管理关系的不同单位，不得同时参加本项目投标（提供“国家企业信用信息公示系统”中完整的报告）。</w:t>
      </w:r>
    </w:p>
    <w:p w14:paraId="357AFEF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3.5.2 本次招标不接受联合体投标，不允许转包和非法分包。</w:t>
      </w:r>
    </w:p>
    <w:p w14:paraId="732BEBE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3CFC25F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2391A47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098405E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037E10D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09月28日8：00时至2026年10月10日17:30时，登录“交易平台网站”（https://ggzy.zhumadian.gov.cn/TPFront/），凭领取的企业身份认证锁（CA密钥）登录系统进行网上免费下载招标文件。投标人未按规定在网上下载招标文件的，其投标将被拒绝。</w:t>
      </w:r>
    </w:p>
    <w:p w14:paraId="1D7E743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5C35320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14F66E3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299E7E7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3467D39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评委查阅。评标时以电子投标文件及“资格审查及评审材料”菜单中选取的信息为准。</w:t>
      </w:r>
    </w:p>
    <w:p w14:paraId="4D3B978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5DE5982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62E9787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10月19日9时00分（北京时间）。加密电子投标文件（*.ZMDTF格式）应在投标截止时间前通过驻马店市公共资源交易电子交易平台（http://ggzy.zhumadian.gov.cn:8820/TPbidder/login.aspx）上传完成。</w:t>
      </w:r>
    </w:p>
    <w:p w14:paraId="1FD5CA7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AAB4AC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7F21DBD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1D110C0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054E482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5D836F5D">
      <w:pPr>
        <w:keepNext w:val="0"/>
        <w:keepLines w:val="0"/>
        <w:pageBreakBefore w:val="0"/>
        <w:widowControl w:val="0"/>
        <w:kinsoku/>
        <w:wordWrap w:val="0"/>
        <w:overflowPunct/>
        <w:topLinePunct w:val="0"/>
        <w:autoSpaceDE/>
        <w:autoSpaceDN/>
        <w:bidi w:val="0"/>
        <w:adjustRightInd w:val="0"/>
        <w:snapToGrid/>
        <w:spacing w:line="360" w:lineRule="auto"/>
        <w:ind w:righ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特别提醒：</w:t>
      </w:r>
    </w:p>
    <w:p w14:paraId="476507B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0891FE9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2866671A">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1BA53C5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https://ggzy.zhumadian.gov.cn/TPFront/InfoDetail/?InfoID=09eaacd6-a524-447f-a5fd-776c58eb1582&amp;CategoryNum=026001</w:t>
      </w:r>
      <w:r>
        <w:rPr>
          <w:rFonts w:hint="eastAsia" w:ascii="宋体" w:hAnsi="宋体" w:eastAsia="宋体" w:cs="宋体"/>
          <w:color w:val="auto"/>
          <w:kern w:val="0"/>
          <w:sz w:val="21"/>
          <w:szCs w:val="21"/>
          <w:highlight w:val="none"/>
          <w:lang w:eastAsia="zh-CN"/>
        </w:rPr>
        <w:t>)</w:t>
      </w:r>
    </w:p>
    <w:p w14:paraId="049DB8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56C3145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bookmarkStart w:id="29" w:name="OLE_LINK4"/>
      <w:bookmarkStart w:id="30" w:name="OLE_LINK3"/>
      <w:r>
        <w:rPr>
          <w:rFonts w:hint="eastAsia" w:ascii="宋体" w:hAnsi="宋体" w:eastAsia="宋体" w:cs="宋体"/>
          <w:bCs/>
          <w:kern w:val="0"/>
          <w:sz w:val="21"/>
          <w:szCs w:val="21"/>
        </w:rPr>
        <w:t>驻马店市薄山水库运行中心</w:t>
      </w:r>
      <w:bookmarkEnd w:id="29"/>
      <w:bookmarkEnd w:id="30"/>
    </w:p>
    <w:p w14:paraId="5B641CA0">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kern w:val="0"/>
          <w:sz w:val="21"/>
          <w:szCs w:val="21"/>
        </w:rPr>
        <w:t>河南省驻马店市确山县任店镇薄山水库</w:t>
      </w:r>
    </w:p>
    <w:p w14:paraId="558EE8F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kern w:val="0"/>
          <w:sz w:val="21"/>
          <w:szCs w:val="21"/>
        </w:rPr>
        <w:t>袁先生</w:t>
      </w:r>
    </w:p>
    <w:p w14:paraId="7EC862F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kern w:val="0"/>
          <w:sz w:val="21"/>
          <w:szCs w:val="21"/>
        </w:rPr>
        <w:t>0396-2690692</w:t>
      </w:r>
    </w:p>
    <w:p w14:paraId="58E0B98B">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3627D3DB">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290AE52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kern w:val="0"/>
          <w:sz w:val="21"/>
          <w:szCs w:val="21"/>
        </w:rPr>
        <w:t>郑州市平安大道博学路正商学府广场A座24层</w:t>
      </w:r>
    </w:p>
    <w:p w14:paraId="08BE670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76E8583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kern w:val="0"/>
          <w:sz w:val="21"/>
          <w:szCs w:val="21"/>
        </w:rPr>
        <w:t>赵</w:t>
      </w:r>
      <w:r>
        <w:rPr>
          <w:rFonts w:hint="eastAsia" w:ascii="宋体" w:hAnsi="宋体" w:eastAsia="宋体" w:cs="宋体"/>
          <w:kern w:val="0"/>
          <w:sz w:val="21"/>
          <w:szCs w:val="21"/>
          <w:lang w:val="en-US" w:eastAsia="zh-CN"/>
        </w:rPr>
        <w:t>雅静</w:t>
      </w:r>
    </w:p>
    <w:p w14:paraId="78ED14A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78517A2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1B73324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6B77CB41">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2B61150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35FA330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5378B172">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CN"/>
        </w:rPr>
        <w:t>电    话：0396-2690961</w:t>
      </w:r>
    </w:p>
    <w:p w14:paraId="745097C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p>
    <w:p w14:paraId="32C24C08">
      <w:pPr>
        <w:widowControl/>
        <w:numPr>
          <w:ilvl w:val="0"/>
          <w:numId w:val="0"/>
        </w:numPr>
        <w:spacing w:beforeLines="0" w:afterLines="0" w:line="240" w:lineRule="auto"/>
        <w:jc w:val="center"/>
        <w:outlineLvl w:val="9"/>
        <w:rPr>
          <w:rFonts w:hint="eastAsia" w:ascii="宋体" w:hAnsi="宋体" w:eastAsia="宋体" w:cs="宋体"/>
          <w:b/>
          <w:bCs/>
          <w:sz w:val="32"/>
          <w:szCs w:val="32"/>
          <w:highlight w:val="none"/>
          <w:lang w:val="en-US" w:eastAsia="zh-CN"/>
        </w:rPr>
      </w:pPr>
    </w:p>
    <w:p w14:paraId="2567F2C0">
      <w:pPr>
        <w:widowControl/>
        <w:numPr>
          <w:ilvl w:val="-1"/>
          <w:numId w:val="0"/>
        </w:numPr>
        <w:spacing w:beforeLines="0" w:afterLines="0" w:line="240" w:lineRule="auto"/>
        <w:jc w:val="center"/>
        <w:outlineLvl w:val="0"/>
        <w:rPr>
          <w:rFonts w:hint="default" w:ascii="宋体" w:hAnsi="宋体" w:eastAsia="宋体" w:cs="宋体"/>
          <w:b/>
          <w:bCs/>
          <w:sz w:val="32"/>
          <w:szCs w:val="32"/>
          <w:highlight w:val="none"/>
          <w:lang w:val="en-US" w:eastAsia="zh-CN"/>
        </w:rPr>
      </w:pPr>
      <w:r>
        <w:rPr>
          <w:rFonts w:hint="eastAsia" w:ascii="宋体" w:hAnsi="宋体" w:eastAsia="宋体" w:cs="宋体"/>
          <w:sz w:val="44"/>
          <w:szCs w:val="44"/>
          <w:highlight w:val="none"/>
        </w:rPr>
        <w:br w:type="page"/>
      </w:r>
      <w:bookmarkEnd w:id="3"/>
      <w:bookmarkEnd w:id="4"/>
      <w:bookmarkEnd w:id="5"/>
      <w:bookmarkEnd w:id="6"/>
      <w:bookmarkEnd w:id="7"/>
      <w:bookmarkEnd w:id="8"/>
      <w:bookmarkEnd w:id="9"/>
      <w:bookmarkEnd w:id="10"/>
      <w:bookmarkEnd w:id="11"/>
      <w:bookmarkEnd w:id="12"/>
      <w:bookmarkEnd w:id="13"/>
      <w:bookmarkStart w:id="31" w:name="_Toc13504"/>
      <w:bookmarkStart w:id="32" w:name="_Toc904"/>
      <w:bookmarkStart w:id="33" w:name="_Toc22237"/>
      <w:bookmarkStart w:id="34" w:name="_Toc19138"/>
      <w:r>
        <w:rPr>
          <w:rFonts w:hint="eastAsia" w:ascii="宋体" w:hAnsi="宋体" w:eastAsia="宋体" w:cs="宋体"/>
          <w:b/>
          <w:bCs/>
          <w:sz w:val="32"/>
          <w:szCs w:val="32"/>
          <w:highlight w:val="none"/>
          <w:lang w:val="en-US" w:eastAsia="zh-CN"/>
        </w:rPr>
        <w:t>第二章 投标人须知</w:t>
      </w:r>
      <w:bookmarkEnd w:id="31"/>
      <w:bookmarkEnd w:id="32"/>
      <w:bookmarkEnd w:id="33"/>
      <w:bookmarkEnd w:id="34"/>
    </w:p>
    <w:p w14:paraId="2EC9FC42">
      <w:pPr>
        <w:widowControl/>
        <w:jc w:val="left"/>
        <w:rPr>
          <w:rFonts w:ascii="Times New Roman" w:hAnsi="Times New Roman" w:eastAsia="宋体" w:cs="Times New Roman"/>
          <w:szCs w:val="22"/>
        </w:rPr>
      </w:pPr>
    </w:p>
    <w:p w14:paraId="23034970">
      <w:pPr>
        <w:widowControl/>
        <w:adjustRightInd w:val="0"/>
        <w:snapToGrid w:val="0"/>
        <w:spacing w:before="0" w:after="0" w:line="360" w:lineRule="auto"/>
        <w:jc w:val="center"/>
        <w:outlineLvl w:val="1"/>
        <w:rPr>
          <w:rFonts w:hint="eastAsia" w:ascii="宋体" w:hAnsi="宋体" w:eastAsia="宋体" w:cs="宋体"/>
          <w:b/>
          <w:bCs/>
          <w:sz w:val="24"/>
          <w:szCs w:val="24"/>
          <w:highlight w:val="none"/>
        </w:rPr>
      </w:pPr>
      <w:bookmarkStart w:id="35" w:name="_Toc91344923"/>
      <w:bookmarkStart w:id="36" w:name="_Toc480"/>
      <w:bookmarkStart w:id="37" w:name="_Toc221950008"/>
      <w:bookmarkStart w:id="38" w:name="_Toc271870407"/>
      <w:bookmarkStart w:id="39" w:name="_Toc30096"/>
      <w:bookmarkStart w:id="40" w:name="_Toc350347401"/>
      <w:bookmarkStart w:id="41" w:name="_Toc62034398"/>
      <w:r>
        <w:rPr>
          <w:rFonts w:hint="eastAsia" w:ascii="宋体" w:hAnsi="宋体" w:eastAsia="宋体" w:cs="宋体"/>
          <w:b/>
          <w:bCs/>
          <w:sz w:val="24"/>
          <w:szCs w:val="24"/>
          <w:highlight w:val="none"/>
        </w:rPr>
        <w:t>投标人须知前附表</w:t>
      </w:r>
      <w:bookmarkEnd w:id="35"/>
      <w:bookmarkEnd w:id="36"/>
      <w:bookmarkEnd w:id="37"/>
      <w:bookmarkEnd w:id="38"/>
      <w:bookmarkEnd w:id="39"/>
      <w:bookmarkEnd w:id="40"/>
      <w:bookmarkEnd w:id="41"/>
    </w:p>
    <w:tbl>
      <w:tblPr>
        <w:tblStyle w:val="2"/>
        <w:tblW w:w="95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23"/>
        <w:gridCol w:w="2095"/>
        <w:gridCol w:w="6320"/>
      </w:tblGrid>
      <w:tr w14:paraId="453C7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blHeader/>
          <w:jc w:val="center"/>
        </w:trPr>
        <w:tc>
          <w:tcPr>
            <w:tcW w:w="1123" w:type="dxa"/>
            <w:noWrap w:val="0"/>
            <w:vAlign w:val="center"/>
          </w:tcPr>
          <w:p w14:paraId="522CE8CA">
            <w:pPr>
              <w:widowControl/>
              <w:spacing w:beforeLines="0" w:afterLines="0" w:line="360" w:lineRule="auto"/>
              <w:jc w:val="center"/>
              <w:rPr>
                <w:rFonts w:hint="eastAsia" w:ascii="宋体" w:hAnsi="宋体" w:eastAsia="宋体" w:cs="宋体"/>
                <w:b/>
                <w:sz w:val="21"/>
                <w:szCs w:val="21"/>
                <w:highlight w:val="none"/>
              </w:rPr>
            </w:pPr>
            <w:bookmarkStart w:id="42" w:name="_Toc221950009"/>
            <w:r>
              <w:rPr>
                <w:rFonts w:hint="eastAsia" w:ascii="宋体" w:hAnsi="宋体" w:eastAsia="宋体" w:cs="宋体"/>
                <w:b/>
                <w:sz w:val="21"/>
                <w:szCs w:val="21"/>
                <w:highlight w:val="none"/>
              </w:rPr>
              <w:t>条款号</w:t>
            </w:r>
            <w:bookmarkEnd w:id="42"/>
          </w:p>
        </w:tc>
        <w:tc>
          <w:tcPr>
            <w:tcW w:w="2095" w:type="dxa"/>
            <w:noWrap w:val="0"/>
            <w:vAlign w:val="center"/>
          </w:tcPr>
          <w:p w14:paraId="4D4033D8">
            <w:pPr>
              <w:widowControl/>
              <w:spacing w:beforeLines="0" w:afterLines="0" w:line="360" w:lineRule="auto"/>
              <w:jc w:val="center"/>
              <w:rPr>
                <w:rFonts w:hint="eastAsia" w:ascii="宋体" w:hAnsi="宋体" w:eastAsia="宋体" w:cs="宋体"/>
                <w:b/>
                <w:sz w:val="21"/>
                <w:szCs w:val="21"/>
                <w:highlight w:val="none"/>
              </w:rPr>
            </w:pPr>
            <w:bookmarkStart w:id="43" w:name="_Toc221950010"/>
            <w:r>
              <w:rPr>
                <w:rFonts w:hint="eastAsia" w:ascii="宋体" w:hAnsi="宋体" w:eastAsia="宋体" w:cs="宋体"/>
                <w:b/>
                <w:sz w:val="21"/>
                <w:szCs w:val="21"/>
                <w:highlight w:val="none"/>
              </w:rPr>
              <w:t>条款名称</w:t>
            </w:r>
            <w:bookmarkEnd w:id="43"/>
          </w:p>
        </w:tc>
        <w:tc>
          <w:tcPr>
            <w:tcW w:w="6320" w:type="dxa"/>
            <w:noWrap w:val="0"/>
            <w:vAlign w:val="center"/>
          </w:tcPr>
          <w:p w14:paraId="4F734D3B">
            <w:pPr>
              <w:widowControl/>
              <w:spacing w:beforeLines="0" w:afterLines="0" w:line="360" w:lineRule="auto"/>
              <w:jc w:val="center"/>
              <w:rPr>
                <w:rFonts w:hint="eastAsia" w:ascii="宋体" w:hAnsi="宋体" w:eastAsia="宋体" w:cs="宋体"/>
                <w:b/>
                <w:sz w:val="21"/>
                <w:szCs w:val="21"/>
                <w:highlight w:val="none"/>
              </w:rPr>
            </w:pPr>
            <w:bookmarkStart w:id="44" w:name="_Toc221950011"/>
            <w:r>
              <w:rPr>
                <w:rFonts w:hint="eastAsia" w:ascii="宋体" w:hAnsi="宋体" w:eastAsia="宋体" w:cs="宋体"/>
                <w:b/>
                <w:sz w:val="21"/>
                <w:szCs w:val="21"/>
                <w:highlight w:val="none"/>
              </w:rPr>
              <w:t>编  列  内  容</w:t>
            </w:r>
            <w:bookmarkEnd w:id="44"/>
          </w:p>
        </w:tc>
      </w:tr>
      <w:tr w14:paraId="069013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71" w:hRule="atLeast"/>
          <w:jc w:val="center"/>
        </w:trPr>
        <w:tc>
          <w:tcPr>
            <w:tcW w:w="1123" w:type="dxa"/>
            <w:noWrap w:val="0"/>
            <w:vAlign w:val="center"/>
          </w:tcPr>
          <w:p w14:paraId="4BA5FC4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2095" w:type="dxa"/>
            <w:noWrap w:val="0"/>
            <w:vAlign w:val="center"/>
          </w:tcPr>
          <w:p w14:paraId="70A0C94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招标人</w:t>
            </w:r>
          </w:p>
        </w:tc>
        <w:tc>
          <w:tcPr>
            <w:tcW w:w="6320" w:type="dxa"/>
            <w:noWrap w:val="0"/>
            <w:vAlign w:val="center"/>
          </w:tcPr>
          <w:p w14:paraId="665ABE8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 标 人：驻马店市薄山水库运行中心</w:t>
            </w:r>
          </w:p>
          <w:p w14:paraId="4EA5F5F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址：驻马店市确山县境内确山县任店镇薄山水库</w:t>
            </w:r>
          </w:p>
          <w:p w14:paraId="6B494B3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人：袁先生</w:t>
            </w:r>
          </w:p>
          <w:p w14:paraId="0B545B47">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话：0396-2690692 </w:t>
            </w:r>
          </w:p>
        </w:tc>
      </w:tr>
      <w:tr w14:paraId="23ABD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123" w:type="dxa"/>
            <w:noWrap w:val="0"/>
            <w:vAlign w:val="center"/>
          </w:tcPr>
          <w:p w14:paraId="7303912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1.1.3</w:t>
            </w:r>
          </w:p>
        </w:tc>
        <w:tc>
          <w:tcPr>
            <w:tcW w:w="2095" w:type="dxa"/>
            <w:noWrap w:val="0"/>
            <w:vAlign w:val="center"/>
          </w:tcPr>
          <w:p w14:paraId="60ECFC3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w:t>
            </w:r>
          </w:p>
        </w:tc>
        <w:tc>
          <w:tcPr>
            <w:tcW w:w="6320" w:type="dxa"/>
            <w:noWrap w:val="0"/>
            <w:vAlign w:val="center"/>
          </w:tcPr>
          <w:p w14:paraId="2487377E">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招标代理机构：正智国际工程管理（河南）有限公司</w:t>
            </w:r>
          </w:p>
          <w:p w14:paraId="54AF9F82">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址：郑州市平安大道博学路正商学府广场A座24层</w:t>
            </w:r>
          </w:p>
          <w:p w14:paraId="3638E4F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人：赵雅静</w:t>
            </w:r>
          </w:p>
          <w:p w14:paraId="2C3E574F">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    话：0371-67222266</w:t>
            </w:r>
          </w:p>
          <w:p w14:paraId="275D4CBF">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邮    箱：zzgj123@126.com</w:t>
            </w:r>
          </w:p>
        </w:tc>
      </w:tr>
      <w:tr w14:paraId="28D5B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1123" w:type="dxa"/>
            <w:noWrap w:val="0"/>
            <w:vAlign w:val="center"/>
          </w:tcPr>
          <w:p w14:paraId="69584D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1.1.4</w:t>
            </w:r>
          </w:p>
        </w:tc>
        <w:tc>
          <w:tcPr>
            <w:tcW w:w="2095" w:type="dxa"/>
            <w:shd w:val="clear" w:color="auto" w:fill="auto"/>
            <w:noWrap w:val="0"/>
            <w:vAlign w:val="center"/>
          </w:tcPr>
          <w:p w14:paraId="7A83B9E9">
            <w:pPr>
              <w:widowControl w:val="0"/>
              <w:adjustRightInd w:val="0"/>
              <w:snapToGrid w:val="0"/>
              <w:spacing w:beforeLines="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项目名称</w:t>
            </w:r>
          </w:p>
        </w:tc>
        <w:tc>
          <w:tcPr>
            <w:tcW w:w="6320" w:type="dxa"/>
            <w:shd w:val="clear" w:color="auto" w:fill="auto"/>
            <w:noWrap w:val="0"/>
            <w:vAlign w:val="center"/>
          </w:tcPr>
          <w:p w14:paraId="24EDB7C9">
            <w:pPr>
              <w:widowControl/>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pacing w:val="-4"/>
                <w:sz w:val="21"/>
                <w:szCs w:val="21"/>
                <w:highlight w:val="none"/>
                <w:lang w:val="en-US" w:eastAsia="zh-CN"/>
              </w:rPr>
              <w:t>驻马店市薄山水库除险加固工程（一期）（二次）</w:t>
            </w:r>
          </w:p>
        </w:tc>
      </w:tr>
      <w:tr w14:paraId="1FA33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1123" w:type="dxa"/>
            <w:noWrap w:val="0"/>
            <w:vAlign w:val="center"/>
          </w:tcPr>
          <w:p w14:paraId="76297B0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2095" w:type="dxa"/>
            <w:noWrap w:val="0"/>
            <w:vAlign w:val="center"/>
          </w:tcPr>
          <w:p w14:paraId="524D087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标段名称</w:t>
            </w:r>
          </w:p>
        </w:tc>
        <w:tc>
          <w:tcPr>
            <w:tcW w:w="6320" w:type="dxa"/>
            <w:noWrap w:val="0"/>
            <w:vAlign w:val="center"/>
          </w:tcPr>
          <w:p w14:paraId="77448EA6">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第五标段：机电设备购置标段</w:t>
            </w:r>
          </w:p>
        </w:tc>
      </w:tr>
      <w:tr w14:paraId="5D9CD0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1123" w:type="dxa"/>
            <w:noWrap w:val="0"/>
            <w:vAlign w:val="center"/>
          </w:tcPr>
          <w:p w14:paraId="14BE67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1.2.1</w:t>
            </w:r>
          </w:p>
        </w:tc>
        <w:tc>
          <w:tcPr>
            <w:tcW w:w="2095" w:type="dxa"/>
            <w:noWrap w:val="0"/>
            <w:vAlign w:val="center"/>
          </w:tcPr>
          <w:p w14:paraId="0982B4DC">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320" w:type="dxa"/>
            <w:noWrap w:val="0"/>
            <w:vAlign w:val="center"/>
          </w:tcPr>
          <w:p w14:paraId="1942133F">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财政资金</w:t>
            </w:r>
          </w:p>
        </w:tc>
      </w:tr>
      <w:tr w14:paraId="61276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123" w:type="dxa"/>
            <w:noWrap w:val="0"/>
            <w:vAlign w:val="center"/>
          </w:tcPr>
          <w:p w14:paraId="1CE39C1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1.2.2</w:t>
            </w:r>
          </w:p>
        </w:tc>
        <w:tc>
          <w:tcPr>
            <w:tcW w:w="2095" w:type="dxa"/>
            <w:noWrap w:val="0"/>
            <w:vAlign w:val="center"/>
          </w:tcPr>
          <w:p w14:paraId="6B7DA0C2">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320" w:type="dxa"/>
            <w:noWrap w:val="0"/>
            <w:vAlign w:val="center"/>
          </w:tcPr>
          <w:p w14:paraId="115BA3AB">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0FBF67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7069FBE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2095" w:type="dxa"/>
            <w:noWrap w:val="0"/>
            <w:vAlign w:val="center"/>
          </w:tcPr>
          <w:p w14:paraId="7868AE42">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320" w:type="dxa"/>
            <w:noWrap w:val="0"/>
            <w:vAlign w:val="center"/>
          </w:tcPr>
          <w:p w14:paraId="4C066E1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tc>
      </w:tr>
      <w:tr w14:paraId="4C3A54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123" w:type="dxa"/>
            <w:noWrap w:val="0"/>
            <w:vAlign w:val="center"/>
          </w:tcPr>
          <w:p w14:paraId="0CAD2EF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2095" w:type="dxa"/>
            <w:noWrap w:val="0"/>
            <w:vAlign w:val="center"/>
          </w:tcPr>
          <w:p w14:paraId="1546681F">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供货期（服务期）</w:t>
            </w:r>
          </w:p>
        </w:tc>
        <w:tc>
          <w:tcPr>
            <w:tcW w:w="6320" w:type="dxa"/>
            <w:noWrap w:val="0"/>
            <w:vAlign w:val="center"/>
          </w:tcPr>
          <w:p w14:paraId="39FB3FE9">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rPr>
              <w:t>自合同签订之日起至竣工验收通过之日止（供货期按照监理人批准的供货计划实施）</w:t>
            </w:r>
          </w:p>
        </w:tc>
      </w:tr>
      <w:tr w14:paraId="20F47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4" w:hRule="atLeast"/>
          <w:jc w:val="center"/>
        </w:trPr>
        <w:tc>
          <w:tcPr>
            <w:tcW w:w="1123" w:type="dxa"/>
            <w:noWrap w:val="0"/>
            <w:vAlign w:val="center"/>
          </w:tcPr>
          <w:p w14:paraId="20363A9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1.3.3</w:t>
            </w:r>
          </w:p>
        </w:tc>
        <w:tc>
          <w:tcPr>
            <w:tcW w:w="2095" w:type="dxa"/>
            <w:noWrap w:val="0"/>
            <w:vAlign w:val="center"/>
          </w:tcPr>
          <w:p w14:paraId="652DD1F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交货地点</w:t>
            </w:r>
          </w:p>
        </w:tc>
        <w:tc>
          <w:tcPr>
            <w:tcW w:w="6320" w:type="dxa"/>
            <w:noWrap w:val="0"/>
            <w:vAlign w:val="center"/>
          </w:tcPr>
          <w:p w14:paraId="0119D0B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业主指定地点（运送至施工现场）</w:t>
            </w:r>
          </w:p>
        </w:tc>
      </w:tr>
      <w:tr w14:paraId="4DBD3B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3" w:hRule="atLeast"/>
          <w:jc w:val="center"/>
        </w:trPr>
        <w:tc>
          <w:tcPr>
            <w:tcW w:w="1123" w:type="dxa"/>
            <w:noWrap w:val="0"/>
            <w:vAlign w:val="center"/>
          </w:tcPr>
          <w:p w14:paraId="6A9B81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1.3.4</w:t>
            </w:r>
          </w:p>
        </w:tc>
        <w:tc>
          <w:tcPr>
            <w:tcW w:w="2095" w:type="dxa"/>
            <w:noWrap w:val="0"/>
            <w:vAlign w:val="center"/>
          </w:tcPr>
          <w:p w14:paraId="50F5B1A1">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质量要求</w:t>
            </w:r>
          </w:p>
        </w:tc>
        <w:tc>
          <w:tcPr>
            <w:tcW w:w="6320" w:type="dxa"/>
            <w:noWrap w:val="0"/>
            <w:vAlign w:val="center"/>
          </w:tcPr>
          <w:p w14:paraId="3A50C87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bidi="ar"/>
              </w:rPr>
              <w:t>合格，符合国家、行业、地方规定相应的技术标准和规范要求</w:t>
            </w:r>
          </w:p>
        </w:tc>
      </w:tr>
      <w:tr w14:paraId="3423E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1123" w:type="dxa"/>
            <w:noWrap w:val="0"/>
            <w:vAlign w:val="center"/>
          </w:tcPr>
          <w:p w14:paraId="47AE1CB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1.4.1</w:t>
            </w:r>
          </w:p>
        </w:tc>
        <w:tc>
          <w:tcPr>
            <w:tcW w:w="2095" w:type="dxa"/>
            <w:noWrap w:val="0"/>
            <w:vAlign w:val="center"/>
          </w:tcPr>
          <w:p w14:paraId="237896A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投标人资质条件、能力、信誉</w:t>
            </w:r>
          </w:p>
        </w:tc>
        <w:tc>
          <w:tcPr>
            <w:tcW w:w="6320" w:type="dxa"/>
            <w:noWrap w:val="0"/>
            <w:vAlign w:val="center"/>
          </w:tcPr>
          <w:p w14:paraId="0CC75630">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lang w:val="en-US" w:eastAsia="zh-CN"/>
              </w:rPr>
              <w:t>详见招标公告“3、</w:t>
            </w:r>
            <w:r>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
              </w:rPr>
              <w:t>投标人资格要求”</w:t>
            </w:r>
          </w:p>
        </w:tc>
      </w:tr>
      <w:tr w14:paraId="72A11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656DD47">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74235BB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1.4.2</w:t>
            </w:r>
          </w:p>
        </w:tc>
        <w:tc>
          <w:tcPr>
            <w:tcW w:w="2095" w:type="dxa"/>
            <w:noWrap w:val="0"/>
            <w:vAlign w:val="center"/>
          </w:tcPr>
          <w:p w14:paraId="73769FE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是否接受联合体投标</w:t>
            </w:r>
          </w:p>
        </w:tc>
        <w:tc>
          <w:tcPr>
            <w:tcW w:w="6320" w:type="dxa"/>
            <w:noWrap w:val="0"/>
            <w:vAlign w:val="center"/>
          </w:tcPr>
          <w:p w14:paraId="73289D4B">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不接受</w:t>
            </w:r>
          </w:p>
          <w:p w14:paraId="79BE2AA9">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□接受，应满足下列要求：</w:t>
            </w:r>
          </w:p>
        </w:tc>
      </w:tr>
      <w:tr w14:paraId="1566C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1123" w:type="dxa"/>
            <w:noWrap w:val="0"/>
            <w:vAlign w:val="center"/>
          </w:tcPr>
          <w:p w14:paraId="261C985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1.4.3</w:t>
            </w:r>
          </w:p>
        </w:tc>
        <w:tc>
          <w:tcPr>
            <w:tcW w:w="2095" w:type="dxa"/>
            <w:noWrap w:val="0"/>
            <w:vAlign w:val="center"/>
          </w:tcPr>
          <w:p w14:paraId="1CECDCB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投标人不得存在的其他情形</w:t>
            </w:r>
          </w:p>
        </w:tc>
        <w:tc>
          <w:tcPr>
            <w:tcW w:w="6320" w:type="dxa"/>
            <w:noWrap w:val="0"/>
            <w:vAlign w:val="center"/>
          </w:tcPr>
          <w:p w14:paraId="7E01C7A9">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tc>
      </w:tr>
      <w:tr w14:paraId="54D43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1123" w:type="dxa"/>
            <w:noWrap w:val="0"/>
            <w:vAlign w:val="center"/>
          </w:tcPr>
          <w:p w14:paraId="7EB66A10">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43B2D1A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1.9.1</w:t>
            </w:r>
          </w:p>
        </w:tc>
        <w:tc>
          <w:tcPr>
            <w:tcW w:w="2095" w:type="dxa"/>
            <w:noWrap w:val="0"/>
            <w:vAlign w:val="center"/>
          </w:tcPr>
          <w:p w14:paraId="02F6CD6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投标预备会</w:t>
            </w:r>
          </w:p>
        </w:tc>
        <w:tc>
          <w:tcPr>
            <w:tcW w:w="6320" w:type="dxa"/>
            <w:noWrap w:val="0"/>
            <w:vAlign w:val="center"/>
          </w:tcPr>
          <w:p w14:paraId="2384FB35">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不召开</w:t>
            </w:r>
          </w:p>
          <w:p w14:paraId="264C4FF6">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□召开，召开时间：</w:t>
            </w:r>
          </w:p>
          <w:p w14:paraId="70D304B2">
            <w:pPr>
              <w:widowControl w:val="0"/>
              <w:spacing w:beforeLines="0" w:afterLines="0" w:line="360" w:lineRule="auto"/>
              <w:ind w:left="0" w:right="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召开地点：</w:t>
            </w:r>
          </w:p>
        </w:tc>
      </w:tr>
      <w:tr w14:paraId="436BAD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1123" w:type="dxa"/>
            <w:vMerge w:val="restart"/>
            <w:noWrap w:val="0"/>
            <w:vAlign w:val="center"/>
          </w:tcPr>
          <w:p w14:paraId="305A407A">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1F4D1C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1.9.2</w:t>
            </w:r>
          </w:p>
        </w:tc>
        <w:tc>
          <w:tcPr>
            <w:tcW w:w="2095" w:type="dxa"/>
            <w:vMerge w:val="restart"/>
            <w:noWrap w:val="0"/>
            <w:vAlign w:val="center"/>
          </w:tcPr>
          <w:p w14:paraId="3C4BF48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投标人在投标预备会前提出问题</w:t>
            </w:r>
          </w:p>
        </w:tc>
        <w:tc>
          <w:tcPr>
            <w:tcW w:w="6320" w:type="dxa"/>
            <w:noWrap w:val="0"/>
            <w:vAlign w:val="center"/>
          </w:tcPr>
          <w:p w14:paraId="3C7B6C0F">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时间：</w:t>
            </w:r>
            <w:r>
              <w:rPr>
                <w:rFonts w:hint="eastAsia" w:ascii="宋体" w:hAnsi="宋体" w:eastAsia="宋体" w:cs="宋体"/>
                <w:kern w:val="0"/>
                <w:sz w:val="21"/>
                <w:szCs w:val="21"/>
                <w:highlight w:val="none"/>
                <w:lang w:val="en-US" w:eastAsia="zh-CN" w:bidi="ar-SA"/>
              </w:rPr>
              <w:t>/</w:t>
            </w:r>
          </w:p>
        </w:tc>
      </w:tr>
      <w:tr w14:paraId="12770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02608C3E">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7A4B98C6">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791B7450">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形式：</w:t>
            </w:r>
            <w:r>
              <w:rPr>
                <w:rFonts w:hint="eastAsia" w:ascii="宋体" w:hAnsi="宋体" w:eastAsia="宋体" w:cs="宋体"/>
                <w:kern w:val="0"/>
                <w:sz w:val="21"/>
                <w:szCs w:val="21"/>
                <w:highlight w:val="none"/>
                <w:lang w:val="en-US" w:eastAsia="zh-CN" w:bidi="ar-SA"/>
              </w:rPr>
              <w:t>/</w:t>
            </w:r>
          </w:p>
        </w:tc>
      </w:tr>
      <w:tr w14:paraId="1793A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4A8EBB9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1.9.3</w:t>
            </w:r>
          </w:p>
        </w:tc>
        <w:tc>
          <w:tcPr>
            <w:tcW w:w="2095" w:type="dxa"/>
            <w:noWrap w:val="0"/>
            <w:vAlign w:val="center"/>
          </w:tcPr>
          <w:p w14:paraId="42C7D6F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47796E5F">
            <w:pPr>
              <w:widowControl/>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通过驻马店市公共资源</w:t>
            </w:r>
            <w:r>
              <w:rPr>
                <w:rFonts w:hint="eastAsia" w:ascii="宋体" w:hAnsi="宋体" w:eastAsia="宋体" w:cs="宋体"/>
                <w:sz w:val="21"/>
                <w:szCs w:val="21"/>
                <w:highlight w:val="none"/>
                <w:lang w:eastAsia="zh-CN"/>
              </w:rPr>
              <w:t>交易平台</w:t>
            </w:r>
            <w:r>
              <w:rPr>
                <w:rFonts w:hint="eastAsia" w:ascii="宋体" w:hAnsi="宋体" w:eastAsia="宋体" w:cs="宋体"/>
                <w:sz w:val="21"/>
                <w:szCs w:val="21"/>
                <w:highlight w:val="none"/>
              </w:rPr>
              <w:t>信息平台发布，投标人须重新下载最新的“答疑文件”，并以此编制投标文件。</w:t>
            </w:r>
          </w:p>
        </w:tc>
      </w:tr>
      <w:tr w14:paraId="1A579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4" w:hRule="atLeast"/>
          <w:jc w:val="center"/>
        </w:trPr>
        <w:tc>
          <w:tcPr>
            <w:tcW w:w="1123" w:type="dxa"/>
            <w:noWrap w:val="0"/>
            <w:vAlign w:val="center"/>
          </w:tcPr>
          <w:p w14:paraId="6D4864A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1.10.1</w:t>
            </w:r>
          </w:p>
        </w:tc>
        <w:tc>
          <w:tcPr>
            <w:tcW w:w="2095" w:type="dxa"/>
            <w:noWrap w:val="0"/>
            <w:vAlign w:val="center"/>
          </w:tcPr>
          <w:p w14:paraId="796C147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分包</w:t>
            </w:r>
          </w:p>
        </w:tc>
        <w:tc>
          <w:tcPr>
            <w:tcW w:w="6320" w:type="dxa"/>
            <w:noWrap w:val="0"/>
            <w:vAlign w:val="center"/>
          </w:tcPr>
          <w:p w14:paraId="1CB0D74F">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不允许</w:t>
            </w:r>
          </w:p>
          <w:p w14:paraId="5D8711CD">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□允许，分包内容要求：。</w:t>
            </w:r>
          </w:p>
        </w:tc>
      </w:tr>
      <w:tr w14:paraId="5CC3D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2A13D78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1.11.1</w:t>
            </w:r>
          </w:p>
        </w:tc>
        <w:tc>
          <w:tcPr>
            <w:tcW w:w="2095" w:type="dxa"/>
            <w:noWrap w:val="0"/>
            <w:vAlign w:val="center"/>
          </w:tcPr>
          <w:p w14:paraId="5AF1068B">
            <w:pPr>
              <w:keepNext w:val="0"/>
              <w:keepLines w:val="0"/>
              <w:pageBreakBefore w:val="0"/>
              <w:widowControl w:val="0"/>
              <w:kinsoku/>
              <w:wordWrap/>
              <w:overflowPunct/>
              <w:topLinePunct w:val="0"/>
              <w:bidi w:val="0"/>
              <w:snapToGrid/>
              <w:spacing w:line="360" w:lineRule="auto"/>
              <w:ind w:left="105" w:leftChars="50"/>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实质性要求和条件</w:t>
            </w:r>
          </w:p>
        </w:tc>
        <w:tc>
          <w:tcPr>
            <w:tcW w:w="6320" w:type="dxa"/>
            <w:noWrap w:val="0"/>
            <w:vAlign w:val="center"/>
          </w:tcPr>
          <w:p w14:paraId="770722D4">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招标文件已明确的形式评审标准、资格评审标准、响应性评审标准。</w:t>
            </w:r>
          </w:p>
        </w:tc>
      </w:tr>
      <w:tr w14:paraId="0795E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455A663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1.11.3</w:t>
            </w:r>
          </w:p>
        </w:tc>
        <w:tc>
          <w:tcPr>
            <w:tcW w:w="2095" w:type="dxa"/>
            <w:noWrap w:val="0"/>
            <w:vAlign w:val="center"/>
          </w:tcPr>
          <w:p w14:paraId="3EE9147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其他可以被接受的技术支持资料</w:t>
            </w:r>
          </w:p>
        </w:tc>
        <w:tc>
          <w:tcPr>
            <w:tcW w:w="6320" w:type="dxa"/>
            <w:noWrap w:val="0"/>
            <w:vAlign w:val="center"/>
          </w:tcPr>
          <w:p w14:paraId="54E16039">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309E9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1123" w:type="dxa"/>
            <w:noWrap w:val="0"/>
            <w:vAlign w:val="center"/>
          </w:tcPr>
          <w:p w14:paraId="60AA7A4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1.11.4</w:t>
            </w:r>
          </w:p>
        </w:tc>
        <w:tc>
          <w:tcPr>
            <w:tcW w:w="2095" w:type="dxa"/>
            <w:noWrap w:val="0"/>
            <w:vAlign w:val="center"/>
          </w:tcPr>
          <w:p w14:paraId="5D99D99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偏差</w:t>
            </w:r>
          </w:p>
        </w:tc>
        <w:tc>
          <w:tcPr>
            <w:tcW w:w="6320" w:type="dxa"/>
            <w:noWrap w:val="0"/>
            <w:vAlign w:val="center"/>
          </w:tcPr>
          <w:p w14:paraId="1589ECA0">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商务部分不允许偏差，技术部分只接受正偏差。</w:t>
            </w:r>
          </w:p>
        </w:tc>
      </w:tr>
      <w:tr w14:paraId="4BC94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2F4BEB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2095" w:type="dxa"/>
            <w:noWrap w:val="0"/>
            <w:vAlign w:val="center"/>
          </w:tcPr>
          <w:p w14:paraId="78C6724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构成招标文件的其他资料</w:t>
            </w:r>
          </w:p>
        </w:tc>
        <w:tc>
          <w:tcPr>
            <w:tcW w:w="6320" w:type="dxa"/>
            <w:noWrap w:val="0"/>
            <w:vAlign w:val="center"/>
          </w:tcPr>
          <w:p w14:paraId="2869E170">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招标文件补充、澄清、修改、答疑</w:t>
            </w:r>
          </w:p>
        </w:tc>
      </w:tr>
      <w:tr w14:paraId="6CA6E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jc w:val="center"/>
        </w:trPr>
        <w:tc>
          <w:tcPr>
            <w:tcW w:w="1123" w:type="dxa"/>
            <w:vMerge w:val="restart"/>
            <w:noWrap w:val="0"/>
            <w:vAlign w:val="center"/>
          </w:tcPr>
          <w:p w14:paraId="65B104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2.2.1</w:t>
            </w:r>
          </w:p>
        </w:tc>
        <w:tc>
          <w:tcPr>
            <w:tcW w:w="2095" w:type="dxa"/>
            <w:vMerge w:val="restart"/>
            <w:noWrap w:val="0"/>
            <w:vAlign w:val="center"/>
          </w:tcPr>
          <w:p w14:paraId="24A7366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投标人要求澄清招标文件</w:t>
            </w:r>
          </w:p>
        </w:tc>
        <w:tc>
          <w:tcPr>
            <w:tcW w:w="6320" w:type="dxa"/>
            <w:noWrap w:val="0"/>
            <w:vAlign w:val="center"/>
          </w:tcPr>
          <w:p w14:paraId="4D35DB2C">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时间：投标截止时间17天前</w:t>
            </w:r>
          </w:p>
        </w:tc>
      </w:tr>
      <w:tr w14:paraId="07238C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465920CD">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2D901CFA">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5FC0DD21">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形式：通过驻马店市公共资源</w:t>
            </w:r>
            <w:r>
              <w:rPr>
                <w:rFonts w:hint="eastAsia" w:ascii="宋体" w:hAnsi="宋体" w:eastAsia="宋体" w:cs="宋体"/>
                <w:sz w:val="21"/>
                <w:szCs w:val="21"/>
                <w:highlight w:val="none"/>
                <w:shd w:val="clear" w:color="auto" w:fill="FFFFFF"/>
                <w:lang w:eastAsia="zh-CN"/>
              </w:rPr>
              <w:t>交易平台</w:t>
            </w:r>
            <w:r>
              <w:rPr>
                <w:rFonts w:hint="eastAsia" w:ascii="宋体" w:hAnsi="宋体" w:eastAsia="宋体" w:cs="宋体"/>
                <w:i w:val="0"/>
                <w:iCs w:val="0"/>
                <w:caps w:val="0"/>
                <w:color w:val="000000"/>
                <w:spacing w:val="0"/>
                <w:sz w:val="21"/>
                <w:szCs w:val="21"/>
                <w:shd w:val="clear" w:fill="FFFFFF"/>
              </w:rPr>
              <w:t>交易平台</w:t>
            </w:r>
            <w:r>
              <w:rPr>
                <w:rFonts w:hint="eastAsia" w:ascii="宋体" w:hAnsi="宋体" w:eastAsia="宋体" w:cs="宋体"/>
                <w:sz w:val="21"/>
                <w:szCs w:val="21"/>
                <w:highlight w:val="none"/>
                <w:shd w:val="clear" w:color="auto" w:fill="FFFFFF"/>
              </w:rPr>
              <w:t>提出</w:t>
            </w:r>
          </w:p>
        </w:tc>
      </w:tr>
      <w:tr w14:paraId="4CAAD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978C75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2.2.2</w:t>
            </w:r>
          </w:p>
        </w:tc>
        <w:tc>
          <w:tcPr>
            <w:tcW w:w="2095" w:type="dxa"/>
            <w:noWrap w:val="0"/>
            <w:vAlign w:val="center"/>
          </w:tcPr>
          <w:p w14:paraId="02C0A09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40502B98">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通过驻马店市公共资源交易电子交易平台发布，投标人须重新下载最新的“答疑文件”，并以此编制投标文件。</w:t>
            </w:r>
          </w:p>
        </w:tc>
      </w:tr>
      <w:tr w14:paraId="490B5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7FDA2A6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2.2.3</w:t>
            </w:r>
          </w:p>
        </w:tc>
        <w:tc>
          <w:tcPr>
            <w:tcW w:w="2095" w:type="dxa"/>
            <w:noWrap w:val="0"/>
            <w:vAlign w:val="center"/>
          </w:tcPr>
          <w:p w14:paraId="19CA9F9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投标人确认收到招标文件澄清</w:t>
            </w:r>
          </w:p>
        </w:tc>
        <w:tc>
          <w:tcPr>
            <w:tcW w:w="6320" w:type="dxa"/>
            <w:noWrap w:val="0"/>
            <w:vAlign w:val="center"/>
          </w:tcPr>
          <w:p w14:paraId="271B950D">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4692B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81E2C4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2.3.1</w:t>
            </w:r>
          </w:p>
        </w:tc>
        <w:tc>
          <w:tcPr>
            <w:tcW w:w="2095" w:type="dxa"/>
            <w:noWrap w:val="0"/>
            <w:vAlign w:val="center"/>
          </w:tcPr>
          <w:p w14:paraId="2B29927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招标文件修改发出的形式</w:t>
            </w:r>
          </w:p>
        </w:tc>
        <w:tc>
          <w:tcPr>
            <w:tcW w:w="6320" w:type="dxa"/>
            <w:noWrap w:val="0"/>
            <w:vAlign w:val="center"/>
          </w:tcPr>
          <w:p w14:paraId="1EFA41BF">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通过驻马店市公共资源交易电子交易平台发布，投标人须重新下载最新的“答疑文件”，并以此编制投标文件。</w:t>
            </w:r>
          </w:p>
        </w:tc>
      </w:tr>
      <w:tr w14:paraId="645DD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7986250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2.3.2</w:t>
            </w:r>
          </w:p>
        </w:tc>
        <w:tc>
          <w:tcPr>
            <w:tcW w:w="2095" w:type="dxa"/>
            <w:noWrap w:val="0"/>
            <w:vAlign w:val="center"/>
          </w:tcPr>
          <w:p w14:paraId="3502E20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投标人确认收到招标文件修改</w:t>
            </w:r>
          </w:p>
        </w:tc>
        <w:tc>
          <w:tcPr>
            <w:tcW w:w="6320" w:type="dxa"/>
            <w:noWrap w:val="0"/>
            <w:vAlign w:val="center"/>
          </w:tcPr>
          <w:p w14:paraId="43A8B044">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500AC0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916991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3.1.1</w:t>
            </w:r>
          </w:p>
        </w:tc>
        <w:tc>
          <w:tcPr>
            <w:tcW w:w="2095" w:type="dxa"/>
            <w:noWrap w:val="0"/>
            <w:vAlign w:val="center"/>
          </w:tcPr>
          <w:p w14:paraId="429B81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构成投标文件的其他资料</w:t>
            </w:r>
          </w:p>
        </w:tc>
        <w:tc>
          <w:tcPr>
            <w:tcW w:w="6320" w:type="dxa"/>
            <w:noWrap w:val="0"/>
            <w:vAlign w:val="center"/>
          </w:tcPr>
          <w:p w14:paraId="5C12246E">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见招标文件正文</w:t>
            </w:r>
          </w:p>
        </w:tc>
      </w:tr>
      <w:tr w14:paraId="63B9C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6AD868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3.2.1</w:t>
            </w:r>
          </w:p>
        </w:tc>
        <w:tc>
          <w:tcPr>
            <w:tcW w:w="2095" w:type="dxa"/>
            <w:noWrap w:val="0"/>
            <w:vAlign w:val="center"/>
          </w:tcPr>
          <w:p w14:paraId="03BA29B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增值税税金的计算方法</w:t>
            </w:r>
          </w:p>
        </w:tc>
        <w:tc>
          <w:tcPr>
            <w:tcW w:w="6320" w:type="dxa"/>
            <w:noWrap w:val="0"/>
            <w:vAlign w:val="center"/>
          </w:tcPr>
          <w:p w14:paraId="0FC36F6A">
            <w:pPr>
              <w:widowControl/>
              <w:spacing w:beforeLines="0" w:afterLines="0" w:line="360" w:lineRule="auto"/>
              <w:jc w:val="both"/>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color w:val="auto"/>
                <w:sz w:val="21"/>
                <w:szCs w:val="21"/>
                <w:highlight w:val="none"/>
              </w:rPr>
              <w:t>见招标文件正文</w:t>
            </w:r>
          </w:p>
        </w:tc>
      </w:tr>
      <w:tr w14:paraId="6EFD22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71C2DB5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3.2.4</w:t>
            </w:r>
          </w:p>
        </w:tc>
        <w:tc>
          <w:tcPr>
            <w:tcW w:w="2095" w:type="dxa"/>
            <w:noWrap w:val="0"/>
            <w:vAlign w:val="center"/>
          </w:tcPr>
          <w:p w14:paraId="0914FD3E">
            <w:pPr>
              <w:widowControl w:val="0"/>
              <w:adjustRightInd w:val="0"/>
              <w:snapToGrid w:val="0"/>
              <w:spacing w:beforeLines="0" w:afterLines="0"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最高限价</w:t>
            </w:r>
          </w:p>
        </w:tc>
        <w:tc>
          <w:tcPr>
            <w:tcW w:w="6320" w:type="dxa"/>
            <w:noWrap w:val="0"/>
            <w:vAlign w:val="center"/>
          </w:tcPr>
          <w:p w14:paraId="67145740">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□无</w:t>
            </w:r>
          </w:p>
          <w:p w14:paraId="5156A9B1">
            <w:pPr>
              <w:widowControl/>
              <w:spacing w:beforeLines="0" w:afterLines="0" w:line="360" w:lineRule="auto"/>
              <w:ind w:left="0" w:leftChars="0"/>
              <w:jc w:val="both"/>
              <w:rPr>
                <w:rFonts w:hint="default" w:ascii="宋体" w:hAnsi="宋体" w:eastAsia="宋体" w:cs="宋体"/>
                <w:b/>
                <w:bCs/>
                <w:color w:val="FF0000"/>
                <w:sz w:val="21"/>
                <w:szCs w:val="21"/>
                <w:highlight w:val="none"/>
                <w:lang w:val="en-US" w:eastAsia="zh-CN"/>
              </w:rPr>
            </w:pPr>
            <w:r>
              <w:rPr>
                <w:rFonts w:hint="eastAsia" w:ascii="宋体" w:hAnsi="宋体" w:eastAsia="宋体" w:cs="宋体"/>
                <w:b/>
                <w:bCs/>
                <w:sz w:val="21"/>
                <w:szCs w:val="21"/>
                <w:highlight w:val="none"/>
                <w:shd w:val="clear" w:color="auto" w:fill="FFFFFF"/>
              </w:rPr>
              <w:t>☑</w:t>
            </w:r>
            <w:r>
              <w:rPr>
                <w:rFonts w:hint="eastAsia" w:ascii="宋体" w:hAnsi="宋体" w:eastAsia="宋体" w:cs="宋体"/>
                <w:b/>
                <w:bCs/>
                <w:sz w:val="21"/>
                <w:szCs w:val="21"/>
                <w:highlight w:val="none"/>
              </w:rPr>
              <w:t>有，最高限价为：</w:t>
            </w:r>
            <w:r>
              <w:rPr>
                <w:rFonts w:hint="eastAsia" w:ascii="宋体" w:hAnsi="宋体" w:eastAsia="宋体" w:cs="宋体"/>
                <w:b/>
                <w:bCs/>
                <w:sz w:val="21"/>
                <w:szCs w:val="21"/>
                <w:highlight w:val="none"/>
                <w:lang w:val="en-US" w:eastAsia="zh-CN"/>
              </w:rPr>
              <w:t>小写：2191883.63元；大写：贰佰壹拾玖万壹仟捌佰捌拾叁元陆角叁分</w:t>
            </w:r>
          </w:p>
          <w:p w14:paraId="38909BFD">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投标报价超过最高限价的按无效标处理。</w:t>
            </w:r>
          </w:p>
        </w:tc>
      </w:tr>
      <w:tr w14:paraId="737DE6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1123" w:type="dxa"/>
            <w:noWrap w:val="0"/>
            <w:vAlign w:val="center"/>
          </w:tcPr>
          <w:p w14:paraId="0FE66B8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3.2.5</w:t>
            </w:r>
          </w:p>
        </w:tc>
        <w:tc>
          <w:tcPr>
            <w:tcW w:w="2095" w:type="dxa"/>
            <w:noWrap w:val="0"/>
            <w:vAlign w:val="center"/>
          </w:tcPr>
          <w:p w14:paraId="32B355D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投标报价的其</w:t>
            </w:r>
          </w:p>
          <w:p w14:paraId="0C12C0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他要求</w:t>
            </w:r>
          </w:p>
        </w:tc>
        <w:tc>
          <w:tcPr>
            <w:tcW w:w="6320" w:type="dxa"/>
            <w:noWrap w:val="0"/>
            <w:vAlign w:val="center"/>
          </w:tcPr>
          <w:p w14:paraId="164B0DC8">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无</w:t>
            </w:r>
          </w:p>
        </w:tc>
      </w:tr>
      <w:tr w14:paraId="3435DF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7D352AC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3.3.1</w:t>
            </w:r>
          </w:p>
        </w:tc>
        <w:tc>
          <w:tcPr>
            <w:tcW w:w="2095" w:type="dxa"/>
            <w:noWrap w:val="0"/>
            <w:vAlign w:val="center"/>
          </w:tcPr>
          <w:p w14:paraId="0F6B3D8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投标有效期</w:t>
            </w:r>
          </w:p>
        </w:tc>
        <w:tc>
          <w:tcPr>
            <w:tcW w:w="6320" w:type="dxa"/>
            <w:noWrap w:val="0"/>
            <w:vAlign w:val="center"/>
          </w:tcPr>
          <w:p w14:paraId="4E63A5DC">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90日历天（从投标截止之日算起）</w:t>
            </w:r>
          </w:p>
        </w:tc>
      </w:tr>
      <w:tr w14:paraId="064BC2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4A0065DD">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CC2777E">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4FD3126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3.4.1</w:t>
            </w:r>
          </w:p>
        </w:tc>
        <w:tc>
          <w:tcPr>
            <w:tcW w:w="2095" w:type="dxa"/>
            <w:noWrap w:val="0"/>
            <w:vAlign w:val="center"/>
          </w:tcPr>
          <w:p w14:paraId="38A9F58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6320" w:type="dxa"/>
            <w:noWrap w:val="0"/>
            <w:vAlign w:val="center"/>
          </w:tcPr>
          <w:p w14:paraId="65DCE2E9">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是否要求提交投标保证金</w:t>
            </w:r>
          </w:p>
          <w:p w14:paraId="76F0A54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 xml:space="preserve">☑要求  </w:t>
            </w:r>
          </w:p>
          <w:p w14:paraId="59476888">
            <w:pPr>
              <w:widowControl w:val="0"/>
              <w:spacing w:beforeLines="0" w:afterLines="0" w:line="360" w:lineRule="auto"/>
              <w:ind w:left="0" w:right="0"/>
              <w:jc w:val="both"/>
              <w:rPr>
                <w:rFonts w:hint="eastAsia" w:ascii="宋体" w:hAnsi="宋体" w:eastAsia="宋体" w:cs="宋体"/>
                <w:b/>
                <w:bCs/>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投标保证金的金额：</w:t>
            </w:r>
            <w:r>
              <w:rPr>
                <w:rFonts w:hint="eastAsia" w:ascii="宋体" w:hAnsi="宋体" w:eastAsia="宋体" w:cs="宋体"/>
                <w:b/>
                <w:bCs/>
                <w:kern w:val="2"/>
                <w:sz w:val="21"/>
                <w:szCs w:val="21"/>
                <w:highlight w:val="none"/>
                <w:shd w:val="clear" w:color="auto" w:fill="auto"/>
                <w:lang w:val="en-US" w:eastAsia="zh-CN" w:bidi="ar-SA"/>
              </w:rPr>
              <w:t>人民币贰万元整</w:t>
            </w:r>
            <w:r>
              <w:rPr>
                <w:rFonts w:hint="eastAsia" w:ascii="宋体" w:hAnsi="宋体" w:eastAsia="宋体" w:cs="宋体"/>
                <w:b/>
                <w:bCs/>
                <w:kern w:val="2"/>
                <w:sz w:val="21"/>
                <w:szCs w:val="21"/>
                <w:highlight w:val="none"/>
                <w:shd w:val="clear" w:color="auto" w:fill="FFFFFF"/>
                <w:lang w:val="en-US" w:eastAsia="zh-CN" w:bidi="ar-SA"/>
              </w:rPr>
              <w:t>；</w:t>
            </w:r>
          </w:p>
          <w:p w14:paraId="2FC6C7AA">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投标保证金提交截止时间：同投标截止时间</w:t>
            </w:r>
          </w:p>
          <w:p w14:paraId="277B0D7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投标保证金递交形式：银行转账、电子保函等。</w:t>
            </w:r>
          </w:p>
          <w:p w14:paraId="42DF817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3558BE13">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人将投标保证金于开标时间前登录交易系统从本公司基本账户一次性足额存至驻马店市公共资源交易平台指定账户,不得以现金提交，逾期到账的投标保证金不予受理。（未从基本账户汇出或未按时到账者视为无效）。如联合体投标，应当以联合体中牵头人的名义提交保证金。</w:t>
            </w:r>
          </w:p>
          <w:p w14:paraId="16490238">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2、电子投标保函缴纳方式：</w:t>
            </w:r>
          </w:p>
          <w:p w14:paraId="638A19D2">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①投标人必须首先确认本企业诚信库内填写的基本账户相关信息真实准确；</w:t>
            </w:r>
          </w:p>
          <w:p w14:paraId="011D0880">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②企业可以在交易平台电子交易系统业务管理“电子保函申请”功能中自主选择电子保函平台、承保机构办理电子保函业务；</w:t>
            </w:r>
          </w:p>
          <w:p w14:paraId="2214B9FE">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③办理电子投标保函费用必须出自投标人基本账户；</w:t>
            </w:r>
          </w:p>
          <w:p w14:paraId="7AFAEE10">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52897A2F">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交易平台技术咨询：0396-2613088</w:t>
            </w:r>
          </w:p>
          <w:p w14:paraId="53FF15EE">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□不要求</w:t>
            </w:r>
          </w:p>
        </w:tc>
      </w:tr>
      <w:tr w14:paraId="7D1F13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123" w:type="dxa"/>
            <w:noWrap w:val="0"/>
            <w:vAlign w:val="center"/>
          </w:tcPr>
          <w:p w14:paraId="2AF09EA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3.4.4</w:t>
            </w:r>
          </w:p>
        </w:tc>
        <w:tc>
          <w:tcPr>
            <w:tcW w:w="2095" w:type="dxa"/>
            <w:noWrap w:val="0"/>
            <w:vAlign w:val="center"/>
          </w:tcPr>
          <w:p w14:paraId="34AEAD2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其他可以不予退还投标保证金的情形</w:t>
            </w:r>
          </w:p>
        </w:tc>
        <w:tc>
          <w:tcPr>
            <w:tcW w:w="6320" w:type="dxa"/>
            <w:noWrap w:val="0"/>
            <w:vAlign w:val="center"/>
          </w:tcPr>
          <w:p w14:paraId="17C235E8">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有串通投标、弄虚作假、行贿等违法行为的；被查实存在影响中标结果的违法行为的。</w:t>
            </w:r>
          </w:p>
        </w:tc>
      </w:tr>
      <w:tr w14:paraId="17801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1123" w:type="dxa"/>
            <w:noWrap w:val="0"/>
            <w:vAlign w:val="center"/>
          </w:tcPr>
          <w:p w14:paraId="4124B0D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2095" w:type="dxa"/>
            <w:noWrap w:val="0"/>
            <w:vAlign w:val="center"/>
          </w:tcPr>
          <w:p w14:paraId="7F64EE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资格审查资料的特殊要求</w:t>
            </w:r>
          </w:p>
        </w:tc>
        <w:tc>
          <w:tcPr>
            <w:tcW w:w="6320" w:type="dxa"/>
            <w:noWrap w:val="0"/>
            <w:vAlign w:val="center"/>
          </w:tcPr>
          <w:p w14:paraId="5C3C73A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□无</w:t>
            </w:r>
          </w:p>
          <w:p w14:paraId="7AC4CAF2">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有，具体要求：投标人无需递交纸质投标文件及原件，投标企业应在项目开标前，将项目负责人、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20A8E6C5">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（注：各投标企业应如实填报诚信库信息，因交易主体自行填报信息的错误、缺项、虚假而造成的后果由交易主体自行承担。）</w:t>
            </w:r>
          </w:p>
        </w:tc>
      </w:tr>
      <w:tr w14:paraId="0637C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F5B186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3.5.2</w:t>
            </w:r>
          </w:p>
        </w:tc>
        <w:tc>
          <w:tcPr>
            <w:tcW w:w="2095" w:type="dxa"/>
            <w:noWrap w:val="0"/>
            <w:vAlign w:val="center"/>
          </w:tcPr>
          <w:p w14:paraId="23E70B4E">
            <w:pPr>
              <w:keepNext w:val="0"/>
              <w:keepLines w:val="0"/>
              <w:pageBreakBefore w:val="0"/>
              <w:widowControl w:val="0"/>
              <w:kinsoku/>
              <w:wordWrap/>
              <w:overflowPunct/>
              <w:topLinePunct w:val="0"/>
              <w:bidi w:val="0"/>
              <w:snapToGrid/>
              <w:spacing w:line="360" w:lineRule="auto"/>
              <w:ind w:left="105" w:leftChars="5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近年财务状况的年份要求</w:t>
            </w:r>
          </w:p>
        </w:tc>
        <w:tc>
          <w:tcPr>
            <w:tcW w:w="6320" w:type="dxa"/>
            <w:noWrap w:val="0"/>
            <w:vAlign w:val="center"/>
          </w:tcPr>
          <w:p w14:paraId="2E2FAFBD">
            <w:pPr>
              <w:keepNext w:val="0"/>
              <w:keepLines w:val="0"/>
              <w:pageBreakBefore w:val="0"/>
              <w:widowControl w:val="0"/>
              <w:kinsoku/>
              <w:wordWrap/>
              <w:overflowPunct/>
              <w:topLinePunct w:val="0"/>
              <w:autoSpaceDE/>
              <w:autoSpaceDN/>
              <w:bidi w:val="0"/>
              <w:adjustRightInd w:val="0"/>
              <w:snapToGrid/>
              <w:spacing w:before="157" w:beforeLines="50" w:line="360" w:lineRule="auto"/>
              <w:ind w:left="0" w:leftChars="0" w:firstLine="0" w:firstLine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67FCAA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4D5C9E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3.5.3</w:t>
            </w:r>
          </w:p>
        </w:tc>
        <w:tc>
          <w:tcPr>
            <w:tcW w:w="2095" w:type="dxa"/>
            <w:noWrap w:val="0"/>
            <w:vAlign w:val="top"/>
          </w:tcPr>
          <w:p w14:paraId="285862D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完成的类似项目情况的时间要求</w:t>
            </w:r>
          </w:p>
        </w:tc>
        <w:tc>
          <w:tcPr>
            <w:tcW w:w="6320" w:type="dxa"/>
            <w:noWrap w:val="0"/>
            <w:vAlign w:val="center"/>
          </w:tcPr>
          <w:p w14:paraId="338A052E">
            <w:pPr>
              <w:widowControl w:val="0"/>
              <w:tabs>
                <w:tab w:val="left" w:pos="799"/>
                <w:tab w:val="left" w:pos="1569"/>
                <w:tab w:val="left" w:pos="2340"/>
              </w:tabs>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u w:val="none"/>
                <w:lang w:val="en-US" w:eastAsia="en-US" w:bidi="ar-SA"/>
              </w:rPr>
              <w:t>20</w:t>
            </w:r>
            <w:r>
              <w:rPr>
                <w:rFonts w:hint="eastAsia" w:ascii="宋体" w:hAnsi="宋体" w:eastAsia="宋体" w:cs="宋体"/>
                <w:kern w:val="0"/>
                <w:sz w:val="21"/>
                <w:szCs w:val="21"/>
                <w:highlight w:val="none"/>
                <w:u w:val="none"/>
                <w:lang w:val="en-US" w:eastAsia="zh-CN" w:bidi="ar-SA"/>
              </w:rPr>
              <w:t>21</w:t>
            </w:r>
            <w:r>
              <w:rPr>
                <w:rFonts w:hint="eastAsia" w:ascii="宋体" w:hAnsi="宋体" w:eastAsia="宋体" w:cs="宋体"/>
                <w:kern w:val="0"/>
                <w:sz w:val="21"/>
                <w:szCs w:val="21"/>
                <w:highlight w:val="none"/>
                <w:u w:val="none"/>
                <w:lang w:val="en-US" w:eastAsia="en-US" w:bidi="ar-SA"/>
              </w:rPr>
              <w:t>年</w:t>
            </w:r>
            <w:r>
              <w:rPr>
                <w:rFonts w:hint="eastAsia" w:ascii="宋体" w:hAnsi="宋体" w:eastAsia="宋体" w:cs="宋体"/>
                <w:kern w:val="0"/>
                <w:sz w:val="21"/>
                <w:szCs w:val="21"/>
                <w:highlight w:val="none"/>
                <w:u w:val="none"/>
                <w:lang w:val="en-US" w:eastAsia="zh-CN" w:bidi="ar-SA"/>
              </w:rPr>
              <w:t>9</w:t>
            </w:r>
            <w:r>
              <w:rPr>
                <w:rFonts w:hint="eastAsia" w:ascii="宋体" w:hAnsi="宋体" w:eastAsia="宋体" w:cs="宋体"/>
                <w:kern w:val="0"/>
                <w:sz w:val="21"/>
                <w:szCs w:val="21"/>
                <w:highlight w:val="none"/>
                <w:u w:val="none"/>
                <w:lang w:val="en-US" w:eastAsia="en-US" w:bidi="ar-SA"/>
              </w:rPr>
              <w:t>月1</w:t>
            </w:r>
            <w:r>
              <w:rPr>
                <w:rFonts w:hint="eastAsia" w:ascii="宋体" w:hAnsi="宋体" w:eastAsia="宋体" w:cs="宋体"/>
                <w:kern w:val="0"/>
                <w:sz w:val="21"/>
                <w:szCs w:val="21"/>
                <w:highlight w:val="none"/>
                <w:lang w:val="en-US" w:eastAsia="en-US" w:bidi="ar-SA"/>
              </w:rPr>
              <w:t>日</w:t>
            </w:r>
            <w:r>
              <w:rPr>
                <w:rFonts w:hint="eastAsia" w:ascii="宋体" w:hAnsi="宋体" w:eastAsia="宋体" w:cs="宋体"/>
                <w:kern w:val="0"/>
                <w:sz w:val="21"/>
                <w:szCs w:val="21"/>
                <w:highlight w:val="none"/>
                <w:lang w:val="en-US" w:eastAsia="zh-CN" w:bidi="ar-SA"/>
              </w:rPr>
              <w:t>以来</w:t>
            </w:r>
          </w:p>
        </w:tc>
      </w:tr>
      <w:tr w14:paraId="0D599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jc w:val="center"/>
        </w:trPr>
        <w:tc>
          <w:tcPr>
            <w:tcW w:w="1123" w:type="dxa"/>
            <w:noWrap w:val="0"/>
            <w:vAlign w:val="center"/>
          </w:tcPr>
          <w:p w14:paraId="4FDE690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3.6.1</w:t>
            </w:r>
          </w:p>
        </w:tc>
        <w:tc>
          <w:tcPr>
            <w:tcW w:w="2095" w:type="dxa"/>
            <w:noWrap w:val="0"/>
            <w:vAlign w:val="center"/>
          </w:tcPr>
          <w:p w14:paraId="41759F5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是否允许递交备选投标方案</w:t>
            </w:r>
          </w:p>
        </w:tc>
        <w:tc>
          <w:tcPr>
            <w:tcW w:w="6320" w:type="dxa"/>
            <w:noWrap w:val="0"/>
            <w:vAlign w:val="center"/>
          </w:tcPr>
          <w:p w14:paraId="6226F882">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不允许</w:t>
            </w:r>
          </w:p>
          <w:p w14:paraId="56EEAE62">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允许</w:t>
            </w:r>
          </w:p>
        </w:tc>
      </w:tr>
      <w:tr w14:paraId="18CA8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4DD695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3.7.3（1）</w:t>
            </w:r>
          </w:p>
        </w:tc>
        <w:tc>
          <w:tcPr>
            <w:tcW w:w="2095" w:type="dxa"/>
            <w:noWrap w:val="0"/>
            <w:vAlign w:val="center"/>
          </w:tcPr>
          <w:p w14:paraId="3A7B1689">
            <w:pPr>
              <w:keepNext w:val="0"/>
              <w:keepLines w:val="0"/>
              <w:pageBreakBefore w:val="0"/>
              <w:widowControl w:val="0"/>
              <w:kinsoku/>
              <w:wordWrap/>
              <w:overflowPunct/>
              <w:topLinePunct w:val="0"/>
              <w:bidi w:val="0"/>
              <w:snapToGrid/>
              <w:spacing w:line="360" w:lineRule="auto"/>
              <w:ind w:left="105" w:leftChars="50" w:right="144" w:rightChars="0"/>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投标文件所附证书证件要求</w:t>
            </w:r>
          </w:p>
        </w:tc>
        <w:tc>
          <w:tcPr>
            <w:tcW w:w="6320" w:type="dxa"/>
            <w:noWrap w:val="0"/>
            <w:vAlign w:val="center"/>
          </w:tcPr>
          <w:p w14:paraId="43F74FA2">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sz w:val="21"/>
                <w:szCs w:val="21"/>
                <w:highlight w:val="none"/>
                <w:bdr w:val="single" w:color="auto" w:sz="4" w:space="0"/>
              </w:rPr>
            </w:pPr>
            <w:r>
              <w:rPr>
                <w:rFonts w:hint="eastAsia" w:ascii="宋体" w:hAnsi="宋体" w:eastAsia="宋体" w:cs="宋体"/>
                <w:color w:val="auto"/>
                <w:sz w:val="21"/>
                <w:szCs w:val="21"/>
                <w:highlight w:val="none"/>
              </w:rPr>
              <w:t>投标文件所附证书证件均为原件扫描件</w:t>
            </w:r>
            <w:r>
              <w:rPr>
                <w:rFonts w:hint="eastAsia" w:ascii="宋体" w:hAnsi="宋体" w:eastAsia="宋体" w:cs="宋体"/>
                <w:color w:val="auto"/>
                <w:sz w:val="21"/>
                <w:szCs w:val="21"/>
                <w:highlight w:val="none"/>
                <w:lang w:val="en-US" w:eastAsia="zh-CN"/>
              </w:rPr>
              <w:t>或复印件</w:t>
            </w:r>
            <w:r>
              <w:rPr>
                <w:rFonts w:hint="eastAsia" w:ascii="宋体" w:hAnsi="宋体" w:eastAsia="宋体" w:cs="宋体"/>
                <w:color w:val="auto"/>
                <w:sz w:val="21"/>
                <w:szCs w:val="21"/>
                <w:highlight w:val="none"/>
              </w:rPr>
              <w:t>或照片</w:t>
            </w:r>
          </w:p>
        </w:tc>
      </w:tr>
      <w:tr w14:paraId="3D3DB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1" w:hRule="atLeast"/>
          <w:jc w:val="center"/>
        </w:trPr>
        <w:tc>
          <w:tcPr>
            <w:tcW w:w="1123" w:type="dxa"/>
            <w:noWrap w:val="0"/>
            <w:vAlign w:val="center"/>
          </w:tcPr>
          <w:p w14:paraId="60FA834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3.7.3（2）</w:t>
            </w:r>
          </w:p>
        </w:tc>
        <w:tc>
          <w:tcPr>
            <w:tcW w:w="2095" w:type="dxa"/>
            <w:noWrap w:val="0"/>
            <w:vAlign w:val="center"/>
          </w:tcPr>
          <w:p w14:paraId="4759A32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投标文件签字或盖章要求</w:t>
            </w:r>
          </w:p>
        </w:tc>
        <w:tc>
          <w:tcPr>
            <w:tcW w:w="6320" w:type="dxa"/>
            <w:noWrap w:val="0"/>
            <w:vAlign w:val="center"/>
          </w:tcPr>
          <w:p w14:paraId="442B6965">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71FAAC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1" w:hRule="atLeast"/>
          <w:jc w:val="center"/>
        </w:trPr>
        <w:tc>
          <w:tcPr>
            <w:tcW w:w="1123" w:type="dxa"/>
            <w:noWrap w:val="0"/>
            <w:vAlign w:val="center"/>
          </w:tcPr>
          <w:p w14:paraId="050AAA0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p>
        </w:tc>
        <w:tc>
          <w:tcPr>
            <w:tcW w:w="2095" w:type="dxa"/>
            <w:noWrap w:val="0"/>
            <w:vAlign w:val="center"/>
          </w:tcPr>
          <w:p w14:paraId="3D628357">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leftChars="0" w:right="0" w:rightChars="0"/>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中标后</w:t>
            </w:r>
            <w:r>
              <w:rPr>
                <w:rFonts w:hint="eastAsia" w:ascii="宋体" w:hAnsi="宋体" w:eastAsia="宋体" w:cs="宋体"/>
                <w:color w:val="auto"/>
                <w:sz w:val="21"/>
                <w:szCs w:val="21"/>
                <w:highlight w:val="none"/>
                <w:lang w:eastAsia="zh-CN"/>
              </w:rPr>
              <w:t>需提交</w:t>
            </w:r>
            <w:r>
              <w:rPr>
                <w:rFonts w:hint="eastAsia" w:ascii="宋体" w:hAnsi="宋体" w:eastAsia="宋体" w:cs="宋体"/>
                <w:color w:val="auto"/>
                <w:sz w:val="21"/>
                <w:szCs w:val="21"/>
                <w:highlight w:val="none"/>
              </w:rPr>
              <w:t>的投标文件</w:t>
            </w:r>
          </w:p>
        </w:tc>
        <w:tc>
          <w:tcPr>
            <w:tcW w:w="6320" w:type="dxa"/>
            <w:noWrap w:val="0"/>
            <w:vAlign w:val="center"/>
          </w:tcPr>
          <w:p w14:paraId="22674A23">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leftChars="0" w:right="0" w:rightChars="0"/>
              <w:jc w:val="left"/>
              <w:textAlignment w:val="auto"/>
              <w:rPr>
                <w:rFonts w:hint="eastAsia" w:ascii="宋体" w:hAnsi="宋体" w:eastAsia="宋体" w:cs="宋体"/>
                <w:b/>
                <w:sz w:val="21"/>
                <w:szCs w:val="21"/>
                <w:highlight w:val="none"/>
                <w:lang w:eastAsia="zh-CN"/>
              </w:rPr>
            </w:pPr>
            <w:r>
              <w:rPr>
                <w:rFonts w:hint="eastAsia" w:ascii="宋体" w:hAnsi="宋体" w:eastAsia="宋体" w:cs="宋体"/>
                <w:color w:val="auto"/>
                <w:sz w:val="21"/>
                <w:szCs w:val="21"/>
                <w:highlight w:val="none"/>
              </w:rPr>
              <w:t>与上传的电子投标文件内容完全相同的纸质投标文件</w:t>
            </w:r>
            <w:r>
              <w:rPr>
                <w:rFonts w:hint="eastAsia" w:ascii="宋体" w:hAnsi="宋体" w:eastAsia="宋体" w:cs="宋体"/>
                <w:color w:val="auto"/>
                <w:sz w:val="21"/>
                <w:szCs w:val="21"/>
                <w:highlight w:val="none"/>
                <w:lang w:val="en-US" w:eastAsia="zh-CN"/>
              </w:rPr>
              <w:t>（份数及形式以招标人实际通知为准）。</w:t>
            </w:r>
          </w:p>
        </w:tc>
      </w:tr>
      <w:tr w14:paraId="29F54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1123" w:type="dxa"/>
            <w:noWrap w:val="0"/>
            <w:vAlign w:val="center"/>
          </w:tcPr>
          <w:p w14:paraId="74A19BD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4.1.1</w:t>
            </w:r>
          </w:p>
        </w:tc>
        <w:tc>
          <w:tcPr>
            <w:tcW w:w="2095" w:type="dxa"/>
            <w:noWrap w:val="0"/>
            <w:vAlign w:val="center"/>
          </w:tcPr>
          <w:p w14:paraId="155C0B7A">
            <w:pPr>
              <w:keepNext w:val="0"/>
              <w:keepLines w:val="0"/>
              <w:pageBreakBefore w:val="0"/>
              <w:widowControl w:val="0"/>
              <w:kinsoku/>
              <w:wordWrap/>
              <w:overflowPunct/>
              <w:topLinePunct w:val="0"/>
              <w:bidi w:val="0"/>
              <w:snapToGrid/>
              <w:spacing w:line="360" w:lineRule="auto"/>
              <w:ind w:left="105" w:leftChars="5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投标文件加密要求</w:t>
            </w:r>
          </w:p>
        </w:tc>
        <w:tc>
          <w:tcPr>
            <w:tcW w:w="6320" w:type="dxa"/>
            <w:noWrap w:val="0"/>
            <w:vAlign w:val="center"/>
          </w:tcPr>
          <w:p w14:paraId="3E95FA56">
            <w:pPr>
              <w:keepNext w:val="0"/>
              <w:keepLines w:val="0"/>
              <w:pageBreakBefore w:val="0"/>
              <w:widowControl w:val="0"/>
              <w:kinsoku/>
              <w:wordWrap/>
              <w:overflowPunct/>
              <w:topLinePunct w:val="0"/>
              <w:bidi w:val="0"/>
              <w:snapToGrid/>
              <w:spacing w:line="360" w:lineRule="auto"/>
              <w:jc w:val="both"/>
              <w:textAlignment w:val="auto"/>
              <w:outlineLvl w:val="9"/>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按照电子招标投标交易平台的要求加密投标文件</w:t>
            </w:r>
          </w:p>
        </w:tc>
      </w:tr>
      <w:tr w14:paraId="428E5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0" w:hRule="atLeast"/>
          <w:jc w:val="center"/>
        </w:trPr>
        <w:tc>
          <w:tcPr>
            <w:tcW w:w="1123" w:type="dxa"/>
            <w:noWrap w:val="0"/>
            <w:vAlign w:val="center"/>
          </w:tcPr>
          <w:p w14:paraId="49A2DC7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4.2.1</w:t>
            </w:r>
          </w:p>
        </w:tc>
        <w:tc>
          <w:tcPr>
            <w:tcW w:w="2095" w:type="dxa"/>
            <w:noWrap w:val="0"/>
            <w:vAlign w:val="center"/>
          </w:tcPr>
          <w:p w14:paraId="7C7795E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w:t>
            </w:r>
          </w:p>
        </w:tc>
        <w:tc>
          <w:tcPr>
            <w:tcW w:w="6320" w:type="dxa"/>
            <w:noWrap w:val="0"/>
            <w:vAlign w:val="center"/>
          </w:tcPr>
          <w:p w14:paraId="13309C98">
            <w:pPr>
              <w:widowControl/>
              <w:tabs>
                <w:tab w:val="left" w:pos="1157"/>
              </w:tabs>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2026年10月19日上午9时00分</w:t>
            </w:r>
            <w:r>
              <w:rPr>
                <w:rFonts w:hint="eastAsia" w:ascii="宋体" w:hAnsi="宋体" w:eastAsia="宋体" w:cs="宋体"/>
                <w:b/>
                <w:bCs/>
                <w:spacing w:val="-6"/>
                <w:kern w:val="0"/>
                <w:sz w:val="21"/>
                <w:szCs w:val="21"/>
                <w:highlight w:val="none"/>
              </w:rPr>
              <w:t>（北京时间）</w:t>
            </w:r>
          </w:p>
        </w:tc>
      </w:tr>
      <w:tr w14:paraId="13B97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1123" w:type="dxa"/>
            <w:noWrap w:val="0"/>
            <w:vAlign w:val="center"/>
          </w:tcPr>
          <w:p w14:paraId="184F165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4.2.2</w:t>
            </w:r>
          </w:p>
        </w:tc>
        <w:tc>
          <w:tcPr>
            <w:tcW w:w="2095" w:type="dxa"/>
            <w:noWrap w:val="0"/>
            <w:vAlign w:val="center"/>
          </w:tcPr>
          <w:p w14:paraId="4BF1DB90">
            <w:pPr>
              <w:keepNext w:val="0"/>
              <w:keepLines w:val="0"/>
              <w:pageBreakBefore w:val="0"/>
              <w:widowControl w:val="0"/>
              <w:kinsoku/>
              <w:wordWrap/>
              <w:overflowPunct/>
              <w:topLinePunct w:val="0"/>
              <w:bidi w:val="0"/>
              <w:snapToGrid/>
              <w:spacing w:line="360" w:lineRule="auto"/>
              <w:ind w:left="105" w:leftChars="5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递交投标文件地点</w:t>
            </w:r>
          </w:p>
        </w:tc>
        <w:tc>
          <w:tcPr>
            <w:tcW w:w="6320" w:type="dxa"/>
            <w:noWrap w:val="0"/>
            <w:vAlign w:val="center"/>
          </w:tcPr>
          <w:p w14:paraId="536D0F3F">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驻马店市公共资源交易平台系统</w:t>
            </w:r>
          </w:p>
          <w:p w14:paraId="00A3C364">
            <w:pPr>
              <w:keepNext w:val="0"/>
              <w:keepLines w:val="0"/>
              <w:pageBreakBefore w:val="0"/>
              <w:widowControl/>
              <w:kinsoku/>
              <w:wordWrap/>
              <w:overflowPunct/>
              <w:topLinePunct w:val="0"/>
              <w:bidi w:val="0"/>
              <w:snapToGrid/>
              <w:spacing w:line="360" w:lineRule="auto"/>
              <w:jc w:val="both"/>
              <w:textAlignment w:val="auto"/>
              <w:outlineLvl w:val="9"/>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06EAE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7BE867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4.2.3</w:t>
            </w:r>
          </w:p>
        </w:tc>
        <w:tc>
          <w:tcPr>
            <w:tcW w:w="2095" w:type="dxa"/>
            <w:noWrap w:val="0"/>
            <w:vAlign w:val="center"/>
          </w:tcPr>
          <w:p w14:paraId="465DDFD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投标文件是否退还</w:t>
            </w:r>
          </w:p>
        </w:tc>
        <w:tc>
          <w:tcPr>
            <w:tcW w:w="6320" w:type="dxa"/>
            <w:noWrap w:val="0"/>
            <w:vAlign w:val="center"/>
          </w:tcPr>
          <w:p w14:paraId="62304DFD">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☑否</w:t>
            </w:r>
          </w:p>
          <w:p w14:paraId="6D007A92">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□是，退还时间：</w:t>
            </w:r>
          </w:p>
        </w:tc>
      </w:tr>
      <w:tr w14:paraId="57CE75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123" w:type="dxa"/>
            <w:noWrap w:val="0"/>
            <w:vAlign w:val="center"/>
          </w:tcPr>
          <w:p w14:paraId="6102F7C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2095" w:type="dxa"/>
            <w:noWrap w:val="0"/>
            <w:vAlign w:val="center"/>
          </w:tcPr>
          <w:p w14:paraId="795D652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开标时间和地点</w:t>
            </w:r>
          </w:p>
        </w:tc>
        <w:tc>
          <w:tcPr>
            <w:tcW w:w="6320" w:type="dxa"/>
            <w:noWrap w:val="0"/>
            <w:vAlign w:val="center"/>
          </w:tcPr>
          <w:p w14:paraId="23EF8AD5">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开标时间：2026年</w:t>
            </w:r>
            <w:r>
              <w:rPr>
                <w:rFonts w:hint="eastAsia" w:ascii="宋体" w:hAnsi="宋体" w:eastAsia="宋体" w:cs="宋体"/>
                <w:b/>
                <w:bCs/>
                <w:color w:val="auto"/>
                <w:sz w:val="21"/>
                <w:szCs w:val="21"/>
                <w:highlight w:val="none"/>
                <w:lang w:val="en-US" w:eastAsia="zh-CN"/>
              </w:rPr>
              <w:t>10月19日</w:t>
            </w:r>
            <w:r>
              <w:rPr>
                <w:rFonts w:hint="eastAsia" w:ascii="宋体" w:hAnsi="宋体" w:eastAsia="宋体" w:cs="宋体"/>
                <w:b/>
                <w:bCs/>
                <w:spacing w:val="-6"/>
                <w:kern w:val="0"/>
                <w:sz w:val="21"/>
                <w:szCs w:val="21"/>
                <w:highlight w:val="none"/>
                <w:lang w:val="en-US" w:eastAsia="zh-CN" w:bidi="ar-SA"/>
              </w:rPr>
              <w:t>9时00分（北京时间）</w:t>
            </w:r>
          </w:p>
          <w:p w14:paraId="516BD16F">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开标地点：驻马店市公共资源交易平台不见面开标大厅</w:t>
            </w:r>
          </w:p>
          <w:p w14:paraId="4615021B">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（电子投标文件必须凭制作投标文件所用的 CA 密钥在30分钟内完成解密）。</w:t>
            </w:r>
          </w:p>
        </w:tc>
      </w:tr>
      <w:tr w14:paraId="3A304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335F09A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w:t>
            </w:r>
          </w:p>
        </w:tc>
        <w:tc>
          <w:tcPr>
            <w:tcW w:w="2095" w:type="dxa"/>
            <w:noWrap w:val="0"/>
            <w:vAlign w:val="center"/>
          </w:tcPr>
          <w:p w14:paraId="23A404E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开标程序</w:t>
            </w:r>
          </w:p>
        </w:tc>
        <w:tc>
          <w:tcPr>
            <w:tcW w:w="6320" w:type="dxa"/>
            <w:noWrap w:val="0"/>
            <w:vAlign w:val="top"/>
          </w:tcPr>
          <w:p w14:paraId="53718B67">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left="0" w:left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w:t>
            </w:r>
            <w:r>
              <w:rPr>
                <w:rFonts w:hint="eastAsia" w:ascii="宋体" w:hAnsi="宋体" w:eastAsia="宋体" w:cs="宋体"/>
                <w:b/>
                <w:bCs/>
                <w:kern w:val="0"/>
                <w:sz w:val="21"/>
                <w:szCs w:val="21"/>
                <w:highlight w:val="none"/>
                <w:lang w:val="en-US" w:eastAsia="zh-CN" w:bidi="ar-SA"/>
              </w:rPr>
              <w:t>因投标人原因未能解密、解密失败或解密超时，视为投标人撤销其投标文件，系统内投标文件将被退回</w:t>
            </w:r>
            <w:r>
              <w:rPr>
                <w:rFonts w:hint="eastAsia" w:ascii="宋体" w:hAnsi="宋体" w:eastAsia="宋体" w:cs="宋体"/>
                <w:kern w:val="0"/>
                <w:sz w:val="21"/>
                <w:szCs w:val="21"/>
                <w:highlight w:val="none"/>
                <w:lang w:val="en-US" w:eastAsia="zh-CN" w:bidi="ar-SA"/>
              </w:rPr>
              <w:t>；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84F826D">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2、在投标截止时间前，各投标人必须在网上开标系统内完成签到，否则其投标按无效标处理，系统内投标文件将被退回。</w:t>
            </w:r>
          </w:p>
        </w:tc>
      </w:tr>
      <w:tr w14:paraId="387F74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191EEF1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5.3</w:t>
            </w:r>
          </w:p>
        </w:tc>
        <w:tc>
          <w:tcPr>
            <w:tcW w:w="2095" w:type="dxa"/>
            <w:noWrap w:val="0"/>
            <w:vAlign w:val="center"/>
          </w:tcPr>
          <w:p w14:paraId="6B260EE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开标异议</w:t>
            </w:r>
          </w:p>
        </w:tc>
        <w:tc>
          <w:tcPr>
            <w:tcW w:w="6320" w:type="dxa"/>
            <w:noWrap w:val="0"/>
            <w:vAlign w:val="top"/>
          </w:tcPr>
          <w:p w14:paraId="737CF817">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投标人对开标有异议的，应当在开标环节提出，招标人当场作出答复，并制作记录。</w:t>
            </w:r>
          </w:p>
        </w:tc>
      </w:tr>
      <w:tr w14:paraId="0977C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240DF0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2095" w:type="dxa"/>
            <w:noWrap w:val="0"/>
            <w:vAlign w:val="center"/>
          </w:tcPr>
          <w:p w14:paraId="5DACD84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评标委员会的组建</w:t>
            </w:r>
          </w:p>
        </w:tc>
        <w:tc>
          <w:tcPr>
            <w:tcW w:w="6320" w:type="dxa"/>
            <w:noWrap w:val="0"/>
            <w:vAlign w:val="center"/>
          </w:tcPr>
          <w:p w14:paraId="45BF9AEC">
            <w:pPr>
              <w:widowControl/>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kern w:val="0"/>
                <w:sz w:val="21"/>
                <w:szCs w:val="21"/>
                <w:highlight w:val="none"/>
              </w:rPr>
              <w:t>人组成；</w:t>
            </w:r>
          </w:p>
          <w:p w14:paraId="7D417F21">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E751B04">
            <w:pPr>
              <w:widowControl/>
              <w:wordWrap w:val="0"/>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人（招标人代表应当从招标人本单位、本级系统内正式工作人员或河南省综合评标专家库本行业专家中产生。）</w:t>
            </w:r>
          </w:p>
          <w:p w14:paraId="5CB8005D">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4 </w:t>
            </w:r>
            <w:r>
              <w:rPr>
                <w:rFonts w:hint="eastAsia" w:ascii="宋体" w:hAnsi="宋体" w:eastAsia="宋体" w:cs="宋体"/>
                <w:color w:val="auto"/>
                <w:sz w:val="21"/>
                <w:szCs w:val="21"/>
                <w:highlight w:val="none"/>
              </w:rPr>
              <w:t>人；</w:t>
            </w:r>
          </w:p>
          <w:p w14:paraId="383C939D">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0EC76D9A">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2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1F046093">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 xml:space="preserve">     </w:t>
            </w:r>
          </w:p>
        </w:tc>
      </w:tr>
      <w:tr w14:paraId="48555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AA6646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6.3.2</w:t>
            </w:r>
          </w:p>
        </w:tc>
        <w:tc>
          <w:tcPr>
            <w:tcW w:w="2095" w:type="dxa"/>
            <w:noWrap w:val="0"/>
            <w:vAlign w:val="center"/>
          </w:tcPr>
          <w:p w14:paraId="6B4E615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评标委员会推荐中标候选人的人数</w:t>
            </w:r>
          </w:p>
        </w:tc>
        <w:tc>
          <w:tcPr>
            <w:tcW w:w="6320" w:type="dxa"/>
            <w:noWrap w:val="0"/>
            <w:vAlign w:val="center"/>
          </w:tcPr>
          <w:p w14:paraId="12ADEE6E">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推荐中标候选人：</w:t>
            </w:r>
          </w:p>
          <w:p w14:paraId="706EF10B">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评标委员会对进入详细评审阶段的有效投标人按照招标文件要求进行评审，并按得分由高到低顺序推荐中标候选人。</w:t>
            </w:r>
          </w:p>
          <w:p w14:paraId="546988E3">
            <w:pPr>
              <w:keepNext w:val="0"/>
              <w:keepLines w:val="0"/>
              <w:widowControl/>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（1）当有效投标人数量为3至10家（含10家）时，全部推荐为中标候选人；</w:t>
            </w:r>
          </w:p>
          <w:p w14:paraId="0CFB9D06">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（2）当有效投标人数量大于10家时，推荐前10名为中标候选人。10名内末位总得分并列的同时推荐为中标候选人。</w:t>
            </w:r>
          </w:p>
        </w:tc>
      </w:tr>
      <w:tr w14:paraId="45983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AA51E8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7.1</w:t>
            </w:r>
          </w:p>
        </w:tc>
        <w:tc>
          <w:tcPr>
            <w:tcW w:w="2095" w:type="dxa"/>
            <w:noWrap w:val="0"/>
            <w:vAlign w:val="top"/>
          </w:tcPr>
          <w:p w14:paraId="5C9BC708">
            <w:pPr>
              <w:keepNext w:val="0"/>
              <w:keepLines w:val="0"/>
              <w:pageBreakBefore w:val="0"/>
              <w:widowControl w:val="0"/>
              <w:kinsoku/>
              <w:wordWrap/>
              <w:overflowPunct/>
              <w:topLinePunct w:val="0"/>
              <w:bidi w:val="0"/>
              <w:snapToGrid/>
              <w:spacing w:line="360" w:lineRule="auto"/>
              <w:ind w:left="105" w:leftChars="5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中标候选人公示媒介及期限</w:t>
            </w:r>
          </w:p>
        </w:tc>
        <w:tc>
          <w:tcPr>
            <w:tcW w:w="6320" w:type="dxa"/>
            <w:noWrap w:val="0"/>
            <w:vAlign w:val="top"/>
          </w:tcPr>
          <w:p w14:paraId="217918C5">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公示媒介：同</w:t>
            </w:r>
            <w:r>
              <w:rPr>
                <w:rFonts w:hint="eastAsia" w:ascii="宋体" w:hAnsi="宋体" w:eastAsia="宋体" w:cs="宋体"/>
                <w:color w:val="auto"/>
                <w:kern w:val="0"/>
                <w:sz w:val="21"/>
                <w:szCs w:val="21"/>
                <w:highlight w:val="none"/>
                <w:lang w:val="en-US" w:eastAsia="zh-CN" w:bidi="ar-SA"/>
              </w:rPr>
              <w:t>招标</w:t>
            </w:r>
            <w:r>
              <w:rPr>
                <w:rFonts w:hint="eastAsia" w:ascii="宋体" w:hAnsi="宋体" w:eastAsia="宋体" w:cs="宋体"/>
                <w:color w:val="auto"/>
                <w:kern w:val="0"/>
                <w:sz w:val="21"/>
                <w:szCs w:val="21"/>
                <w:highlight w:val="none"/>
                <w:lang w:val="en-US" w:eastAsia="en-US" w:bidi="ar-SA"/>
              </w:rPr>
              <w:t>公告发布媒介</w:t>
            </w:r>
          </w:p>
          <w:p w14:paraId="6B99CB2A">
            <w:pPr>
              <w:keepNext w:val="0"/>
              <w:keepLines w:val="0"/>
              <w:pageBreakBefore w:val="0"/>
              <w:widowControl w:val="0"/>
              <w:kinsoku/>
              <w:wordWrap/>
              <w:overflowPunct/>
              <w:topLinePunct w:val="0"/>
              <w:bidi w:val="0"/>
              <w:snapToGrid/>
              <w:spacing w:line="360" w:lineRule="auto"/>
              <w:textAlignment w:val="auto"/>
              <w:outlineLvl w:val="9"/>
              <w:rPr>
                <w:rFonts w:hint="eastAsia" w:ascii="宋体" w:hAnsi="宋体" w:eastAsia="宋体" w:cs="宋体"/>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公示期限：不少于3日</w:t>
            </w:r>
          </w:p>
        </w:tc>
      </w:tr>
      <w:tr w14:paraId="42630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E74265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7.4</w:t>
            </w:r>
          </w:p>
        </w:tc>
        <w:tc>
          <w:tcPr>
            <w:tcW w:w="2095" w:type="dxa"/>
            <w:noWrap w:val="0"/>
            <w:vAlign w:val="center"/>
          </w:tcPr>
          <w:p w14:paraId="40F6658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是否授权评标委员会确定中标人</w:t>
            </w:r>
          </w:p>
        </w:tc>
        <w:tc>
          <w:tcPr>
            <w:tcW w:w="6320" w:type="dxa"/>
            <w:noWrap w:val="0"/>
            <w:vAlign w:val="center"/>
          </w:tcPr>
          <w:p w14:paraId="5D27EC1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是</w:t>
            </w:r>
          </w:p>
          <w:p w14:paraId="680FBC96">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否</w:t>
            </w:r>
          </w:p>
        </w:tc>
      </w:tr>
      <w:tr w14:paraId="0EE2A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123" w:type="dxa"/>
            <w:noWrap w:val="0"/>
            <w:vAlign w:val="center"/>
          </w:tcPr>
          <w:p w14:paraId="44598F3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7.6.1</w:t>
            </w:r>
          </w:p>
        </w:tc>
        <w:tc>
          <w:tcPr>
            <w:tcW w:w="2095" w:type="dxa"/>
            <w:noWrap w:val="0"/>
            <w:vAlign w:val="center"/>
          </w:tcPr>
          <w:p w14:paraId="637811A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320" w:type="dxa"/>
            <w:noWrap w:val="0"/>
            <w:vAlign w:val="center"/>
          </w:tcPr>
          <w:p w14:paraId="401EA94C">
            <w:pPr>
              <w:widowControl w:val="0"/>
              <w:adjustRightInd w:val="0"/>
              <w:snapToGrid w:val="0"/>
              <w:spacing w:beforeLines="0" w:afterLines="0" w:line="360" w:lineRule="auto"/>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是否要求中标人提交履约保证金：</w:t>
            </w:r>
          </w:p>
          <w:p w14:paraId="33DB52CB">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☑要求，履约保证金的形式：现金转账或保函</w:t>
            </w:r>
          </w:p>
          <w:p w14:paraId="27A15EFD">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履约保证金金额：中标价的8%</w:t>
            </w:r>
          </w:p>
          <w:p w14:paraId="547685E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p>
          <w:p w14:paraId="32E7B83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不要求</w:t>
            </w:r>
          </w:p>
        </w:tc>
      </w:tr>
      <w:tr w14:paraId="502B5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1123" w:type="dxa"/>
            <w:noWrap w:val="0"/>
            <w:vAlign w:val="center"/>
          </w:tcPr>
          <w:p w14:paraId="41DAC9D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2095" w:type="dxa"/>
            <w:noWrap w:val="0"/>
            <w:vAlign w:val="center"/>
          </w:tcPr>
          <w:p w14:paraId="690B467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是否采用电子招标投标</w:t>
            </w:r>
          </w:p>
        </w:tc>
        <w:tc>
          <w:tcPr>
            <w:tcW w:w="6320" w:type="dxa"/>
            <w:noWrap w:val="0"/>
            <w:vAlign w:val="center"/>
          </w:tcPr>
          <w:p w14:paraId="0344E856">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□否</w:t>
            </w:r>
          </w:p>
          <w:p w14:paraId="6BCFBBBC">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是，具体要求：投标截止时间前在</w:t>
            </w:r>
            <w:r>
              <w:rPr>
                <w:rFonts w:hint="eastAsia" w:ascii="宋体" w:hAnsi="宋体" w:eastAsia="宋体" w:cs="宋体"/>
                <w:spacing w:val="-6"/>
                <w:kern w:val="0"/>
                <w:sz w:val="21"/>
                <w:szCs w:val="21"/>
                <w:highlight w:val="none"/>
                <w:lang w:val="en-US" w:eastAsia="en-US" w:bidi="ar-SA"/>
              </w:rPr>
              <w:t>驻马店市公共资源</w:t>
            </w:r>
            <w:r>
              <w:rPr>
                <w:rFonts w:hint="eastAsia" w:ascii="宋体" w:hAnsi="宋体" w:eastAsia="宋体" w:cs="宋体"/>
                <w:spacing w:val="-6"/>
                <w:kern w:val="0"/>
                <w:sz w:val="21"/>
                <w:szCs w:val="21"/>
                <w:highlight w:val="none"/>
                <w:lang w:val="en-US" w:eastAsia="zh-CN" w:bidi="ar-SA"/>
              </w:rPr>
              <w:t>交易平台</w:t>
            </w:r>
            <w:r>
              <w:rPr>
                <w:rFonts w:hint="eastAsia" w:ascii="宋体" w:hAnsi="宋体" w:eastAsia="宋体" w:cs="宋体"/>
                <w:kern w:val="0"/>
                <w:sz w:val="21"/>
                <w:szCs w:val="21"/>
                <w:highlight w:val="none"/>
                <w:lang w:val="en-US" w:eastAsia="zh-CN" w:bidi="ar-SA"/>
              </w:rPr>
              <w:t>交易系统中上传加密电子投标文件。</w:t>
            </w:r>
          </w:p>
        </w:tc>
      </w:tr>
      <w:tr w14:paraId="11CC16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1123" w:type="dxa"/>
            <w:noWrap w:val="0"/>
            <w:vAlign w:val="center"/>
          </w:tcPr>
          <w:p w14:paraId="4959102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10</w:t>
            </w:r>
          </w:p>
        </w:tc>
        <w:tc>
          <w:tcPr>
            <w:tcW w:w="8415" w:type="dxa"/>
            <w:gridSpan w:val="2"/>
            <w:noWrap w:val="0"/>
            <w:vAlign w:val="center"/>
          </w:tcPr>
          <w:p w14:paraId="578AC72E">
            <w:pPr>
              <w:widowControl w:val="0"/>
              <w:adjustRightInd w:val="0"/>
              <w:snapToGrid w:val="0"/>
              <w:spacing w:beforeLines="0" w:afterLines="0" w:line="360" w:lineRule="auto"/>
              <w:ind w:left="0" w:lef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需要补充的其他内容</w:t>
            </w:r>
          </w:p>
        </w:tc>
      </w:tr>
      <w:tr w14:paraId="29576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6A98D25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10.1</w:t>
            </w:r>
          </w:p>
        </w:tc>
        <w:tc>
          <w:tcPr>
            <w:tcW w:w="2095" w:type="dxa"/>
            <w:tcBorders>
              <w:right w:val="single" w:color="auto" w:sz="4" w:space="0"/>
            </w:tcBorders>
            <w:noWrap w:val="0"/>
            <w:vAlign w:val="center"/>
          </w:tcPr>
          <w:p w14:paraId="70D2DD9E">
            <w:pPr>
              <w:widowControl/>
              <w:wordWrap w:val="0"/>
              <w:adjustRightInd w:val="0"/>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类似项目</w:t>
            </w:r>
          </w:p>
        </w:tc>
        <w:tc>
          <w:tcPr>
            <w:tcW w:w="6320" w:type="dxa"/>
            <w:tcBorders>
              <w:left w:val="single" w:color="auto" w:sz="4" w:space="0"/>
            </w:tcBorders>
            <w:noWrap w:val="0"/>
            <w:vAlign w:val="center"/>
          </w:tcPr>
          <w:p w14:paraId="3A3FD332">
            <w:pPr>
              <w:widowControl/>
              <w:wordWrap w:val="0"/>
              <w:adjustRightInd w:val="0"/>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类似项目是指：</w:t>
            </w:r>
            <w:r>
              <w:rPr>
                <w:rFonts w:hint="eastAsia" w:ascii="宋体" w:hAnsi="宋体" w:eastAsia="宋体" w:cs="宋体"/>
                <w:b/>
                <w:bCs/>
                <w:color w:val="auto"/>
                <w:sz w:val="21"/>
                <w:szCs w:val="21"/>
                <w:highlight w:val="none"/>
              </w:rPr>
              <w:t>大型水库或大（1）型水闸机电设备</w:t>
            </w:r>
          </w:p>
        </w:tc>
      </w:tr>
      <w:tr w14:paraId="43D667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123" w:type="dxa"/>
            <w:noWrap w:val="0"/>
            <w:vAlign w:val="center"/>
          </w:tcPr>
          <w:p w14:paraId="170795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10.2</w:t>
            </w:r>
          </w:p>
        </w:tc>
        <w:tc>
          <w:tcPr>
            <w:tcW w:w="2095" w:type="dxa"/>
            <w:tcBorders>
              <w:right w:val="single" w:color="auto" w:sz="4" w:space="0"/>
            </w:tcBorders>
            <w:noWrap w:val="0"/>
            <w:vAlign w:val="center"/>
          </w:tcPr>
          <w:p w14:paraId="4DEA9BE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原件</w:t>
            </w:r>
          </w:p>
        </w:tc>
        <w:tc>
          <w:tcPr>
            <w:tcW w:w="6320" w:type="dxa"/>
            <w:tcBorders>
              <w:left w:val="single" w:color="auto" w:sz="4" w:space="0"/>
            </w:tcBorders>
            <w:noWrap w:val="0"/>
            <w:vAlign w:val="center"/>
          </w:tcPr>
          <w:p w14:paraId="015A6941">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bidi="ar-SA"/>
              </w:rPr>
              <w:t>投标人无需到达现场提交原件资料。</w:t>
            </w:r>
            <w:r>
              <w:rPr>
                <w:rFonts w:hint="eastAsia" w:ascii="宋体" w:hAnsi="宋体" w:eastAsia="宋体" w:cs="宋体"/>
                <w:b/>
                <w:bCs/>
                <w:i w:val="0"/>
                <w:iCs w:val="0"/>
                <w:color w:val="auto"/>
                <w:kern w:val="0"/>
                <w:sz w:val="21"/>
                <w:szCs w:val="21"/>
                <w:highlight w:val="none"/>
                <w:lang w:val="en-US" w:eastAsia="zh-CN" w:bidi="ar-SA"/>
              </w:rPr>
              <w:t>投标人编制的“其他内容”应附有相关证明材料扫描件或复印件。投标人自行对此次投标提供的所有资料和证明文件等材料的真实性负责，若弄虚作假被查实，承担相应法律责任，按规定接受相关处罚，如中标，中标结果无效。</w:t>
            </w:r>
          </w:p>
        </w:tc>
      </w:tr>
      <w:tr w14:paraId="359CA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1123" w:type="dxa"/>
            <w:noWrap w:val="0"/>
            <w:vAlign w:val="center"/>
          </w:tcPr>
          <w:p w14:paraId="37B9B20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10.3</w:t>
            </w:r>
          </w:p>
        </w:tc>
        <w:tc>
          <w:tcPr>
            <w:tcW w:w="2095" w:type="dxa"/>
            <w:noWrap w:val="0"/>
            <w:vAlign w:val="center"/>
          </w:tcPr>
          <w:p w14:paraId="3FA85F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远程开标事项说明</w:t>
            </w:r>
          </w:p>
        </w:tc>
        <w:tc>
          <w:tcPr>
            <w:tcW w:w="6320" w:type="dxa"/>
            <w:noWrap w:val="0"/>
            <w:vAlign w:val="center"/>
          </w:tcPr>
          <w:p w14:paraId="30EB31CF">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（1）本项目采用电子化进行招标。投标人应当在投标文件递交截止时间前，在线准时参加开标活动并进行文件解密、答疑澄清等。</w:t>
            </w:r>
          </w:p>
          <w:p w14:paraId="1C4958B5">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（2）因投标人自身原因而导致投标文件无法导入电子招标投标交易平台电子开标、评标系统，该投标视为无效投标，投标人自行承担由此导致的全部责任。</w:t>
            </w:r>
          </w:p>
          <w:p w14:paraId="0050A4CB">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（3）若在整个投标、开标、评标等招标过程中，由于系统异常出现特殊情况时，招标人将上报监督部门，依据监督部门意见暂停或推迟投标、开标、评标等招标事宜。</w:t>
            </w:r>
          </w:p>
          <w:p w14:paraId="5C0C6F7B">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（4）本项目在驻马店市公共资源交易平台实施网上招投标，具体操作流程请登录驻马店市公共资源交易平台网站电子交易平台查看。</w:t>
            </w:r>
          </w:p>
          <w:p w14:paraId="5AAC0408">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3916D7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123" w:type="dxa"/>
            <w:noWrap w:val="0"/>
            <w:vAlign w:val="center"/>
          </w:tcPr>
          <w:p w14:paraId="199432C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10.4</w:t>
            </w:r>
          </w:p>
        </w:tc>
        <w:tc>
          <w:tcPr>
            <w:tcW w:w="2095" w:type="dxa"/>
            <w:noWrap w:val="0"/>
            <w:vAlign w:val="center"/>
          </w:tcPr>
          <w:p w14:paraId="79B501EE">
            <w:pPr>
              <w:widowControl w:val="0"/>
              <w:adjustRightInd w:val="0"/>
              <w:snapToGrid w:val="0"/>
              <w:spacing w:beforeLines="0" w:afterLines="0" w:line="360" w:lineRule="auto"/>
              <w:jc w:val="center"/>
              <w:rPr>
                <w:rFonts w:hint="eastAsia" w:ascii="宋体" w:hAnsi="宋体" w:eastAsia="宋体" w:cs="宋体"/>
                <w:sz w:val="21"/>
                <w:szCs w:val="21"/>
                <w:highlight w:val="none"/>
              </w:rPr>
            </w:pPr>
            <w:bookmarkStart w:id="45" w:name="_Toc39765646"/>
            <w:bookmarkStart w:id="46" w:name="_Toc508610402"/>
            <w:bookmarkStart w:id="47" w:name="_Toc26253872"/>
            <w:bookmarkStart w:id="48" w:name="_Toc33294143"/>
            <w:bookmarkStart w:id="49" w:name="_Toc26267032"/>
            <w:bookmarkStart w:id="50" w:name="_Toc3273434"/>
            <w:r>
              <w:rPr>
                <w:rFonts w:hint="eastAsia" w:ascii="宋体" w:hAnsi="宋体" w:eastAsia="宋体" w:cs="宋体"/>
                <w:sz w:val="21"/>
                <w:szCs w:val="21"/>
                <w:highlight w:val="none"/>
              </w:rPr>
              <w:t>招标代理服务费</w:t>
            </w:r>
            <w:bookmarkEnd w:id="45"/>
            <w:bookmarkEnd w:id="46"/>
            <w:bookmarkEnd w:id="47"/>
            <w:bookmarkEnd w:id="48"/>
            <w:bookmarkEnd w:id="49"/>
            <w:bookmarkEnd w:id="50"/>
          </w:p>
        </w:tc>
        <w:tc>
          <w:tcPr>
            <w:tcW w:w="6320" w:type="dxa"/>
            <w:noWrap w:val="0"/>
            <w:vAlign w:val="center"/>
          </w:tcPr>
          <w:p w14:paraId="044F00D3">
            <w:pPr>
              <w:widowControl w:val="0"/>
              <w:autoSpaceDE w:val="0"/>
              <w:autoSpaceDN w:val="0"/>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按照合同约定执行。</w:t>
            </w:r>
          </w:p>
        </w:tc>
      </w:tr>
      <w:tr w14:paraId="4D372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5DE0D53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10.5</w:t>
            </w:r>
          </w:p>
        </w:tc>
        <w:tc>
          <w:tcPr>
            <w:tcW w:w="2095" w:type="dxa"/>
            <w:noWrap w:val="0"/>
            <w:vAlign w:val="center"/>
          </w:tcPr>
          <w:p w14:paraId="549CB8A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投标保证金退还事项说明</w:t>
            </w:r>
          </w:p>
        </w:tc>
        <w:tc>
          <w:tcPr>
            <w:tcW w:w="6320" w:type="dxa"/>
            <w:noWrap w:val="0"/>
            <w:vAlign w:val="center"/>
          </w:tcPr>
          <w:p w14:paraId="46135B32">
            <w:pPr>
              <w:widowControl w:val="0"/>
              <w:autoSpaceDE w:val="0"/>
              <w:autoSpaceDN w:val="0"/>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投标保证金退还事项说明</w:t>
            </w:r>
            <w:r>
              <w:rPr>
                <w:rFonts w:hint="eastAsia" w:ascii="宋体" w:hAnsi="宋体" w:eastAsia="宋体" w:cs="宋体"/>
                <w:color w:val="auto"/>
                <w:kern w:val="0"/>
                <w:sz w:val="21"/>
                <w:szCs w:val="21"/>
                <w:highlight w:val="none"/>
                <w:lang w:val="en-US" w:eastAsia="zh-CN" w:bidi="ar-SA"/>
              </w:rPr>
              <w:tab/>
            </w:r>
            <w:r>
              <w:rPr>
                <w:rFonts w:hint="eastAsia" w:ascii="宋体" w:hAnsi="宋体" w:eastAsia="宋体" w:cs="宋体"/>
                <w:color w:val="auto"/>
                <w:kern w:val="0"/>
                <w:sz w:val="21"/>
                <w:szCs w:val="21"/>
                <w:highlight w:val="none"/>
                <w:lang w:val="en-US" w:eastAsia="zh-CN" w:bidi="ar-SA"/>
              </w:rPr>
              <w:t>详见驻马店市公共资源交易平台的相关规定。</w:t>
            </w:r>
          </w:p>
        </w:tc>
      </w:tr>
      <w:tr w14:paraId="65335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73FDC14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10.6</w:t>
            </w:r>
          </w:p>
        </w:tc>
        <w:tc>
          <w:tcPr>
            <w:tcW w:w="2095" w:type="dxa"/>
            <w:noWrap w:val="0"/>
            <w:vAlign w:val="center"/>
          </w:tcPr>
          <w:p w14:paraId="6ABAE7FA">
            <w:pPr>
              <w:keepNext w:val="0"/>
              <w:keepLines w:val="0"/>
              <w:pageBreakBefore w:val="0"/>
              <w:widowControl w:val="0"/>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评定分离规定</w:t>
            </w:r>
          </w:p>
        </w:tc>
        <w:tc>
          <w:tcPr>
            <w:tcW w:w="6320" w:type="dxa"/>
            <w:noWrap w:val="0"/>
            <w:vAlign w:val="center"/>
          </w:tcPr>
          <w:p w14:paraId="32DE9A32">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本项目采用评定分离方式确定中标人，评标委员会按照招标文件规定的方法和数量推荐中标候选人。招标人在收到评标报告后10日内完成定标工作。</w:t>
            </w:r>
          </w:p>
          <w:p w14:paraId="4B0BBCED">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定标方法：核查随机法。</w:t>
            </w:r>
          </w:p>
        </w:tc>
      </w:tr>
      <w:tr w14:paraId="6459AB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324621B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10.7</w:t>
            </w:r>
          </w:p>
        </w:tc>
        <w:tc>
          <w:tcPr>
            <w:tcW w:w="2095" w:type="dxa"/>
            <w:noWrap w:val="0"/>
            <w:vAlign w:val="center"/>
          </w:tcPr>
          <w:p w14:paraId="5BC3089A">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中标后须提交的投标文件</w:t>
            </w:r>
          </w:p>
        </w:tc>
        <w:tc>
          <w:tcPr>
            <w:tcW w:w="6320" w:type="dxa"/>
            <w:noWrap w:val="0"/>
            <w:vAlign w:val="center"/>
          </w:tcPr>
          <w:p w14:paraId="0205900D">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与上传的电子投标文件内容完全相同的纸质投标文件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份数及形式以招标人实际通知为准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w:t>
            </w:r>
          </w:p>
        </w:tc>
      </w:tr>
      <w:tr w14:paraId="27A5C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33D3336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10.8</w:t>
            </w:r>
          </w:p>
        </w:tc>
        <w:tc>
          <w:tcPr>
            <w:tcW w:w="2095" w:type="dxa"/>
            <w:noWrap w:val="0"/>
            <w:vAlign w:val="center"/>
          </w:tcPr>
          <w:p w14:paraId="4F74098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p>
        </w:tc>
        <w:tc>
          <w:tcPr>
            <w:tcW w:w="6320" w:type="dxa"/>
            <w:noWrap w:val="0"/>
            <w:vAlign w:val="center"/>
          </w:tcPr>
          <w:p w14:paraId="4F9424B8">
            <w:pPr>
              <w:keepNext w:val="0"/>
              <w:keepLines w:val="0"/>
              <w:pageBreakBefore w:val="0"/>
              <w:widowControl w:val="0"/>
              <w:kinsoku/>
              <w:wordWrap/>
              <w:overflowPunct/>
              <w:topLinePunct w:val="0"/>
              <w:autoSpaceDE w:val="0"/>
              <w:autoSpaceDN w:val="0"/>
              <w:bidi w:val="0"/>
              <w:adjustRightInd w:val="0"/>
              <w:snapToGrid w:val="0"/>
              <w:spacing w:beforeLines="0" w:afterLines="0" w:line="360" w:lineRule="auto"/>
              <w:ind w:left="0" w:leftChars="0" w:hanging="120"/>
              <w:jc w:val="both"/>
              <w:textAlignment w:val="auto"/>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遵照驻马店市公共资源交易平台规定。</w:t>
            </w:r>
          </w:p>
        </w:tc>
      </w:tr>
      <w:tr w14:paraId="1A254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035BADB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10.9</w:t>
            </w:r>
          </w:p>
        </w:tc>
        <w:tc>
          <w:tcPr>
            <w:tcW w:w="2095" w:type="dxa"/>
            <w:noWrap w:val="0"/>
            <w:vAlign w:val="center"/>
          </w:tcPr>
          <w:p w14:paraId="58CE6418">
            <w:pPr>
              <w:widowControl w:val="0"/>
              <w:autoSpaceDE w:val="0"/>
              <w:autoSpaceDN w:val="0"/>
              <w:adjustRightInd w:val="0"/>
              <w:spacing w:beforeLines="0" w:afterLines="0" w:line="360" w:lineRule="auto"/>
              <w:ind w:left="120" w:hanging="120"/>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特别说明</w:t>
            </w:r>
          </w:p>
        </w:tc>
        <w:tc>
          <w:tcPr>
            <w:tcW w:w="6320" w:type="dxa"/>
            <w:noWrap w:val="0"/>
            <w:vAlign w:val="center"/>
          </w:tcPr>
          <w:p w14:paraId="520FAB97">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56EE7EC1">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2.网页查询</w:t>
            </w:r>
            <w:r>
              <w:rPr>
                <w:rFonts w:hint="eastAsia" w:ascii="宋体" w:hAnsi="宋体" w:eastAsia="宋体" w:cs="宋体"/>
                <w:b w:val="0"/>
                <w:bCs w:val="0"/>
                <w:color w:val="auto"/>
                <w:kern w:val="0"/>
                <w:sz w:val="21"/>
                <w:szCs w:val="21"/>
                <w:highlight w:val="none"/>
                <w:lang w:val="en-US" w:eastAsia="zh-CN" w:bidi="ar-SA"/>
              </w:rPr>
              <w:t>如遇网址或者查询菜单（搜索栏）、功能、内容等有调整或变化，可以提供调整或变化后的查询证明材料。</w:t>
            </w:r>
          </w:p>
          <w:p w14:paraId="06A779F2">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3.本投标</w:t>
            </w:r>
            <w:r>
              <w:rPr>
                <w:rFonts w:hint="eastAsia" w:ascii="宋体" w:hAnsi="宋体" w:eastAsia="宋体" w:cs="宋体"/>
                <w:b w:val="0"/>
                <w:bCs w:val="0"/>
                <w:color w:val="auto"/>
                <w:kern w:val="0"/>
                <w:sz w:val="21"/>
                <w:szCs w:val="21"/>
                <w:highlight w:val="none"/>
                <w:lang w:val="en-US" w:eastAsia="zh-CN" w:bidi="ar-SA"/>
              </w:rPr>
              <w:t>须知前附表是对投标人须知正文的具体补充和修改，如有不一致的，均以本表为准</w:t>
            </w:r>
            <w:r>
              <w:rPr>
                <w:rFonts w:hint="eastAsia" w:ascii="宋体" w:hAnsi="宋体" w:eastAsia="宋体" w:cs="宋体"/>
                <w:b/>
                <w:bCs/>
                <w:color w:val="auto"/>
                <w:kern w:val="0"/>
                <w:sz w:val="21"/>
                <w:szCs w:val="21"/>
                <w:highlight w:val="none"/>
                <w:lang w:val="en-US" w:eastAsia="zh-CN" w:bidi="ar-SA"/>
              </w:rPr>
              <w:t>。</w:t>
            </w:r>
          </w:p>
        </w:tc>
      </w:tr>
      <w:tr w14:paraId="259B6B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33F90BDA">
            <w:pPr>
              <w:spacing w:line="360" w:lineRule="auto"/>
              <w:jc w:val="center"/>
              <w:rPr>
                <w:rFonts w:hint="eastAsia" w:ascii="宋体" w:hAnsi="宋体" w:eastAsia="宋体" w:cs="宋体"/>
                <w:b/>
                <w:bCs/>
                <w:color w:val="auto"/>
                <w:sz w:val="21"/>
                <w:szCs w:val="21"/>
                <w:highlight w:val="none"/>
                <w:lang w:val="en-US" w:eastAsia="zh-CN"/>
              </w:rPr>
            </w:pPr>
            <w:bookmarkStart w:id="51" w:name="_Toc221950083"/>
            <w:bookmarkStart w:id="52" w:name="_Toc168476047"/>
            <w:bookmarkStart w:id="53" w:name="_Toc168475644"/>
            <w:bookmarkStart w:id="54" w:name="_Toc144974497"/>
            <w:r>
              <w:rPr>
                <w:rFonts w:hint="eastAsia" w:ascii="宋体" w:hAnsi="宋体" w:eastAsia="宋体" w:cs="宋体"/>
                <w:b/>
                <w:bCs/>
                <w:color w:val="auto"/>
                <w:sz w:val="21"/>
                <w:szCs w:val="21"/>
                <w:highlight w:val="none"/>
                <w:lang w:val="en-US" w:eastAsia="zh-CN"/>
              </w:rPr>
              <w:t>10.10</w:t>
            </w:r>
          </w:p>
        </w:tc>
        <w:tc>
          <w:tcPr>
            <w:tcW w:w="2095" w:type="dxa"/>
            <w:noWrap w:val="0"/>
            <w:vAlign w:val="center"/>
          </w:tcPr>
          <w:p w14:paraId="08060C75">
            <w:pPr>
              <w:spacing w:line="312" w:lineRule="auto"/>
              <w:jc w:val="center"/>
              <w:rPr>
                <w:rFonts w:hint="eastAsia" w:ascii="宋体" w:hAnsi="宋体" w:eastAsia="宋体" w:cs="宋体"/>
                <w:b/>
                <w:bCs/>
                <w:color w:val="auto"/>
                <w:kern w:val="0"/>
                <w:sz w:val="21"/>
                <w:szCs w:val="21"/>
                <w:highlight w:val="none"/>
                <w:lang w:val="en-US" w:eastAsia="zh-CN" w:bidi="ar-SA"/>
              </w:rPr>
            </w:pPr>
            <w:r>
              <w:rPr>
                <w:rFonts w:hint="default" w:ascii="Times New Roman" w:hAnsi="Times New Roman" w:cs="Times New Roman"/>
                <w:color w:val="auto"/>
                <w:szCs w:val="21"/>
                <w:highlight w:val="none"/>
              </w:rPr>
              <w:t>远程异地评标</w:t>
            </w:r>
          </w:p>
        </w:tc>
        <w:tc>
          <w:tcPr>
            <w:tcW w:w="6320" w:type="dxa"/>
            <w:noWrap w:val="0"/>
            <w:vAlign w:val="center"/>
          </w:tcPr>
          <w:p w14:paraId="1C0B1566">
            <w:pPr>
              <w:spacing w:line="312"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□否</w:t>
            </w:r>
          </w:p>
          <w:p w14:paraId="294E968D">
            <w:pPr>
              <w:spacing w:line="312" w:lineRule="auto"/>
              <w:rPr>
                <w:rFonts w:hint="eastAsia" w:ascii="宋体" w:hAnsi="宋体" w:eastAsia="宋体" w:cs="宋体"/>
                <w:b w:val="0"/>
                <w:bCs w:val="0"/>
                <w:color w:val="auto"/>
                <w:kern w:val="2"/>
                <w:sz w:val="21"/>
                <w:szCs w:val="21"/>
                <w:highlight w:val="none"/>
                <w:lang w:val="en-US" w:eastAsia="zh-CN" w:bidi="ar-SA"/>
              </w:rPr>
            </w:pP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是，具体要求：</w:t>
            </w:r>
            <w:r>
              <w:rPr>
                <w:rFonts w:hint="default"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w:t>
            </w:r>
            <w:r>
              <w:rPr>
                <w:rFonts w:hint="default" w:ascii="Times New Roman" w:hAnsi="Times New Roman" w:cs="Times New Roman"/>
                <w:color w:val="auto"/>
                <w:szCs w:val="21"/>
                <w:highlight w:val="none"/>
                <w:u w:val="single"/>
              </w:rPr>
              <w:t xml:space="preserve">   </w:t>
            </w:r>
          </w:p>
        </w:tc>
      </w:tr>
    </w:tbl>
    <w:p w14:paraId="4614DB20">
      <w:pPr>
        <w:widowControl w:val="0"/>
        <w:adjustRightInd w:val="0"/>
        <w:snapToGrid w:val="0"/>
        <w:spacing w:beforeLines="0" w:afterLines="0" w:line="360" w:lineRule="auto"/>
        <w:ind w:firstLine="0" w:firstLineChars="0"/>
        <w:jc w:val="both"/>
        <w:rPr>
          <w:rFonts w:hint="eastAsia" w:ascii="宋体" w:hAnsi="宋体" w:eastAsia="宋体" w:cs="宋体"/>
          <w:sz w:val="24"/>
          <w:szCs w:val="24"/>
          <w:highlight w:val="none"/>
        </w:rPr>
      </w:pPr>
      <w:r>
        <w:rPr>
          <w:rFonts w:hint="eastAsia" w:ascii="宋体" w:hAnsi="宋体" w:eastAsia="宋体" w:cs="宋体"/>
          <w:b/>
          <w:sz w:val="21"/>
          <w:szCs w:val="21"/>
          <w:highlight w:val="none"/>
        </w:rPr>
        <w:br w:type="page"/>
      </w:r>
      <w:bookmarkEnd w:id="51"/>
      <w:bookmarkEnd w:id="52"/>
      <w:bookmarkEnd w:id="53"/>
      <w:bookmarkEnd w:id="54"/>
      <w:bookmarkStart w:id="55" w:name="_Toc221950256"/>
      <w:bookmarkStart w:id="56" w:name="_Toc144974548"/>
      <w:bookmarkStart w:id="57" w:name="_Toc168475696"/>
      <w:bookmarkStart w:id="58" w:name="_Toc168476099"/>
    </w:p>
    <w:bookmarkEnd w:id="55"/>
    <w:p w14:paraId="5B9F528F">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59" w:name="_Toc14675"/>
      <w:bookmarkStart w:id="60" w:name="_Toc9479"/>
      <w:bookmarkStart w:id="61" w:name="_Toc9583"/>
      <w:bookmarkStart w:id="62" w:name="_Toc19012"/>
      <w:bookmarkStart w:id="63" w:name="_Toc24120"/>
      <w:bookmarkStart w:id="64" w:name="_Toc13576"/>
      <w:bookmarkStart w:id="65" w:name="_Toc62034399"/>
      <w:bookmarkStart w:id="66" w:name="_Toc62034456"/>
      <w:bookmarkStart w:id="67" w:name="_Toc54550739"/>
      <w:r>
        <w:rPr>
          <w:rFonts w:hint="eastAsia" w:ascii="宋体" w:hAnsi="宋体" w:eastAsia="宋体" w:cs="宋体"/>
          <w:b/>
          <w:color w:val="auto"/>
          <w:sz w:val="21"/>
          <w:szCs w:val="21"/>
          <w:highlight w:val="none"/>
        </w:rPr>
        <w:t>1.总则</w:t>
      </w:r>
      <w:bookmarkEnd w:id="59"/>
      <w:bookmarkEnd w:id="60"/>
      <w:bookmarkEnd w:id="61"/>
      <w:bookmarkEnd w:id="62"/>
      <w:bookmarkEnd w:id="63"/>
      <w:bookmarkEnd w:id="64"/>
      <w:bookmarkEnd w:id="65"/>
    </w:p>
    <w:p w14:paraId="5169DA5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68" w:name="_bookmark21"/>
      <w:bookmarkEnd w:id="68"/>
      <w:bookmarkStart w:id="69" w:name="_Toc62034400"/>
      <w:bookmarkStart w:id="70" w:name="_Toc54550683"/>
      <w:r>
        <w:rPr>
          <w:rFonts w:hint="eastAsia" w:ascii="宋体" w:hAnsi="宋体" w:eastAsia="宋体" w:cs="宋体"/>
          <w:b/>
          <w:bCs/>
          <w:color w:val="auto"/>
          <w:sz w:val="21"/>
          <w:szCs w:val="21"/>
          <w:highlight w:val="none"/>
        </w:rPr>
        <w:t>1.1 招标项目概况</w:t>
      </w:r>
      <w:bookmarkEnd w:id="69"/>
      <w:bookmarkEnd w:id="70"/>
    </w:p>
    <w:p w14:paraId="13ED53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根据《中华人民共和国招标投标法》、《中华人民共和国招标投标法实施条例》等有关法律、法规和规章的规定，本招标项目已具备招标条件，现对</w:t>
      </w:r>
      <w:r>
        <w:rPr>
          <w:rFonts w:hint="eastAsia" w:ascii="宋体" w:hAnsi="宋体" w:eastAsia="宋体" w:cs="宋体"/>
          <w:color w:val="auto"/>
          <w:sz w:val="21"/>
          <w:szCs w:val="21"/>
          <w:highlight w:val="none"/>
          <w:lang w:eastAsia="zh-CN"/>
        </w:rPr>
        <w:t>设备</w:t>
      </w:r>
      <w:r>
        <w:rPr>
          <w:rFonts w:hint="eastAsia" w:ascii="宋体" w:hAnsi="宋体" w:eastAsia="宋体" w:cs="宋体"/>
          <w:color w:val="auto"/>
          <w:sz w:val="21"/>
          <w:szCs w:val="21"/>
          <w:highlight w:val="none"/>
        </w:rPr>
        <w:t>采购进行招标。</w:t>
      </w:r>
    </w:p>
    <w:p w14:paraId="0550F0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招标人：见投标人须知前附表。</w:t>
      </w:r>
    </w:p>
    <w:p w14:paraId="1250FC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招标代理机构：见投标人须知前附表。</w:t>
      </w:r>
    </w:p>
    <w:p w14:paraId="1FDA29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项目名称：见投标人须知前附表。</w:t>
      </w:r>
    </w:p>
    <w:p w14:paraId="66E6EFA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w:t>
      </w:r>
      <w:r>
        <w:rPr>
          <w:rFonts w:hint="eastAsia" w:ascii="宋体" w:hAnsi="宋体" w:eastAsia="宋体" w:cs="宋体"/>
          <w:color w:val="auto"/>
          <w:sz w:val="21"/>
          <w:szCs w:val="21"/>
          <w:highlight w:val="none"/>
          <w:lang w:val="en-US" w:eastAsia="zh-CN"/>
        </w:rPr>
        <w:t>标段</w:t>
      </w:r>
      <w:r>
        <w:rPr>
          <w:rFonts w:hint="eastAsia" w:ascii="宋体" w:hAnsi="宋体" w:eastAsia="宋体" w:cs="宋体"/>
          <w:color w:val="auto"/>
          <w:sz w:val="21"/>
          <w:szCs w:val="21"/>
          <w:highlight w:val="none"/>
        </w:rPr>
        <w:t>名称：见投标人须知前附表。</w:t>
      </w:r>
    </w:p>
    <w:p w14:paraId="31D2C204">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71" w:name="_bookmark22"/>
      <w:bookmarkEnd w:id="71"/>
      <w:bookmarkStart w:id="72" w:name="_Toc62034401"/>
      <w:bookmarkStart w:id="73" w:name="_Toc54550684"/>
      <w:r>
        <w:rPr>
          <w:rFonts w:hint="eastAsia" w:ascii="宋体" w:hAnsi="宋体" w:eastAsia="宋体" w:cs="宋体"/>
          <w:b/>
          <w:bCs/>
          <w:color w:val="auto"/>
          <w:sz w:val="21"/>
          <w:szCs w:val="21"/>
          <w:highlight w:val="none"/>
        </w:rPr>
        <w:t>1.2 招标项目的资金来源和落实情况</w:t>
      </w:r>
      <w:bookmarkEnd w:id="72"/>
      <w:bookmarkEnd w:id="73"/>
    </w:p>
    <w:p w14:paraId="36CFC33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资金来源及比例：见投标人须知前附表。</w:t>
      </w:r>
    </w:p>
    <w:p w14:paraId="240E6F1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资金落实情况：见投标人须知前附表。</w:t>
      </w:r>
    </w:p>
    <w:p w14:paraId="16D78643">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lang w:val="en-US" w:eastAsia="zh-CN"/>
        </w:rPr>
      </w:pPr>
      <w:bookmarkStart w:id="74" w:name="_bookmark23"/>
      <w:bookmarkEnd w:id="74"/>
      <w:bookmarkStart w:id="75" w:name="_Toc54550685"/>
      <w:bookmarkStart w:id="76" w:name="_Toc62034402"/>
      <w:r>
        <w:rPr>
          <w:rFonts w:hint="eastAsia" w:ascii="宋体" w:hAnsi="宋体" w:eastAsia="宋体" w:cs="宋体"/>
          <w:b/>
          <w:bCs/>
          <w:color w:val="auto"/>
          <w:sz w:val="21"/>
          <w:szCs w:val="21"/>
          <w:highlight w:val="none"/>
        </w:rPr>
        <w:t>1.3 招标范围、供货期（服务期）、交货地点和</w:t>
      </w:r>
      <w:bookmarkEnd w:id="75"/>
      <w:bookmarkEnd w:id="76"/>
      <w:r>
        <w:rPr>
          <w:rFonts w:hint="eastAsia" w:ascii="宋体" w:hAnsi="宋体" w:eastAsia="宋体" w:cs="宋体"/>
          <w:b/>
          <w:bCs/>
          <w:color w:val="auto"/>
          <w:sz w:val="21"/>
          <w:szCs w:val="21"/>
          <w:highlight w:val="none"/>
          <w:lang w:val="en-US" w:eastAsia="zh-CN"/>
        </w:rPr>
        <w:t>质量要求</w:t>
      </w:r>
    </w:p>
    <w:p w14:paraId="1955283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招标范围：见投标人须知前附表。</w:t>
      </w:r>
    </w:p>
    <w:p w14:paraId="2D50D70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供货期（服务期）：见投标人须知前附表。</w:t>
      </w:r>
    </w:p>
    <w:p w14:paraId="1C89CB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交货地点：见投标人须知前附表。</w:t>
      </w:r>
    </w:p>
    <w:p w14:paraId="5EE0999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w:t>
      </w:r>
      <w:r>
        <w:rPr>
          <w:rFonts w:hint="eastAsia" w:ascii="宋体" w:hAnsi="宋体" w:eastAsia="宋体" w:cs="宋体"/>
          <w:color w:val="auto"/>
          <w:sz w:val="21"/>
          <w:szCs w:val="21"/>
          <w:highlight w:val="none"/>
          <w:lang w:val="en-US" w:eastAsia="zh-CN"/>
        </w:rPr>
        <w:t>质量要求</w:t>
      </w:r>
      <w:r>
        <w:rPr>
          <w:rFonts w:hint="eastAsia" w:ascii="宋体" w:hAnsi="宋体" w:eastAsia="宋体" w:cs="宋体"/>
          <w:color w:val="auto"/>
          <w:sz w:val="21"/>
          <w:szCs w:val="21"/>
          <w:highlight w:val="none"/>
        </w:rPr>
        <w:t>：见投标人须知前附表。</w:t>
      </w:r>
    </w:p>
    <w:p w14:paraId="5F2FB07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77" w:name="_bookmark24"/>
      <w:bookmarkEnd w:id="77"/>
      <w:bookmarkStart w:id="78" w:name="_Toc62034403"/>
      <w:bookmarkStart w:id="79" w:name="_Toc54550686"/>
      <w:r>
        <w:rPr>
          <w:rFonts w:hint="eastAsia" w:ascii="宋体" w:hAnsi="宋体" w:eastAsia="宋体" w:cs="宋体"/>
          <w:b/>
          <w:bCs/>
          <w:color w:val="auto"/>
          <w:sz w:val="21"/>
          <w:szCs w:val="21"/>
          <w:highlight w:val="none"/>
        </w:rPr>
        <w:t>1.4 投标人资格要求</w:t>
      </w:r>
      <w:bookmarkEnd w:id="78"/>
      <w:bookmarkEnd w:id="79"/>
    </w:p>
    <w:p w14:paraId="4EE8336F">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1.4.1 </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应具备承担本项目的资质条件、能力和信誉。本标段的资格要求如下：</w:t>
      </w:r>
    </w:p>
    <w:p w14:paraId="42F3F632">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（1）资质条件：见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31289ACD">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（2）财务要求：见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18B7240">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（3）业绩要求：见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F3013A3">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（4）信誉条件：见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72883FD6">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（5）</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zh-CN"/>
        </w:rPr>
        <w:t>负责人资格：见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2D79D67">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（6）其他要求：见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DA065E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投标人须知前附表规定接受联合体投标的，联合体除应符合本章第1.4.1项和投标人须知前附表的要求外，还应遵守以下规定：</w:t>
      </w:r>
    </w:p>
    <w:p w14:paraId="640308B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（1）联合体各方应按招标文件提供的格式签订联合体协议书，明确联合体牵头人和各方权利义务，并承诺就中标项目向招标人承担连带责任；</w:t>
      </w:r>
    </w:p>
    <w:p w14:paraId="014D45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3398103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（3）联合体各方不得再以自己名义单独或参加其他联合体在本招标项目中投标，否则各相关投标均无效。</w:t>
      </w:r>
    </w:p>
    <w:p w14:paraId="402804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574456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（1）与招标人存在利害关系且可能影响招标公正性；</w:t>
      </w:r>
    </w:p>
    <w:p w14:paraId="598A907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（2）与本招标项目的其他投标人为同一个单位负责人；</w:t>
      </w:r>
    </w:p>
    <w:p w14:paraId="4B1076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（3）与本招标项目的其他投标人存在控股、管理关系；</w:t>
      </w:r>
    </w:p>
    <w:p w14:paraId="4385282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）为本招标项目提供过设计、编制技术规范和其他文件的咨询服务；</w:t>
      </w:r>
    </w:p>
    <w:p w14:paraId="57420D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）为本工程项目的相关监理人，或者与本工程项目的相关监理人存在隶属关系或者其他利害关系；</w:t>
      </w:r>
    </w:p>
    <w:p w14:paraId="01AA2D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）为本招标项目的代建人；</w:t>
      </w:r>
    </w:p>
    <w:p w14:paraId="1A90506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）为本招标项目的招标代理机构；</w:t>
      </w:r>
    </w:p>
    <w:p w14:paraId="7C58F21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）与本招标项目的监理人或代建人或招标代理机构同为一个法定代表人；</w:t>
      </w:r>
    </w:p>
    <w:p w14:paraId="29E1E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）与本招标项目的监理人或代建人或招标代理机构存在控股或参股关系；</w:t>
      </w:r>
    </w:p>
    <w:p w14:paraId="5C40CD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）被依法暂停或者取消投标资格；</w:t>
      </w:r>
    </w:p>
    <w:p w14:paraId="27D9E6A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）被责令停产停业、暂扣或者吊销许可证、暂扣或者吊销执照；</w:t>
      </w:r>
    </w:p>
    <w:p w14:paraId="7FD8F2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）进入清算程序，或被宣告破产，或其他丧失履约能力的情形；</w:t>
      </w:r>
    </w:p>
    <w:p w14:paraId="0C9474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）在最近三年内发生重大产品质量问题（以相关行业主管部门的行政处罚决定或司法机关出具的有关法律文书为准）；</w:t>
      </w:r>
    </w:p>
    <w:p w14:paraId="590B155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）被工商行政管理机关</w:t>
      </w:r>
      <w:r>
        <w:rPr>
          <w:rFonts w:hint="eastAsia" w:ascii="宋体" w:hAnsi="宋体" w:eastAsia="宋体" w:cs="宋体"/>
          <w:color w:val="auto"/>
          <w:sz w:val="21"/>
          <w:szCs w:val="21"/>
          <w:highlight w:val="none"/>
          <w:lang w:eastAsia="zh-CN"/>
        </w:rPr>
        <w:t>在国家企业信用信息公示系统</w:t>
      </w:r>
      <w:r>
        <w:rPr>
          <w:rFonts w:hint="eastAsia" w:ascii="宋体" w:hAnsi="宋体" w:eastAsia="宋体" w:cs="宋体"/>
          <w:color w:val="auto"/>
          <w:sz w:val="21"/>
          <w:szCs w:val="21"/>
          <w:highlight w:val="none"/>
        </w:rPr>
        <w:t>中列入严重违法失信企业名单；</w:t>
      </w:r>
    </w:p>
    <w:p w14:paraId="758557D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）被最高人民法院在“信用中国”网站（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"http://www.creditchina.gov.cn/" \h</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）或各级信用信息共享平台中列入失信被执行人名单；</w:t>
      </w:r>
    </w:p>
    <w:p w14:paraId="0F9DA1A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）单位负责人为同一人或者存在控股、管理关系的不同单位，不得参加同一标段投标或者未划分标段的同一招标项目投标。</w:t>
      </w:r>
    </w:p>
    <w:p w14:paraId="4BA4B64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）法律法规或投标人须知前附表规定的其他情形。</w:t>
      </w:r>
    </w:p>
    <w:p w14:paraId="5ACC1B9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0" w:name="_Toc62034404"/>
      <w:bookmarkStart w:id="81" w:name="_Toc54550687"/>
      <w:r>
        <w:rPr>
          <w:rFonts w:hint="eastAsia" w:ascii="宋体" w:hAnsi="宋体" w:eastAsia="宋体" w:cs="宋体"/>
          <w:b/>
          <w:bCs/>
          <w:color w:val="auto"/>
          <w:sz w:val="21"/>
          <w:szCs w:val="21"/>
          <w:highlight w:val="none"/>
        </w:rPr>
        <w:t>1.5 费用承担</w:t>
      </w:r>
      <w:bookmarkEnd w:id="80"/>
      <w:bookmarkEnd w:id="81"/>
    </w:p>
    <w:p w14:paraId="6DEAD7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6259314">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2" w:name="_bookmark26"/>
      <w:bookmarkEnd w:id="82"/>
      <w:bookmarkStart w:id="83" w:name="_Toc62034405"/>
      <w:bookmarkStart w:id="84" w:name="_Toc54550688"/>
      <w:r>
        <w:rPr>
          <w:rFonts w:hint="eastAsia" w:ascii="宋体" w:hAnsi="宋体" w:eastAsia="宋体" w:cs="宋体"/>
          <w:b/>
          <w:bCs/>
          <w:color w:val="auto"/>
          <w:sz w:val="21"/>
          <w:szCs w:val="21"/>
          <w:highlight w:val="none"/>
        </w:rPr>
        <w:t>1.6 保密</w:t>
      </w:r>
      <w:bookmarkEnd w:id="83"/>
      <w:bookmarkEnd w:id="84"/>
    </w:p>
    <w:p w14:paraId="34C25FE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65C85EDB">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5" w:name="_bookmark27"/>
      <w:bookmarkEnd w:id="85"/>
      <w:bookmarkStart w:id="86" w:name="_Toc62034406"/>
      <w:bookmarkStart w:id="87" w:name="_Toc54550689"/>
      <w:r>
        <w:rPr>
          <w:rFonts w:hint="eastAsia" w:ascii="宋体" w:hAnsi="宋体" w:eastAsia="宋体" w:cs="宋体"/>
          <w:b/>
          <w:bCs/>
          <w:color w:val="auto"/>
          <w:sz w:val="21"/>
          <w:szCs w:val="21"/>
          <w:highlight w:val="none"/>
        </w:rPr>
        <w:t>1.7 语言文字</w:t>
      </w:r>
      <w:bookmarkEnd w:id="86"/>
      <w:bookmarkEnd w:id="87"/>
    </w:p>
    <w:p w14:paraId="058E43C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w:t>
      </w:r>
    </w:p>
    <w:p w14:paraId="7F922A93">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88" w:name="_bookmark28"/>
      <w:bookmarkEnd w:id="88"/>
      <w:bookmarkStart w:id="89" w:name="_Toc62034407"/>
      <w:bookmarkStart w:id="90" w:name="_Toc54550690"/>
      <w:r>
        <w:rPr>
          <w:rFonts w:hint="eastAsia" w:ascii="宋体" w:hAnsi="宋体" w:eastAsia="宋体" w:cs="宋体"/>
          <w:b/>
          <w:bCs/>
          <w:color w:val="auto"/>
          <w:sz w:val="21"/>
          <w:szCs w:val="21"/>
          <w:highlight w:val="none"/>
        </w:rPr>
        <w:t>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计量单位</w:t>
      </w:r>
      <w:bookmarkEnd w:id="89"/>
      <w:bookmarkEnd w:id="90"/>
    </w:p>
    <w:p w14:paraId="456ADE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C5D2699">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91" w:name="_bookmark29"/>
      <w:bookmarkEnd w:id="91"/>
      <w:bookmarkStart w:id="92" w:name="_Toc54550691"/>
      <w:bookmarkStart w:id="93" w:name="_Toc62034408"/>
      <w:r>
        <w:rPr>
          <w:rFonts w:hint="eastAsia" w:ascii="宋体" w:hAnsi="宋体" w:eastAsia="宋体" w:cs="宋体"/>
          <w:b/>
          <w:bCs/>
          <w:color w:val="auto"/>
          <w:sz w:val="21"/>
          <w:szCs w:val="21"/>
          <w:highlight w:val="none"/>
        </w:rPr>
        <w:t>1.9 投标预备会</w:t>
      </w:r>
      <w:bookmarkEnd w:id="92"/>
      <w:bookmarkEnd w:id="93"/>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不召开</w:t>
      </w:r>
      <w:r>
        <w:rPr>
          <w:rFonts w:hint="eastAsia" w:ascii="宋体" w:hAnsi="宋体" w:eastAsia="宋体" w:cs="宋体"/>
          <w:b/>
          <w:bCs/>
          <w:color w:val="auto"/>
          <w:sz w:val="21"/>
          <w:szCs w:val="21"/>
          <w:highlight w:val="none"/>
          <w:lang w:eastAsia="zh-CN"/>
        </w:rPr>
        <w:t>）</w:t>
      </w:r>
    </w:p>
    <w:p w14:paraId="550EF74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投标人须知前附表规定召开投标预备会的，招标人按投标人须知前附表规定的时间和地点召开投标预备会，澄清投标人提出的问题。</w:t>
      </w:r>
    </w:p>
    <w:p w14:paraId="7EBCD74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投标人应按投标人须知前附表规定的时间和形式将提出的问题送达招标人，以便招标人在会议期间澄清。</w:t>
      </w:r>
    </w:p>
    <w:p w14:paraId="6218E8F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投标预备会后，招标人将对投标人所提问题的澄清，以投标人须知前附表规定的形式通知所有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招标文件的投标人。该澄清内容为招标文件的组成部分。</w:t>
      </w:r>
    </w:p>
    <w:p w14:paraId="2FF0DCB8">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94" w:name="_bookmark30"/>
      <w:bookmarkEnd w:id="94"/>
      <w:bookmarkStart w:id="95" w:name="_Toc54550692"/>
      <w:bookmarkStart w:id="96" w:name="_Toc62034409"/>
      <w:r>
        <w:rPr>
          <w:rFonts w:hint="eastAsia" w:ascii="宋体" w:hAnsi="宋体" w:eastAsia="宋体" w:cs="宋体"/>
          <w:b/>
          <w:bCs/>
          <w:color w:val="auto"/>
          <w:sz w:val="21"/>
          <w:szCs w:val="21"/>
          <w:highlight w:val="none"/>
        </w:rPr>
        <w:t>1.10 分包</w:t>
      </w:r>
      <w:bookmarkEnd w:id="95"/>
      <w:bookmarkEnd w:id="96"/>
    </w:p>
    <w:p w14:paraId="0C2D2D5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投标人拟在中标后将中标项目的非主体设备进行分包的，应符合投标人须知前附表规定的分包内容、分包金额和资质要求等限制性条件，除投标人须知前附表规定的非主体设备外，其他工作不得分包。</w:t>
      </w:r>
    </w:p>
    <w:p w14:paraId="5DF639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中标人不得向他人转让中标项目，接受分包的人不得再次分包。中标人应当就分包项目向招标人负责，接受分包的人就分包项目承担连带责任。</w:t>
      </w:r>
    </w:p>
    <w:p w14:paraId="418CC14A">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97" w:name="_bookmark31"/>
      <w:bookmarkEnd w:id="97"/>
      <w:bookmarkStart w:id="98" w:name="_Toc54550693"/>
      <w:bookmarkStart w:id="99" w:name="_Toc62034410"/>
      <w:r>
        <w:rPr>
          <w:rFonts w:hint="eastAsia" w:ascii="宋体" w:hAnsi="宋体" w:eastAsia="宋体" w:cs="宋体"/>
          <w:b/>
          <w:bCs/>
          <w:color w:val="auto"/>
          <w:sz w:val="21"/>
          <w:szCs w:val="21"/>
          <w:highlight w:val="none"/>
        </w:rPr>
        <w:t>1.11 响应和偏差</w:t>
      </w:r>
      <w:bookmarkEnd w:id="98"/>
      <w:bookmarkEnd w:id="99"/>
    </w:p>
    <w:p w14:paraId="5DC69A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投标文件应当对招标文件的实质性要求和条件作出满足性或更有利于招标人的响应，否则，投标人的投标将被否决。实质性要求和条件见投标人须知前附表。</w:t>
      </w:r>
    </w:p>
    <w:p w14:paraId="056AA7F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投标人应根据招标文件的要求提供投标设备技术性能指标的详细描述、技术支持资料及技术服务和质量保证期服务计划等内容以对招标文件作出响应。</w:t>
      </w:r>
    </w:p>
    <w:p w14:paraId="27AB58A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789755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投标人须知前附表规定了可以偏差的范围和最高偏差项数的，偏差应当符合投标人须知前附表规定的偏差范围和最高项数，超出偏差范围和最高偏差项数的投标将被否决。</w:t>
      </w:r>
    </w:p>
    <w:p w14:paraId="6294BE7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投标文件对招标文件的全部偏差，均应在投标文件的技术偏差表中列明，除列明的内容外，视为投标人响应招标文件的全部要求。</w:t>
      </w:r>
    </w:p>
    <w:p w14:paraId="7CDA7C18">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00" w:name="_bookmark32"/>
      <w:bookmarkEnd w:id="100"/>
      <w:bookmarkStart w:id="101" w:name="_Toc1595"/>
      <w:bookmarkStart w:id="102" w:name="_Toc62034411"/>
      <w:bookmarkStart w:id="103" w:name="_Toc24173"/>
      <w:bookmarkStart w:id="104" w:name="_Toc17206"/>
      <w:bookmarkStart w:id="105" w:name="_Toc19164"/>
      <w:bookmarkStart w:id="106" w:name="_Toc8769"/>
      <w:bookmarkStart w:id="107" w:name="_Toc20201"/>
      <w:r>
        <w:rPr>
          <w:rFonts w:hint="eastAsia" w:ascii="宋体" w:hAnsi="宋体" w:eastAsia="宋体" w:cs="宋体"/>
          <w:b/>
          <w:color w:val="auto"/>
          <w:sz w:val="21"/>
          <w:szCs w:val="21"/>
          <w:highlight w:val="none"/>
        </w:rPr>
        <w:t>2.招标文件</w:t>
      </w:r>
      <w:bookmarkEnd w:id="101"/>
      <w:bookmarkEnd w:id="102"/>
      <w:bookmarkEnd w:id="103"/>
      <w:bookmarkEnd w:id="104"/>
      <w:bookmarkEnd w:id="105"/>
      <w:bookmarkEnd w:id="106"/>
      <w:bookmarkEnd w:id="107"/>
    </w:p>
    <w:p w14:paraId="3E3EE6E5">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08" w:name="_bookmark33"/>
      <w:bookmarkEnd w:id="108"/>
      <w:bookmarkStart w:id="109" w:name="_Toc62034412"/>
      <w:bookmarkStart w:id="110" w:name="_Toc54550695"/>
      <w:r>
        <w:rPr>
          <w:rFonts w:hint="eastAsia" w:ascii="宋体" w:hAnsi="宋体" w:eastAsia="宋体" w:cs="宋体"/>
          <w:b/>
          <w:bCs/>
          <w:color w:val="auto"/>
          <w:sz w:val="21"/>
          <w:szCs w:val="21"/>
          <w:highlight w:val="none"/>
        </w:rPr>
        <w:t>2.1 招标文件的组成</w:t>
      </w:r>
      <w:bookmarkEnd w:id="109"/>
      <w:bookmarkEnd w:id="110"/>
    </w:p>
    <w:p w14:paraId="782D61A6">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CE4CE23">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3178C5A1">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5E988C2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r>
        <w:rPr>
          <w:rFonts w:hint="eastAsia" w:ascii="宋体" w:hAnsi="宋体" w:eastAsia="宋体" w:cs="宋体"/>
          <w:color w:val="auto"/>
          <w:sz w:val="21"/>
          <w:szCs w:val="21"/>
          <w:highlight w:val="none"/>
          <w:lang w:eastAsia="zh-CN"/>
        </w:rPr>
        <w:t>及定标办法</w:t>
      </w:r>
      <w:r>
        <w:rPr>
          <w:rFonts w:hint="eastAsia" w:ascii="宋体" w:hAnsi="宋体" w:eastAsia="宋体" w:cs="宋体"/>
          <w:color w:val="auto"/>
          <w:sz w:val="21"/>
          <w:szCs w:val="21"/>
          <w:highlight w:val="none"/>
        </w:rPr>
        <w:t>；</w:t>
      </w:r>
    </w:p>
    <w:p w14:paraId="4C93CF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770C75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（5）供货要求；</w:t>
      </w:r>
    </w:p>
    <w:p w14:paraId="3BA913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365FBF3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w:t>
      </w:r>
    </w:p>
    <w:p w14:paraId="1129F9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 1.9款、第 2.2款和第 2.3款对招标文件所作的澄清、修改，构成招标文件的组成部分。</w:t>
      </w:r>
    </w:p>
    <w:p w14:paraId="676961BB">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11" w:name="_bookmark34"/>
      <w:bookmarkEnd w:id="111"/>
      <w:bookmarkStart w:id="112" w:name="_Toc54550696"/>
      <w:bookmarkStart w:id="113" w:name="_Toc62034413"/>
      <w:r>
        <w:rPr>
          <w:rFonts w:hint="eastAsia" w:ascii="宋体" w:hAnsi="宋体" w:eastAsia="宋体" w:cs="宋体"/>
          <w:b/>
          <w:bCs/>
          <w:color w:val="auto"/>
          <w:sz w:val="21"/>
          <w:szCs w:val="21"/>
          <w:highlight w:val="none"/>
        </w:rPr>
        <w:t>2.2 招标文件的澄清</w:t>
      </w:r>
      <w:bookmarkEnd w:id="112"/>
      <w:bookmarkEnd w:id="113"/>
    </w:p>
    <w:p w14:paraId="3D4A140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598A28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招标文件的澄清以投标人须知前附表规定的形式发给所有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招标文件的投标人，但不指明澄清问题的来源。澄清发出的时间距本章第4.2.1项规定的投标截止时间不足15日的，并且澄清内容可能影响投标文件编制的，将相应延长投标截止时间。</w:t>
      </w:r>
    </w:p>
    <w:p w14:paraId="0A4275D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投标人在收到澄清后，应按投标人须知前附表规定的时间和形式通知招标人，确认已收到该澄清。</w:t>
      </w:r>
    </w:p>
    <w:p w14:paraId="76F4C2E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除非招标人认为确有必要答复，否则，招标人有权拒绝回复投标人在本章第2.2.1项规定的时间后的任何澄清要求。</w:t>
      </w:r>
    </w:p>
    <w:p w14:paraId="48A676B8">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14" w:name="_bookmark35"/>
      <w:bookmarkEnd w:id="114"/>
      <w:bookmarkStart w:id="115" w:name="_Toc54550697"/>
      <w:bookmarkStart w:id="116" w:name="_Toc62034414"/>
      <w:r>
        <w:rPr>
          <w:rFonts w:hint="eastAsia" w:ascii="宋体" w:hAnsi="宋体" w:eastAsia="宋体" w:cs="宋体"/>
          <w:b/>
          <w:bCs/>
          <w:color w:val="auto"/>
          <w:sz w:val="21"/>
          <w:szCs w:val="21"/>
          <w:highlight w:val="none"/>
        </w:rPr>
        <w:t>2.3 招标文件的修改</w:t>
      </w:r>
      <w:bookmarkEnd w:id="115"/>
      <w:bookmarkEnd w:id="116"/>
    </w:p>
    <w:p w14:paraId="6DA6EB1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招标人以投标人须知前附表规定的形式修改招标文件，并通知所有已</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招标文件的投标人。修改招标文件的时间距本章第4.2.1项规定的投标截止时间不足15 日的，并且修改内容可能影响投标文件编制的，将相应延长投标截止时间。</w:t>
      </w:r>
    </w:p>
    <w:p w14:paraId="2E8AFC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投标人收到修改内容后，应按投标人须知前附表规定的时间和形式通知招标人，确认已收到该修改。</w:t>
      </w:r>
    </w:p>
    <w:p w14:paraId="4D2F8195">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17" w:name="_bookmark36"/>
      <w:bookmarkEnd w:id="117"/>
      <w:bookmarkStart w:id="118" w:name="_Toc62034415"/>
      <w:bookmarkStart w:id="119" w:name="_Toc54550698"/>
      <w:r>
        <w:rPr>
          <w:rFonts w:hint="eastAsia" w:ascii="宋体" w:hAnsi="宋体" w:eastAsia="宋体" w:cs="宋体"/>
          <w:b/>
          <w:bCs/>
          <w:color w:val="auto"/>
          <w:sz w:val="21"/>
          <w:szCs w:val="21"/>
          <w:highlight w:val="none"/>
        </w:rPr>
        <w:t>2.4 招标文件的异议</w:t>
      </w:r>
      <w:bookmarkEnd w:id="118"/>
      <w:bookmarkEnd w:id="119"/>
    </w:p>
    <w:p w14:paraId="0892474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投标人或者其他利害关系人对招标文件有异议的，应当在投标截止时间10日前以书面形式提出。招标人将在收到异议之日起3日内作出答复；作出答复前，将暂停招标投标活动。</w:t>
      </w:r>
    </w:p>
    <w:p w14:paraId="32AADFC3">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20" w:name="_bookmark37"/>
      <w:bookmarkEnd w:id="120"/>
      <w:bookmarkStart w:id="121" w:name="_Toc9074"/>
      <w:bookmarkStart w:id="122" w:name="_Toc62034416"/>
      <w:bookmarkStart w:id="123" w:name="_Toc54550699"/>
      <w:bookmarkStart w:id="124" w:name="_Toc30993"/>
      <w:bookmarkStart w:id="125" w:name="_Toc16106"/>
      <w:bookmarkStart w:id="126" w:name="_Toc8263"/>
      <w:bookmarkStart w:id="127" w:name="_Toc20216"/>
      <w:bookmarkStart w:id="128" w:name="_Toc8409"/>
      <w:r>
        <w:rPr>
          <w:rFonts w:hint="eastAsia" w:ascii="宋体" w:hAnsi="宋体" w:eastAsia="宋体" w:cs="宋体"/>
          <w:b/>
          <w:color w:val="auto"/>
          <w:sz w:val="21"/>
          <w:szCs w:val="21"/>
          <w:highlight w:val="none"/>
        </w:rPr>
        <w:t>3.投标文件</w:t>
      </w:r>
      <w:bookmarkEnd w:id="121"/>
      <w:bookmarkEnd w:id="122"/>
      <w:bookmarkEnd w:id="123"/>
      <w:bookmarkEnd w:id="124"/>
      <w:bookmarkEnd w:id="125"/>
      <w:bookmarkEnd w:id="126"/>
      <w:bookmarkEnd w:id="127"/>
      <w:bookmarkEnd w:id="128"/>
    </w:p>
    <w:p w14:paraId="1CAD56E0">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29" w:name="_bookmark38"/>
      <w:bookmarkEnd w:id="129"/>
      <w:bookmarkStart w:id="130" w:name="_Toc62034417"/>
      <w:bookmarkStart w:id="131" w:name="_Toc54550700"/>
      <w:r>
        <w:rPr>
          <w:rFonts w:hint="eastAsia" w:ascii="宋体" w:hAnsi="宋体" w:eastAsia="宋体" w:cs="宋体"/>
          <w:b/>
          <w:bCs/>
          <w:color w:val="auto"/>
          <w:sz w:val="21"/>
          <w:szCs w:val="21"/>
          <w:highlight w:val="none"/>
        </w:rPr>
        <w:t>3.1 投标文件的组成</w:t>
      </w:r>
      <w:bookmarkEnd w:id="130"/>
      <w:bookmarkEnd w:id="131"/>
    </w:p>
    <w:p w14:paraId="1F7A933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7F9172ED">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7DAECD9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（2）法定代表人（单位负责人）身份证明或授权委托书；</w:t>
      </w:r>
    </w:p>
    <w:p w14:paraId="1A6F953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（3）投标保证金；</w:t>
      </w:r>
    </w:p>
    <w:p w14:paraId="220E53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（4）技术偏差表；</w:t>
      </w:r>
    </w:p>
    <w:p w14:paraId="439EDB2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（5）分项报价表；</w:t>
      </w:r>
    </w:p>
    <w:p w14:paraId="0374388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资格审查资料</w:t>
      </w:r>
      <w:r>
        <w:rPr>
          <w:rFonts w:hint="eastAsia" w:ascii="宋体" w:hAnsi="宋体" w:eastAsia="宋体" w:cs="宋体"/>
          <w:color w:val="auto"/>
          <w:sz w:val="21"/>
          <w:szCs w:val="21"/>
          <w:highlight w:val="none"/>
        </w:rPr>
        <w:t>；</w:t>
      </w:r>
    </w:p>
    <w:p w14:paraId="04A7B4B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（7）技术资料；</w:t>
      </w:r>
    </w:p>
    <w:p w14:paraId="3E0D76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（8）投标人须知前附表规定的其他资料。 </w:t>
      </w:r>
    </w:p>
    <w:p w14:paraId="643E47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19EE633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投标人须知前附表规定不接受联合体投标的，或投标人没有组成联合体的，投标文件不包括联合体协议书。</w:t>
      </w:r>
    </w:p>
    <w:p w14:paraId="5F868B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投标人须知前附表未要求提交投标保证金的，投标文件不包括本章第3.1.1（3）目所指的投标保证金。</w:t>
      </w:r>
    </w:p>
    <w:p w14:paraId="08D727CB">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32" w:name="_bookmark39"/>
      <w:bookmarkEnd w:id="132"/>
      <w:bookmarkStart w:id="133" w:name="_Toc62034418"/>
      <w:bookmarkStart w:id="134" w:name="_Toc54550701"/>
      <w:r>
        <w:rPr>
          <w:rFonts w:hint="eastAsia" w:ascii="宋体" w:hAnsi="宋体" w:eastAsia="宋体" w:cs="宋体"/>
          <w:b/>
          <w:bCs/>
          <w:color w:val="auto"/>
          <w:sz w:val="21"/>
          <w:szCs w:val="21"/>
          <w:highlight w:val="none"/>
        </w:rPr>
        <w:t>3.2 投标报价</w:t>
      </w:r>
      <w:bookmarkEnd w:id="133"/>
      <w:bookmarkEnd w:id="134"/>
    </w:p>
    <w:p w14:paraId="5FC729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投标报价应包括国家规定的增值税税金，除投标人须知前附表另有规定外，增值税税金按一般计税方法计算。投标人应按第六章“投标文件格式”的要求在投标函中进行报价并填写分项报价表。</w:t>
      </w:r>
    </w:p>
    <w:p w14:paraId="1B5A879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投标人应充分了解该项目的总体情况以及影响投标报价的其他要素。</w:t>
      </w:r>
    </w:p>
    <w:p w14:paraId="5295D73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 “分项报价表”中的相应报价。此修改须符合本章第 4.3款的有关要求。</w:t>
      </w:r>
    </w:p>
    <w:p w14:paraId="246DDC9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招标人设有最高投标限价的，投标人的投标报价不得超过最高投标限价，最高投标限价在投标人须知前附表中载明。</w:t>
      </w:r>
    </w:p>
    <w:p w14:paraId="502C3E0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 投标报价的其他要求见投标人须知前附表。</w:t>
      </w:r>
    </w:p>
    <w:p w14:paraId="662BD2D3">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35" w:name="_bookmark40"/>
      <w:bookmarkEnd w:id="135"/>
      <w:bookmarkStart w:id="136" w:name="_Toc62034419"/>
      <w:bookmarkStart w:id="137" w:name="_Toc54550702"/>
      <w:r>
        <w:rPr>
          <w:rFonts w:hint="eastAsia" w:ascii="宋体" w:hAnsi="宋体" w:eastAsia="宋体" w:cs="宋体"/>
          <w:b/>
          <w:bCs/>
          <w:color w:val="auto"/>
          <w:sz w:val="21"/>
          <w:szCs w:val="21"/>
          <w:highlight w:val="none"/>
        </w:rPr>
        <w:t>3.3 投标有效期</w:t>
      </w:r>
      <w:bookmarkEnd w:id="136"/>
      <w:bookmarkEnd w:id="137"/>
    </w:p>
    <w:p w14:paraId="49B1834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3.3.1·投标有效期见投标人前附表。</w:t>
      </w:r>
    </w:p>
    <w:p w14:paraId="6C6CA78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559A422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0C4C357">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38" w:name="_bookmark41"/>
      <w:bookmarkEnd w:id="138"/>
      <w:bookmarkStart w:id="139" w:name="_Toc62034420"/>
      <w:bookmarkStart w:id="140" w:name="_Toc54550703"/>
      <w:r>
        <w:rPr>
          <w:rFonts w:hint="eastAsia" w:ascii="宋体" w:hAnsi="宋体" w:eastAsia="宋体" w:cs="宋体"/>
          <w:b/>
          <w:bCs/>
          <w:color w:val="auto"/>
          <w:sz w:val="21"/>
          <w:szCs w:val="21"/>
          <w:highlight w:val="none"/>
        </w:rPr>
        <w:t>3.4 投标保证金</w:t>
      </w:r>
      <w:bookmarkEnd w:id="139"/>
      <w:bookmarkEnd w:id="140"/>
    </w:p>
    <w:p w14:paraId="022B172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284BC4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投标人不按本章第3.4.1项要求提交投标保证金的，评标委员会将否决其投标。</w:t>
      </w:r>
    </w:p>
    <w:p w14:paraId="01E981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sz w:val="21"/>
          <w:szCs w:val="21"/>
          <w:highlight w:val="none"/>
          <w:lang w:val="en-US" w:eastAsia="zh-CN"/>
        </w:rPr>
        <w:t>依照驻马店市公共资源交易平台退还投标保证金流程</w:t>
      </w:r>
      <w:r>
        <w:rPr>
          <w:rFonts w:hint="eastAsia" w:ascii="宋体" w:hAnsi="宋体" w:eastAsia="宋体" w:cs="宋体"/>
          <w:sz w:val="21"/>
          <w:szCs w:val="21"/>
          <w:highlight w:val="none"/>
        </w:rPr>
        <w:t>退还向未中标的投标人和中标人退还投标保证金。</w:t>
      </w:r>
    </w:p>
    <w:p w14:paraId="0D03C7C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1B82974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4D3B7A6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（2）中标人在收到中标通知书后，无正当理由不与招标人订立合同，在签订合同时向招标人提出附加条件，或者不按照招标文件要求提交履约保证金；</w:t>
      </w:r>
    </w:p>
    <w:p w14:paraId="0B1BD48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（3）发生投标人须知前附表规定的其他可以不予退还投标保证金的情形。</w:t>
      </w:r>
    </w:p>
    <w:p w14:paraId="0001AAEF">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41" w:name="_bookmark42"/>
      <w:bookmarkEnd w:id="141"/>
      <w:bookmarkStart w:id="142" w:name="_Toc54550704"/>
      <w:bookmarkStart w:id="143" w:name="_Toc62034421"/>
      <w:r>
        <w:rPr>
          <w:rFonts w:hint="eastAsia" w:ascii="宋体" w:hAnsi="宋体" w:eastAsia="宋体" w:cs="宋体"/>
          <w:b/>
          <w:bCs/>
          <w:color w:val="auto"/>
          <w:sz w:val="21"/>
          <w:szCs w:val="21"/>
          <w:highlight w:val="none"/>
        </w:rPr>
        <w:t>3.5 资格审查资料</w:t>
      </w:r>
      <w:bookmarkEnd w:id="142"/>
      <w:bookmarkEnd w:id="143"/>
    </w:p>
    <w:p w14:paraId="79959580">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bookmarkStart w:id="144" w:name="_bookmark43"/>
      <w:bookmarkEnd w:id="144"/>
      <w:bookmarkStart w:id="145" w:name="_bookmark44"/>
      <w:bookmarkEnd w:id="145"/>
      <w:bookmarkStart w:id="146" w:name="_Toc54550705"/>
      <w:bookmarkStart w:id="147" w:name="_Toc62034422"/>
      <w:r>
        <w:rPr>
          <w:rFonts w:hint="eastAsia" w:ascii="宋体" w:hAnsi="宋体" w:eastAsia="宋体" w:cs="宋体"/>
          <w:b w:val="0"/>
          <w:bCs w:val="0"/>
          <w:color w:val="auto"/>
          <w:kern w:val="2"/>
          <w:sz w:val="21"/>
          <w:szCs w:val="21"/>
          <w:highlight w:val="none"/>
          <w:lang w:val="en-US" w:eastAsia="zh-CN" w:bidi="ar-SA"/>
        </w:rPr>
        <w:t>本项目采用资格后审，投标人在编制投标文件时，应按投标须知前附表1.4.1款规定提供资格审查资料，以证明其满足本章第1.4款规定的资质、业绩、信誉等要求。</w:t>
      </w:r>
    </w:p>
    <w:p w14:paraId="55FCF7D4">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3.6 备选投标方案</w:t>
      </w:r>
      <w:bookmarkEnd w:id="146"/>
      <w:bookmarkEnd w:id="147"/>
    </w:p>
    <w:p w14:paraId="659FD8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 除投标人须知前附表规定允许外，投标人不得递交备选投标方案，否则其投标将被否决。</w:t>
      </w:r>
    </w:p>
    <w:p w14:paraId="4282AFE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124425F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投标人提供两个或两个以上投标报价，或者在投标文件中提供一个报价，但同时提供两个或两个以上供货方案的，视为提供备选方案。</w:t>
      </w:r>
    </w:p>
    <w:p w14:paraId="1BB11622">
      <w:pPr>
        <w:widowControl w:val="0"/>
        <w:adjustRightInd w:val="0"/>
        <w:snapToGrid w:val="0"/>
        <w:spacing w:beforeLines="0" w:afterLines="0" w:line="360" w:lineRule="auto"/>
        <w:jc w:val="both"/>
        <w:rPr>
          <w:rFonts w:hint="eastAsia" w:ascii="宋体" w:hAnsi="宋体" w:eastAsia="宋体" w:cs="宋体"/>
          <w:b/>
          <w:bCs/>
          <w:color w:val="auto"/>
          <w:sz w:val="21"/>
          <w:szCs w:val="21"/>
          <w:highlight w:val="none"/>
        </w:rPr>
      </w:pPr>
      <w:bookmarkStart w:id="148" w:name="_bookmark45"/>
      <w:bookmarkEnd w:id="148"/>
      <w:bookmarkStart w:id="149" w:name="_Toc54550706"/>
      <w:bookmarkStart w:id="150" w:name="_Toc62034423"/>
      <w:r>
        <w:rPr>
          <w:rFonts w:hint="eastAsia" w:ascii="宋体" w:hAnsi="宋体" w:eastAsia="宋体" w:cs="宋体"/>
          <w:b/>
          <w:bCs/>
          <w:color w:val="auto"/>
          <w:sz w:val="21"/>
          <w:szCs w:val="21"/>
          <w:highlight w:val="none"/>
        </w:rPr>
        <w:t>3.7 投标文件的编制</w:t>
      </w:r>
      <w:bookmarkEnd w:id="149"/>
      <w:bookmarkEnd w:id="150"/>
    </w:p>
    <w:p w14:paraId="0E69463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投标文件应按第六章“投标文件格式”进行编写，如有必要，可以增加附页，作为投标文件的组成部分。</w:t>
      </w:r>
    </w:p>
    <w:p w14:paraId="11F055D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投标文件应当对招标文件有关供货期（服务期）、投标有效期、供货要求、招标范围等实质性内容作出响应。投标文件在满足招标文件实质性要求的基础上，可以提出比招标文件要求更有利于招标人的承诺。</w:t>
      </w:r>
    </w:p>
    <w:p w14:paraId="5896AC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14:paraId="68904E17">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51" w:name="_bookmark46"/>
      <w:bookmarkEnd w:id="151"/>
      <w:bookmarkStart w:id="152" w:name="_Toc3969"/>
      <w:bookmarkStart w:id="153" w:name="_Toc32088"/>
      <w:bookmarkStart w:id="154" w:name="_Toc62034424"/>
      <w:bookmarkStart w:id="155" w:name="_Toc13277"/>
      <w:bookmarkStart w:id="156" w:name="_Toc16768"/>
      <w:bookmarkStart w:id="157" w:name="_Toc6729"/>
      <w:bookmarkStart w:id="158" w:name="_Toc30040"/>
      <w:r>
        <w:rPr>
          <w:rFonts w:hint="eastAsia" w:ascii="宋体" w:hAnsi="宋体" w:eastAsia="宋体" w:cs="宋体"/>
          <w:b/>
          <w:color w:val="auto"/>
          <w:sz w:val="21"/>
          <w:szCs w:val="21"/>
          <w:highlight w:val="none"/>
        </w:rPr>
        <w:t>4.投标</w:t>
      </w:r>
      <w:bookmarkEnd w:id="152"/>
      <w:bookmarkEnd w:id="153"/>
      <w:bookmarkEnd w:id="154"/>
      <w:bookmarkEnd w:id="155"/>
      <w:bookmarkEnd w:id="156"/>
      <w:bookmarkEnd w:id="157"/>
      <w:bookmarkEnd w:id="158"/>
    </w:p>
    <w:p w14:paraId="4A5657C1">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lang w:eastAsia="zh-CN"/>
        </w:rPr>
      </w:pPr>
      <w:bookmarkStart w:id="159" w:name="_bookmark47"/>
      <w:bookmarkEnd w:id="159"/>
      <w:bookmarkStart w:id="160" w:name="_Toc62034425"/>
      <w:bookmarkStart w:id="161" w:name="_Toc54550708"/>
      <w:r>
        <w:rPr>
          <w:rFonts w:hint="eastAsia" w:ascii="宋体" w:hAnsi="宋体" w:eastAsia="宋体" w:cs="宋体"/>
          <w:b/>
          <w:bCs/>
          <w:color w:val="auto"/>
          <w:sz w:val="21"/>
          <w:szCs w:val="21"/>
          <w:highlight w:val="none"/>
        </w:rPr>
        <w:t>4.1 投标文件的</w:t>
      </w:r>
      <w:bookmarkEnd w:id="160"/>
      <w:bookmarkEnd w:id="161"/>
      <w:r>
        <w:rPr>
          <w:rFonts w:hint="eastAsia" w:ascii="宋体" w:hAnsi="宋体" w:eastAsia="宋体" w:cs="宋体"/>
          <w:b/>
          <w:bCs/>
          <w:color w:val="auto"/>
          <w:sz w:val="21"/>
          <w:szCs w:val="21"/>
          <w:highlight w:val="none"/>
          <w:lang w:val="en-US" w:eastAsia="zh-CN"/>
        </w:rPr>
        <w:t>加密</w:t>
      </w:r>
    </w:p>
    <w:p w14:paraId="211605C1">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4.1.1投标人应当按照招标文件和电子招标投标交易平台的要求加密投标文件，具体要求见投标人须知前附表。</w:t>
      </w:r>
    </w:p>
    <w:p w14:paraId="1AAA4F1F">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62" w:name="_bookmark48"/>
      <w:bookmarkEnd w:id="162"/>
      <w:bookmarkStart w:id="163" w:name="_Toc62034426"/>
      <w:bookmarkStart w:id="164" w:name="_Toc54550709"/>
      <w:r>
        <w:rPr>
          <w:rFonts w:hint="eastAsia" w:ascii="宋体" w:hAnsi="宋体" w:eastAsia="宋体" w:cs="宋体"/>
          <w:b/>
          <w:bCs/>
          <w:color w:val="auto"/>
          <w:sz w:val="21"/>
          <w:szCs w:val="21"/>
          <w:highlight w:val="none"/>
        </w:rPr>
        <w:t>4.2 投标文件的递交</w:t>
      </w:r>
      <w:bookmarkEnd w:id="163"/>
      <w:bookmarkEnd w:id="164"/>
    </w:p>
    <w:p w14:paraId="5E488880">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bookmarkStart w:id="165" w:name="_Toc54550710"/>
      <w:bookmarkStart w:id="166" w:name="_Toc62034427"/>
      <w:r>
        <w:rPr>
          <w:rFonts w:hint="eastAsia" w:ascii="宋体" w:hAnsi="宋体" w:eastAsia="宋体" w:cs="宋体"/>
          <w:color w:val="auto"/>
          <w:sz w:val="21"/>
          <w:szCs w:val="21"/>
          <w:highlight w:val="none"/>
        </w:rPr>
        <w:t>4.2.1 投标人加密电子投标文件应在投标截止时间前上传。</w:t>
      </w:r>
    </w:p>
    <w:p w14:paraId="13BD0741">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投标人递交投标文件的地点：见投标人须知前附表。</w:t>
      </w:r>
    </w:p>
    <w:p w14:paraId="40BDFB3B">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除投标人须知前附表另有规定外，投标人所递交的投标文件不予退还。</w:t>
      </w:r>
    </w:p>
    <w:p w14:paraId="7FD7C87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投标人完成电子投标文件上传后，电子招标投标交易平台即时向投标人发出递交回执通知。递交时间以递交回执通知载明的传输完成时间为准。</w:t>
      </w:r>
    </w:p>
    <w:p w14:paraId="4BD4ED49">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 逾期</w:t>
      </w:r>
      <w:r>
        <w:rPr>
          <w:rFonts w:hint="eastAsia" w:ascii="宋体" w:hAnsi="宋体" w:eastAsia="宋体" w:cs="宋体"/>
          <w:color w:val="auto"/>
          <w:sz w:val="21"/>
          <w:szCs w:val="21"/>
          <w:highlight w:val="none"/>
          <w:lang w:val="en-US" w:eastAsia="zh-CN"/>
        </w:rPr>
        <w:t>上传</w:t>
      </w:r>
      <w:r>
        <w:rPr>
          <w:rFonts w:hint="eastAsia" w:ascii="宋体" w:hAnsi="宋体" w:eastAsia="宋体" w:cs="宋体"/>
          <w:color w:val="auto"/>
          <w:sz w:val="21"/>
          <w:szCs w:val="21"/>
          <w:highlight w:val="none"/>
        </w:rPr>
        <w:t>的投标文件，电子招标投标交易平台将予以拒收。</w:t>
      </w:r>
    </w:p>
    <w:p w14:paraId="2D30A1CC">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 投标文件的修改与撤回</w:t>
      </w:r>
      <w:bookmarkEnd w:id="165"/>
      <w:bookmarkEnd w:id="166"/>
    </w:p>
    <w:p w14:paraId="27C44013">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bookmarkStart w:id="167" w:name="_bookmark50"/>
      <w:bookmarkEnd w:id="167"/>
      <w:bookmarkStart w:id="168" w:name="_Toc12470"/>
      <w:bookmarkStart w:id="169" w:name="_Toc21261"/>
      <w:bookmarkStart w:id="170" w:name="_Toc62034428"/>
      <w:bookmarkStart w:id="171" w:name="_Toc4544"/>
      <w:bookmarkStart w:id="172" w:name="_Toc27753"/>
      <w:r>
        <w:rPr>
          <w:rFonts w:hint="eastAsia" w:ascii="宋体" w:hAnsi="宋体" w:eastAsia="宋体" w:cs="宋体"/>
          <w:color w:val="auto"/>
          <w:sz w:val="21"/>
          <w:szCs w:val="21"/>
          <w:highlight w:val="none"/>
        </w:rPr>
        <w:t>4.3.1 在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264FC1E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0356900D">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投标人撤回投标文件的，</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退还已收取的投标保证金。</w:t>
      </w:r>
    </w:p>
    <w:p w14:paraId="07413939">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73" w:name="_Toc17369"/>
      <w:bookmarkStart w:id="174" w:name="_Toc24409"/>
      <w:r>
        <w:rPr>
          <w:rFonts w:hint="eastAsia" w:ascii="宋体" w:hAnsi="宋体" w:eastAsia="宋体" w:cs="宋体"/>
          <w:b/>
          <w:color w:val="auto"/>
          <w:sz w:val="21"/>
          <w:szCs w:val="21"/>
          <w:highlight w:val="none"/>
        </w:rPr>
        <w:t>5.开标</w:t>
      </w:r>
      <w:bookmarkEnd w:id="168"/>
      <w:bookmarkEnd w:id="169"/>
      <w:bookmarkEnd w:id="170"/>
      <w:bookmarkEnd w:id="171"/>
      <w:bookmarkEnd w:id="172"/>
      <w:bookmarkEnd w:id="173"/>
      <w:bookmarkEnd w:id="174"/>
    </w:p>
    <w:p w14:paraId="44D97132">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75" w:name="_bookmark51"/>
      <w:bookmarkEnd w:id="175"/>
      <w:bookmarkStart w:id="176" w:name="_Toc62034429"/>
      <w:bookmarkStart w:id="177" w:name="_Toc54550712"/>
      <w:r>
        <w:rPr>
          <w:rFonts w:hint="eastAsia" w:ascii="宋体" w:hAnsi="宋体" w:eastAsia="宋体" w:cs="宋体"/>
          <w:b/>
          <w:bCs/>
          <w:color w:val="auto"/>
          <w:sz w:val="21"/>
          <w:szCs w:val="21"/>
          <w:highlight w:val="none"/>
        </w:rPr>
        <w:t>5.1 开标时间和地点</w:t>
      </w:r>
      <w:bookmarkEnd w:id="176"/>
      <w:bookmarkEnd w:id="177"/>
    </w:p>
    <w:p w14:paraId="64F27EC4">
      <w:pPr>
        <w:widowControl w:val="0"/>
        <w:adjustRightInd w:val="0"/>
        <w:snapToGrid w:val="0"/>
        <w:spacing w:beforeLines="0" w:afterLines="0" w:line="360" w:lineRule="auto"/>
        <w:ind w:firstLine="420" w:firstLineChars="200"/>
        <w:jc w:val="both"/>
        <w:outlineLvl w:val="9"/>
        <w:rPr>
          <w:rFonts w:hint="eastAsia" w:ascii="宋体" w:hAnsi="宋体" w:eastAsia="宋体" w:cs="宋体"/>
          <w:b w:val="0"/>
          <w:bCs w:val="0"/>
          <w:color w:val="auto"/>
          <w:sz w:val="21"/>
          <w:szCs w:val="21"/>
          <w:highlight w:val="none"/>
        </w:rPr>
      </w:pPr>
      <w:bookmarkStart w:id="178" w:name="_bookmark53"/>
      <w:bookmarkEnd w:id="178"/>
      <w:bookmarkStart w:id="179" w:name="_bookmark52"/>
      <w:bookmarkEnd w:id="179"/>
      <w:bookmarkStart w:id="180" w:name="_Toc62034430"/>
      <w:bookmarkStart w:id="181" w:name="_Toc54550713"/>
      <w:r>
        <w:rPr>
          <w:rFonts w:hint="eastAsia" w:ascii="宋体" w:hAnsi="宋体" w:eastAsia="宋体" w:cs="宋体"/>
          <w:b w:val="0"/>
          <w:bCs w:val="0"/>
          <w:color w:val="auto"/>
          <w:sz w:val="21"/>
          <w:szCs w:val="21"/>
          <w:highlight w:val="none"/>
        </w:rPr>
        <w:t>招标人在投标截止时间(开标时间)，通过电子招标投标交易平台公开开标，所有投标人的法</w:t>
      </w:r>
    </w:p>
    <w:p w14:paraId="50727493">
      <w:pPr>
        <w:widowControl w:val="0"/>
        <w:adjustRightInd w:val="0"/>
        <w:snapToGrid w:val="0"/>
        <w:spacing w:beforeLines="0" w:afterLines="0" w:line="360" w:lineRule="auto"/>
        <w:ind w:firstLine="420" w:firstLineChars="20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定代表人(单位负责人)或其委托代理人应当准时参加。</w:t>
      </w:r>
    </w:p>
    <w:p w14:paraId="313E74DF">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开标程序</w:t>
      </w:r>
      <w:bookmarkEnd w:id="180"/>
      <w:bookmarkEnd w:id="181"/>
    </w:p>
    <w:p w14:paraId="503CF799">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bookmarkStart w:id="182" w:name="_bookmark55"/>
      <w:bookmarkEnd w:id="182"/>
      <w:bookmarkStart w:id="183" w:name="_bookmark54"/>
      <w:bookmarkEnd w:id="183"/>
      <w:bookmarkStart w:id="184" w:name="_Toc2166"/>
      <w:bookmarkStart w:id="185" w:name="_Toc16624"/>
      <w:bookmarkStart w:id="186" w:name="_Toc22344"/>
      <w:bookmarkStart w:id="187" w:name="_Toc9179"/>
      <w:bookmarkStart w:id="188" w:name="_Toc62034432"/>
      <w:bookmarkStart w:id="189" w:name="_Toc14685"/>
      <w:bookmarkStart w:id="190" w:name="_Toc8459"/>
      <w:r>
        <w:rPr>
          <w:rFonts w:hint="eastAsia" w:ascii="宋体" w:hAnsi="宋体" w:eastAsia="宋体" w:cs="宋体"/>
          <w:color w:val="auto"/>
          <w:sz w:val="21"/>
          <w:szCs w:val="21"/>
          <w:highlight w:val="none"/>
        </w:rPr>
        <w:t>见投标人须知前附表。</w:t>
      </w:r>
    </w:p>
    <w:p w14:paraId="1C3C086A">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开标异议</w:t>
      </w:r>
    </w:p>
    <w:p w14:paraId="22663E3C">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投标人对开标有异议的，应当在开标环节提出，招标人当场作出答复，并制作记录。</w:t>
      </w:r>
    </w:p>
    <w:p w14:paraId="27169C79">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6.评标</w:t>
      </w:r>
      <w:bookmarkEnd w:id="184"/>
      <w:bookmarkEnd w:id="185"/>
      <w:bookmarkEnd w:id="186"/>
      <w:bookmarkEnd w:id="187"/>
      <w:bookmarkEnd w:id="188"/>
      <w:bookmarkEnd w:id="189"/>
      <w:bookmarkEnd w:id="190"/>
    </w:p>
    <w:p w14:paraId="3C1CBC27">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91" w:name="_bookmark56"/>
      <w:bookmarkEnd w:id="191"/>
      <w:bookmarkStart w:id="192" w:name="_Toc54550716"/>
      <w:bookmarkStart w:id="193" w:name="_Toc62034433"/>
      <w:r>
        <w:rPr>
          <w:rFonts w:hint="eastAsia" w:ascii="宋体" w:hAnsi="宋体" w:eastAsia="宋体" w:cs="宋体"/>
          <w:b/>
          <w:bCs/>
          <w:color w:val="auto"/>
          <w:sz w:val="21"/>
          <w:szCs w:val="21"/>
          <w:highlight w:val="none"/>
        </w:rPr>
        <w:t>6.1 评标委员会</w:t>
      </w:r>
      <w:bookmarkEnd w:id="192"/>
      <w:bookmarkEnd w:id="193"/>
    </w:p>
    <w:p w14:paraId="6BB7751E">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评标由招标人依法组建的评标委员会负责。评标委员会由有关技术、经济等方面的专家组成。评标委员会成员人数以及技术、经济等方面专家的确定方式见投标人须知前附表。</w:t>
      </w:r>
    </w:p>
    <w:p w14:paraId="44B5C7A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204D2B1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（1）投标人或投标人主要负责人的近亲属；</w:t>
      </w:r>
    </w:p>
    <w:p w14:paraId="08E1665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18C12CC5">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5E2F7D1F">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75103A66">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（5）与投标人有其他利害关系。</w:t>
      </w:r>
    </w:p>
    <w:p w14:paraId="7151EAD3">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7458C255">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94" w:name="_bookmark57"/>
      <w:bookmarkEnd w:id="194"/>
      <w:bookmarkStart w:id="195" w:name="_Toc54550717"/>
      <w:bookmarkStart w:id="196" w:name="_Toc62034434"/>
      <w:r>
        <w:rPr>
          <w:rFonts w:hint="eastAsia" w:ascii="宋体" w:hAnsi="宋体" w:eastAsia="宋体" w:cs="宋体"/>
          <w:b/>
          <w:bCs/>
          <w:color w:val="auto"/>
          <w:sz w:val="21"/>
          <w:szCs w:val="21"/>
          <w:highlight w:val="none"/>
        </w:rPr>
        <w:t>6.2 评标原则</w:t>
      </w:r>
      <w:bookmarkEnd w:id="195"/>
      <w:bookmarkEnd w:id="196"/>
    </w:p>
    <w:p w14:paraId="279FA86C">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0DFDD78E">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197" w:name="_Toc54550718"/>
      <w:bookmarkStart w:id="198" w:name="_Toc62034435"/>
      <w:r>
        <w:rPr>
          <w:rFonts w:hint="eastAsia" w:ascii="宋体" w:hAnsi="宋体" w:eastAsia="宋体" w:cs="宋体"/>
          <w:b/>
          <w:bCs/>
          <w:color w:val="auto"/>
          <w:sz w:val="21"/>
          <w:szCs w:val="21"/>
          <w:highlight w:val="none"/>
        </w:rPr>
        <w:t>6.3 评标</w:t>
      </w:r>
      <w:bookmarkEnd w:id="197"/>
      <w:bookmarkEnd w:id="198"/>
    </w:p>
    <w:p w14:paraId="3A3EED62">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评标委员会按照第三章“评标办法及定标办法”规定的方法、评审因素、标准和程序对投标文件进行评审。第三章“评标办法及定标办法”没有规定的方法、评审因素和标准，不作为评标依据。</w:t>
      </w:r>
    </w:p>
    <w:p w14:paraId="5678D70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评标完成后，评标委员会应当向招标人提交书面评标报告和中标候选人名单。评标委员会推荐中标候选人的人数见投标人须知前附表。</w:t>
      </w:r>
    </w:p>
    <w:p w14:paraId="17B276DC">
      <w:pPr>
        <w:widowControl w:val="0"/>
        <w:adjustRightInd w:val="0"/>
        <w:snapToGrid w:val="0"/>
        <w:spacing w:before="0" w:beforeLines="0" w:after="0" w:afterLines="0" w:line="360" w:lineRule="auto"/>
        <w:jc w:val="both"/>
        <w:outlineLvl w:val="1"/>
        <w:rPr>
          <w:rFonts w:hint="eastAsia" w:ascii="宋体" w:hAnsi="宋体" w:eastAsia="宋体" w:cs="宋体"/>
          <w:color w:val="auto"/>
          <w:sz w:val="21"/>
          <w:szCs w:val="21"/>
          <w:highlight w:val="none"/>
        </w:rPr>
      </w:pPr>
      <w:bookmarkStart w:id="199" w:name="_bookmark59"/>
      <w:bookmarkEnd w:id="199"/>
      <w:bookmarkStart w:id="200" w:name="_Toc15649"/>
      <w:bookmarkStart w:id="201" w:name="_Toc9976"/>
      <w:bookmarkStart w:id="202" w:name="_Toc62034436"/>
      <w:bookmarkStart w:id="203" w:name="_Toc17255"/>
      <w:bookmarkStart w:id="204" w:name="_Toc4798"/>
      <w:bookmarkStart w:id="205" w:name="_Toc13538"/>
      <w:bookmarkStart w:id="206" w:name="_Toc21577"/>
      <w:r>
        <w:rPr>
          <w:rFonts w:hint="eastAsia" w:ascii="宋体" w:hAnsi="宋体" w:eastAsia="宋体" w:cs="宋体"/>
          <w:b/>
          <w:color w:val="auto"/>
          <w:sz w:val="21"/>
          <w:szCs w:val="21"/>
          <w:highlight w:val="none"/>
        </w:rPr>
        <w:t>7.合同授予</w:t>
      </w:r>
      <w:bookmarkEnd w:id="200"/>
      <w:bookmarkEnd w:id="201"/>
      <w:bookmarkEnd w:id="202"/>
      <w:bookmarkEnd w:id="203"/>
      <w:bookmarkEnd w:id="204"/>
      <w:bookmarkEnd w:id="205"/>
      <w:bookmarkEnd w:id="206"/>
    </w:p>
    <w:p w14:paraId="1F375BF6">
      <w:pPr>
        <w:keepNext w:val="0"/>
        <w:keepLines w:val="0"/>
        <w:pageBreakBefore w:val="0"/>
        <w:widowControl w:val="0"/>
        <w:kinsoku/>
        <w:wordWrap/>
        <w:overflowPunct/>
        <w:topLinePunct w:val="0"/>
        <w:autoSpaceDE/>
        <w:autoSpaceDN/>
        <w:bidi w:val="0"/>
        <w:adjustRightInd w:val="0"/>
        <w:snapToGrid w:val="0"/>
        <w:spacing w:beforeLines="0" w:afterLines="0" w:line="360" w:lineRule="auto"/>
        <w:jc w:val="both"/>
        <w:textAlignment w:val="auto"/>
        <w:outlineLvl w:val="9"/>
        <w:rPr>
          <w:rFonts w:hint="eastAsia" w:ascii="宋体" w:hAnsi="宋体" w:eastAsia="宋体" w:cs="宋体"/>
          <w:b/>
          <w:bCs/>
          <w:color w:val="auto"/>
          <w:sz w:val="21"/>
          <w:szCs w:val="21"/>
          <w:highlight w:val="none"/>
        </w:rPr>
      </w:pPr>
      <w:bookmarkStart w:id="207" w:name="_bookmark60"/>
      <w:bookmarkEnd w:id="207"/>
      <w:bookmarkStart w:id="208" w:name="_Toc62034437"/>
      <w:bookmarkStart w:id="209" w:name="_Toc54550720"/>
      <w:r>
        <w:rPr>
          <w:rFonts w:hint="eastAsia" w:ascii="宋体" w:hAnsi="宋体" w:eastAsia="宋体" w:cs="宋体"/>
          <w:b/>
          <w:bCs/>
          <w:color w:val="auto"/>
          <w:sz w:val="21"/>
          <w:szCs w:val="21"/>
          <w:highlight w:val="none"/>
        </w:rPr>
        <w:t>7.1 中标候选人公示</w:t>
      </w:r>
      <w:bookmarkEnd w:id="208"/>
      <w:bookmarkEnd w:id="209"/>
    </w:p>
    <w:p w14:paraId="388648F2">
      <w:pPr>
        <w:keepNext w:val="0"/>
        <w:keepLines w:val="0"/>
        <w:pageBreakBefore w:val="0"/>
        <w:widowControl/>
        <w:kinsoku/>
        <w:wordWrap/>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sz w:val="21"/>
          <w:szCs w:val="21"/>
          <w:highlight w:val="none"/>
        </w:rPr>
      </w:pPr>
      <w:bookmarkStart w:id="210" w:name="_bookmark61"/>
      <w:bookmarkEnd w:id="210"/>
      <w:r>
        <w:rPr>
          <w:rFonts w:hint="eastAsia" w:ascii="宋体" w:hAnsi="宋体" w:eastAsia="宋体" w:cs="宋体"/>
          <w:sz w:val="21"/>
          <w:szCs w:val="21"/>
          <w:highlight w:val="none"/>
        </w:rPr>
        <w:t>招标人在收到评标报告之日起3日内，按照投标人须知前附表规定的公示媒介和期限公示中标候选人，公示期不得少于3天。</w:t>
      </w:r>
    </w:p>
    <w:p w14:paraId="6C864B51">
      <w:pPr>
        <w:keepNext w:val="0"/>
        <w:keepLines w:val="0"/>
        <w:pageBreakBefore w:val="0"/>
        <w:widowControl w:val="0"/>
        <w:kinsoku/>
        <w:wordWrap/>
        <w:overflowPunct/>
        <w:topLinePunct w:val="0"/>
        <w:autoSpaceDE/>
        <w:autoSpaceDN/>
        <w:bidi w:val="0"/>
        <w:adjustRightInd w:val="0"/>
        <w:snapToGrid w:val="0"/>
        <w:spacing w:beforeLines="0" w:afterLines="0" w:line="360" w:lineRule="auto"/>
        <w:jc w:val="both"/>
        <w:textAlignment w:val="auto"/>
        <w:outlineLvl w:val="9"/>
        <w:rPr>
          <w:rFonts w:hint="eastAsia" w:ascii="宋体" w:hAnsi="宋体" w:eastAsia="宋体" w:cs="宋体"/>
          <w:b/>
          <w:bCs/>
          <w:color w:val="auto"/>
          <w:sz w:val="21"/>
          <w:szCs w:val="21"/>
          <w:highlight w:val="none"/>
        </w:rPr>
      </w:pPr>
      <w:bookmarkStart w:id="211" w:name="_Toc54550721"/>
      <w:bookmarkStart w:id="212" w:name="_Toc62034438"/>
      <w:r>
        <w:rPr>
          <w:rFonts w:hint="eastAsia" w:ascii="宋体" w:hAnsi="宋体" w:eastAsia="宋体" w:cs="宋体"/>
          <w:b/>
          <w:bCs/>
          <w:color w:val="auto"/>
          <w:sz w:val="21"/>
          <w:szCs w:val="21"/>
          <w:highlight w:val="none"/>
        </w:rPr>
        <w:t>7.2 评标结果异议</w:t>
      </w:r>
      <w:bookmarkEnd w:id="211"/>
      <w:bookmarkEnd w:id="212"/>
    </w:p>
    <w:p w14:paraId="0884AD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投标人或者其他利害关系人对评标结果有异议的，应当在中标候选人公示期间提出。招标人将在收到异议之日起3日内作出答复；作出答复前，将暂停招标投标活动。</w:t>
      </w:r>
    </w:p>
    <w:p w14:paraId="4F4C4807">
      <w:pPr>
        <w:keepNext w:val="0"/>
        <w:keepLines w:val="0"/>
        <w:pageBreakBefore w:val="0"/>
        <w:widowControl w:val="0"/>
        <w:kinsoku/>
        <w:wordWrap/>
        <w:overflowPunct/>
        <w:topLinePunct w:val="0"/>
        <w:autoSpaceDE/>
        <w:autoSpaceDN/>
        <w:bidi w:val="0"/>
        <w:adjustRightInd w:val="0"/>
        <w:snapToGrid w:val="0"/>
        <w:spacing w:beforeLines="0" w:afterLines="0" w:line="360" w:lineRule="auto"/>
        <w:jc w:val="both"/>
        <w:textAlignment w:val="auto"/>
        <w:outlineLvl w:val="9"/>
        <w:rPr>
          <w:rFonts w:hint="eastAsia" w:ascii="宋体" w:hAnsi="宋体" w:eastAsia="宋体" w:cs="宋体"/>
          <w:b/>
          <w:bCs/>
          <w:color w:val="auto"/>
          <w:sz w:val="21"/>
          <w:szCs w:val="21"/>
          <w:highlight w:val="none"/>
        </w:rPr>
      </w:pPr>
      <w:bookmarkStart w:id="213" w:name="_bookmark62"/>
      <w:bookmarkEnd w:id="213"/>
      <w:bookmarkStart w:id="214" w:name="_Toc54550722"/>
      <w:bookmarkStart w:id="215" w:name="_Toc62034439"/>
      <w:r>
        <w:rPr>
          <w:rFonts w:hint="eastAsia" w:ascii="宋体" w:hAnsi="宋体" w:eastAsia="宋体" w:cs="宋体"/>
          <w:b/>
          <w:bCs/>
          <w:color w:val="auto"/>
          <w:sz w:val="21"/>
          <w:szCs w:val="21"/>
          <w:highlight w:val="none"/>
        </w:rPr>
        <w:t>7.3 中标候选人履约能力审查</w:t>
      </w:r>
      <w:bookmarkEnd w:id="214"/>
      <w:bookmarkEnd w:id="215"/>
    </w:p>
    <w:p w14:paraId="3E9300DC">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1E89C98E">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216" w:name="_bookmark63"/>
      <w:bookmarkEnd w:id="216"/>
      <w:bookmarkStart w:id="217" w:name="_Toc62034441"/>
      <w:bookmarkStart w:id="218" w:name="_Toc54550724"/>
      <w:r>
        <w:rPr>
          <w:rFonts w:hint="eastAsia" w:ascii="宋体" w:hAnsi="宋体" w:eastAsia="宋体" w:cs="宋体"/>
          <w:b/>
          <w:bCs/>
          <w:color w:val="auto"/>
          <w:sz w:val="21"/>
          <w:szCs w:val="21"/>
          <w:highlight w:val="none"/>
        </w:rPr>
        <w:t>7.4 定标方式</w:t>
      </w:r>
    </w:p>
    <w:p w14:paraId="58E774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按照投标人须知前附表的规定，采用评定分离方式确定中标人。具体定标办法详见第三章“评标办法和定标办法”。</w:t>
      </w:r>
    </w:p>
    <w:p w14:paraId="17300807">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中标通知</w:t>
      </w:r>
      <w:bookmarkEnd w:id="217"/>
      <w:bookmarkEnd w:id="218"/>
    </w:p>
    <w:p w14:paraId="2FAD9FF5">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在本章第3.3款规定的投标有效期内，招标人以书面形式向中标人发出中标通知书，同时将中标结果通知未中标的投标人。</w:t>
      </w:r>
    </w:p>
    <w:p w14:paraId="54D275C4">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219" w:name="_bookmark65"/>
      <w:bookmarkEnd w:id="219"/>
      <w:bookmarkStart w:id="220" w:name="_Toc54550725"/>
      <w:bookmarkStart w:id="221" w:name="_Toc62034442"/>
      <w:r>
        <w:rPr>
          <w:rFonts w:hint="eastAsia" w:ascii="宋体" w:hAnsi="宋体" w:eastAsia="宋体" w:cs="宋体"/>
          <w:b/>
          <w:bCs/>
          <w:color w:val="auto"/>
          <w:sz w:val="21"/>
          <w:szCs w:val="21"/>
          <w:highlight w:val="none"/>
        </w:rPr>
        <w:t>7.6 履约保证金</w:t>
      </w:r>
      <w:bookmarkEnd w:id="220"/>
      <w:bookmarkEnd w:id="221"/>
    </w:p>
    <w:p w14:paraId="721DFF8E">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%。联合体中标的，其履约保证金以联合体各方或者联合体中牵头人的名义提交。</w:t>
      </w:r>
    </w:p>
    <w:p w14:paraId="71A7B697">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7.6.2 中标人不能按本章第7.6.1项要求提交履约保证金的，视为放弃中标，其投标保证金不予退还，给招标人造成的损失超过投标保证金数额的，中标人还应当对超过部分予以赔偿。</w:t>
      </w:r>
    </w:p>
    <w:p w14:paraId="6774DC97">
      <w:pPr>
        <w:widowControl w:val="0"/>
        <w:adjustRightInd w:val="0"/>
        <w:snapToGrid w:val="0"/>
        <w:spacing w:beforeLines="0" w:afterLines="0" w:line="360" w:lineRule="auto"/>
        <w:jc w:val="both"/>
        <w:outlineLvl w:val="9"/>
        <w:rPr>
          <w:rFonts w:hint="eastAsia" w:ascii="宋体" w:hAnsi="宋体" w:eastAsia="宋体" w:cs="宋体"/>
          <w:b/>
          <w:bCs/>
          <w:color w:val="auto"/>
          <w:sz w:val="21"/>
          <w:szCs w:val="21"/>
          <w:highlight w:val="none"/>
        </w:rPr>
      </w:pPr>
      <w:bookmarkStart w:id="222" w:name="_bookmark66"/>
      <w:bookmarkEnd w:id="222"/>
      <w:bookmarkStart w:id="223" w:name="_Toc62034443"/>
      <w:bookmarkStart w:id="224" w:name="_Toc54550726"/>
      <w:r>
        <w:rPr>
          <w:rFonts w:hint="eastAsia" w:ascii="宋体" w:hAnsi="宋体" w:eastAsia="宋体" w:cs="宋体"/>
          <w:b/>
          <w:bCs/>
          <w:color w:val="auto"/>
          <w:sz w:val="21"/>
          <w:szCs w:val="21"/>
          <w:highlight w:val="none"/>
        </w:rPr>
        <w:t>7.7 签订合同</w:t>
      </w:r>
      <w:bookmarkEnd w:id="223"/>
      <w:bookmarkEnd w:id="224"/>
    </w:p>
    <w:p w14:paraId="61B784F5">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 招标人和中标人应当自中标通知书发出之日起7天内，投标人需在投标文件中针对上述要求做出承诺。根据招标文件和中标人的投标文件订立书面合同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无正当理由拒签合同的，招标人取消其中标资格，其投标保证金不予退还;给招标人造成的损失超过投标保证金数额的，中标人还应当对超过部分予以赔偿。</w:t>
      </w:r>
    </w:p>
    <w:p w14:paraId="0F21813C">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7.7.2 发出中标通知书后，招标人无正当理由拒签合同，或者在签订合同时向中标人提出附加条件的，招标人向中标人退还投标保证金；给中标人造成损失的，还应当赔偿损失。</w:t>
      </w:r>
    </w:p>
    <w:p w14:paraId="4F82C41D">
      <w:pPr>
        <w:widowControl w:val="0"/>
        <w:adjustRightInd w:val="0"/>
        <w:snapToGrid w:val="0"/>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7.7.3 联合体中标的，联合体各方应当共同与招标人签订合同，就中标项目向招标人承担连带责任。</w:t>
      </w:r>
    </w:p>
    <w:p w14:paraId="2C10D844">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right="0"/>
        <w:jc w:val="both"/>
        <w:textAlignment w:val="auto"/>
        <w:outlineLvl w:val="1"/>
        <w:rPr>
          <w:rFonts w:hint="eastAsia" w:ascii="宋体" w:hAnsi="宋体" w:eastAsia="宋体" w:cs="宋体"/>
          <w:b/>
          <w:bCs/>
          <w:color w:val="auto"/>
          <w:sz w:val="21"/>
          <w:szCs w:val="21"/>
          <w:highlight w:val="none"/>
        </w:rPr>
      </w:pPr>
      <w:bookmarkStart w:id="225" w:name="_bookmark67"/>
      <w:bookmarkEnd w:id="225"/>
      <w:bookmarkStart w:id="226" w:name="_Toc17270"/>
      <w:bookmarkStart w:id="227" w:name="_Toc222030990"/>
      <w:bookmarkStart w:id="228" w:name="_Toc144974539"/>
      <w:bookmarkStart w:id="229" w:name="_Toc168475686"/>
      <w:bookmarkStart w:id="230" w:name="_Toc222029488"/>
      <w:bookmarkStart w:id="231" w:name="_Toc229305348"/>
      <w:bookmarkStart w:id="232" w:name="_Toc168476089"/>
      <w:bookmarkStart w:id="233" w:name="_Toc222032657"/>
      <w:bookmarkStart w:id="234" w:name="_Toc221950220"/>
      <w:bookmarkStart w:id="235" w:name="_Toc28472"/>
      <w:bookmarkStart w:id="236" w:name="_Toc12419"/>
      <w:bookmarkStart w:id="237" w:name="_Toc222033839"/>
      <w:bookmarkStart w:id="238" w:name="_Toc5056"/>
      <w:bookmarkStart w:id="239" w:name="_Toc25095"/>
      <w:bookmarkStart w:id="240" w:name="_Toc32645"/>
      <w:bookmarkStart w:id="241" w:name="_Toc24065"/>
      <w:r>
        <w:rPr>
          <w:rFonts w:hint="eastAsia" w:ascii="宋体" w:hAnsi="宋体" w:eastAsia="宋体" w:cs="宋体"/>
          <w:b/>
          <w:bCs/>
          <w:color w:val="auto"/>
          <w:sz w:val="21"/>
          <w:szCs w:val="21"/>
          <w:highlight w:val="none"/>
        </w:rPr>
        <w:t>8. 重新招标或经批准不招标</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7B6F228A">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42" w:name="_Toc221950225"/>
      <w:r>
        <w:rPr>
          <w:rFonts w:hint="eastAsia" w:ascii="宋体" w:hAnsi="宋体" w:eastAsia="宋体" w:cs="宋体"/>
          <w:b/>
          <w:bCs/>
          <w:color w:val="auto"/>
          <w:sz w:val="21"/>
          <w:szCs w:val="21"/>
          <w:highlight w:val="none"/>
        </w:rPr>
        <w:t>8.1 重新招标</w:t>
      </w:r>
    </w:p>
    <w:p w14:paraId="5C90B1AF">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4E28CE94">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 3 个的；</w:t>
      </w:r>
    </w:p>
    <w:p w14:paraId="36A431F7">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0F9394F2">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（3）评标委员会否决不合格投标后，因有效投标不足 3 个使得投标明显缺乏竞争的，评标委员会决定否决全部投标的；</w:t>
      </w:r>
      <w:r>
        <w:rPr>
          <w:rFonts w:hint="eastAsia" w:ascii="宋体" w:hAnsi="宋体" w:eastAsia="宋体" w:cs="宋体"/>
          <w:color w:val="auto"/>
          <w:sz w:val="21"/>
          <w:szCs w:val="21"/>
          <w:highlight w:val="none"/>
          <w:lang w:val="en-US" w:eastAsia="zh-CN"/>
        </w:rPr>
        <w:t>采用评定分离方式确定中标人的项目，有效投标人不足3个的；</w:t>
      </w:r>
    </w:p>
    <w:p w14:paraId="152ADA3B">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（4）同意延长投标有效期的投标人少于 3 个的；</w:t>
      </w:r>
    </w:p>
    <w:p w14:paraId="4538BC5D">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（5）中标候选人均未与招标人签订合同的；</w:t>
      </w:r>
    </w:p>
    <w:p w14:paraId="0874EE30">
      <w:pPr>
        <w:widowControl/>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（6）经查实，中标候选人均不具备中标资格或存在违规行为的。。</w:t>
      </w:r>
    </w:p>
    <w:p w14:paraId="0E492037">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不再招标</w:t>
      </w:r>
    </w:p>
    <w:p w14:paraId="4E461AFF">
      <w:pPr>
        <w:widowControl w:val="0"/>
        <w:autoSpaceDE w:val="0"/>
        <w:autoSpaceDN w:val="0"/>
        <w:adjustRightInd w:val="0"/>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重新招标后，仍出现本章第8.1条规定情形之一的，属于必须审批的工程建设项目，经行政监督部门批准后不再进行招标。</w:t>
      </w:r>
      <w:bookmarkEnd w:id="242"/>
    </w:p>
    <w:p w14:paraId="56138B59">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right="0"/>
        <w:jc w:val="both"/>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.纪律和监督</w:t>
      </w:r>
      <w:bookmarkEnd w:id="239"/>
      <w:bookmarkEnd w:id="240"/>
      <w:bookmarkEnd w:id="241"/>
    </w:p>
    <w:p w14:paraId="172C7C3D">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43" w:name="_bookmark69"/>
      <w:bookmarkEnd w:id="243"/>
      <w:bookmarkStart w:id="244" w:name="_Toc3273482"/>
      <w:bookmarkStart w:id="245" w:name="_Toc34814248"/>
      <w:bookmarkStart w:id="246" w:name="_Toc11949"/>
      <w:bookmarkStart w:id="247" w:name="_Toc24847"/>
      <w:bookmarkStart w:id="248" w:name="_Toc13447"/>
      <w:bookmarkStart w:id="249" w:name="_Toc19314"/>
      <w:bookmarkStart w:id="250" w:name="_Toc33277308"/>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.1 对招标人的纪律要求</w:t>
      </w:r>
      <w:bookmarkEnd w:id="244"/>
      <w:bookmarkEnd w:id="245"/>
      <w:bookmarkEnd w:id="246"/>
      <w:bookmarkEnd w:id="247"/>
      <w:bookmarkEnd w:id="248"/>
      <w:bookmarkEnd w:id="249"/>
      <w:bookmarkEnd w:id="250"/>
    </w:p>
    <w:p w14:paraId="6550DD03">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招标人不得泄露招标投标活动中应当保密的情况和资料，不得与投标人串通损害国家利益、社会公共利益或者他人合法权益。</w:t>
      </w:r>
    </w:p>
    <w:p w14:paraId="2A516F4F">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51" w:name="_bookmark70"/>
      <w:bookmarkEnd w:id="251"/>
      <w:bookmarkStart w:id="252" w:name="_Toc32216"/>
      <w:bookmarkStart w:id="253" w:name="_Toc34814249"/>
      <w:bookmarkStart w:id="254" w:name="_Toc9197"/>
      <w:bookmarkStart w:id="255" w:name="_Toc13314"/>
      <w:bookmarkStart w:id="256" w:name="_Toc24328"/>
      <w:bookmarkStart w:id="257" w:name="_Toc10372"/>
      <w:bookmarkStart w:id="258" w:name="_Toc3273483"/>
      <w:bookmarkStart w:id="259" w:name="_Toc33277309"/>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.2 对投标人的纪律要求</w:t>
      </w:r>
      <w:bookmarkEnd w:id="252"/>
      <w:bookmarkEnd w:id="253"/>
      <w:bookmarkEnd w:id="254"/>
      <w:bookmarkEnd w:id="255"/>
      <w:bookmarkEnd w:id="256"/>
      <w:bookmarkEnd w:id="257"/>
      <w:bookmarkEnd w:id="258"/>
      <w:bookmarkEnd w:id="259"/>
    </w:p>
    <w:p w14:paraId="6E0A65E9">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7053E81">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60" w:name="_bookmark71"/>
      <w:bookmarkEnd w:id="260"/>
      <w:bookmarkStart w:id="261" w:name="_Toc33277310"/>
      <w:bookmarkStart w:id="262" w:name="_Toc1795"/>
      <w:bookmarkStart w:id="263" w:name="_Toc34814250"/>
      <w:bookmarkStart w:id="264" w:name="_Toc3273484"/>
      <w:bookmarkStart w:id="265" w:name="_Toc2636"/>
      <w:bookmarkStart w:id="266" w:name="_Toc2837"/>
      <w:bookmarkStart w:id="267" w:name="_Toc31437"/>
      <w:bookmarkStart w:id="268" w:name="_Toc20882"/>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.3 对评标委员会成员的纪律要求</w:t>
      </w:r>
      <w:bookmarkEnd w:id="261"/>
      <w:bookmarkEnd w:id="262"/>
      <w:bookmarkEnd w:id="263"/>
      <w:bookmarkEnd w:id="264"/>
      <w:bookmarkEnd w:id="265"/>
      <w:bookmarkEnd w:id="266"/>
      <w:bookmarkEnd w:id="267"/>
      <w:bookmarkEnd w:id="268"/>
    </w:p>
    <w:p w14:paraId="5FC77D98">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”没有规定的评审因素和标准进行评标。</w:t>
      </w:r>
    </w:p>
    <w:p w14:paraId="34B60BF9">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69" w:name="_bookmark72"/>
      <w:bookmarkEnd w:id="269"/>
      <w:bookmarkStart w:id="270" w:name="_Toc20132"/>
      <w:bookmarkStart w:id="271" w:name="_Toc3273485"/>
      <w:bookmarkStart w:id="272" w:name="_Toc3275"/>
      <w:bookmarkStart w:id="273" w:name="_Toc34814251"/>
      <w:bookmarkStart w:id="274" w:name="_Toc19798"/>
      <w:bookmarkStart w:id="275" w:name="_Toc33277311"/>
      <w:bookmarkStart w:id="276" w:name="_Toc20563"/>
      <w:bookmarkStart w:id="277" w:name="_Toc9418"/>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.4 对与评标活动有关的工作人员的纪律要求</w:t>
      </w:r>
      <w:bookmarkEnd w:id="270"/>
      <w:bookmarkEnd w:id="271"/>
      <w:bookmarkEnd w:id="272"/>
      <w:bookmarkEnd w:id="273"/>
      <w:bookmarkEnd w:id="274"/>
      <w:bookmarkEnd w:id="275"/>
      <w:bookmarkEnd w:id="276"/>
      <w:bookmarkEnd w:id="277"/>
    </w:p>
    <w:p w14:paraId="6C33477D">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4FB149AA">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jc w:val="both"/>
        <w:textAlignment w:val="auto"/>
        <w:outlineLvl w:val="9"/>
        <w:rPr>
          <w:rFonts w:hint="eastAsia" w:ascii="宋体" w:hAnsi="宋体" w:eastAsia="宋体" w:cs="宋体"/>
          <w:b/>
          <w:bCs/>
          <w:color w:val="auto"/>
          <w:sz w:val="21"/>
          <w:szCs w:val="21"/>
          <w:highlight w:val="none"/>
        </w:rPr>
      </w:pPr>
      <w:bookmarkStart w:id="278" w:name="_bookmark73"/>
      <w:bookmarkEnd w:id="278"/>
      <w:bookmarkStart w:id="279" w:name="_Toc33277312"/>
      <w:bookmarkStart w:id="280" w:name="_Toc4906"/>
      <w:bookmarkStart w:id="281" w:name="_Toc3620"/>
      <w:bookmarkStart w:id="282" w:name="_Toc12967"/>
      <w:bookmarkStart w:id="283" w:name="_Toc22526"/>
      <w:bookmarkStart w:id="284" w:name="_Toc3273486"/>
      <w:bookmarkStart w:id="285" w:name="_Toc34814252"/>
      <w:bookmarkStart w:id="286" w:name="_Toc25146"/>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.5 投诉</w:t>
      </w:r>
      <w:bookmarkEnd w:id="279"/>
      <w:bookmarkEnd w:id="280"/>
      <w:bookmarkEnd w:id="281"/>
      <w:bookmarkEnd w:id="282"/>
      <w:bookmarkEnd w:id="283"/>
      <w:bookmarkEnd w:id="284"/>
      <w:bookmarkEnd w:id="285"/>
      <w:bookmarkEnd w:id="286"/>
    </w:p>
    <w:p w14:paraId="27859786">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潜</w:t>
      </w:r>
      <w:r>
        <w:rPr>
          <w:rFonts w:hint="eastAsia" w:ascii="宋体" w:hAnsi="宋体" w:eastAsia="宋体" w:cs="宋体"/>
          <w:color w:val="auto"/>
          <w:sz w:val="21"/>
          <w:szCs w:val="21"/>
          <w:highlight w:val="none"/>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7CFAE624">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right="0"/>
        <w:jc w:val="both"/>
        <w:textAlignment w:val="auto"/>
        <w:outlineLvl w:val="1"/>
        <w:rPr>
          <w:rFonts w:hint="eastAsia" w:ascii="宋体" w:hAnsi="宋体" w:eastAsia="宋体" w:cs="宋体"/>
          <w:b/>
          <w:bCs/>
          <w:color w:val="auto"/>
          <w:sz w:val="21"/>
          <w:szCs w:val="21"/>
          <w:highlight w:val="none"/>
        </w:rPr>
      </w:pPr>
      <w:bookmarkStart w:id="287" w:name="_bookmark75"/>
      <w:bookmarkEnd w:id="287"/>
      <w:bookmarkStart w:id="288" w:name="_bookmark74"/>
      <w:bookmarkEnd w:id="288"/>
      <w:bookmarkStart w:id="289" w:name="_Toc10244"/>
      <w:bookmarkStart w:id="290" w:name="_Toc10280"/>
      <w:bookmarkStart w:id="291" w:name="_Toc14105"/>
      <w:r>
        <w:rPr>
          <w:rFonts w:hint="eastAsia" w:ascii="宋体" w:hAnsi="宋体" w:eastAsia="宋体" w:cs="宋体"/>
          <w:b/>
          <w:bCs/>
          <w:color w:val="auto"/>
          <w:sz w:val="21"/>
          <w:szCs w:val="21"/>
          <w:highlight w:val="none"/>
        </w:rPr>
        <w:t>10.需要补充的其他内容</w:t>
      </w:r>
      <w:bookmarkEnd w:id="289"/>
      <w:bookmarkEnd w:id="290"/>
      <w:bookmarkEnd w:id="291"/>
    </w:p>
    <w:p w14:paraId="3C28F178">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需要补充的其他内容：见投标人须知前附表。</w:t>
      </w:r>
    </w:p>
    <w:p w14:paraId="7D5BD542">
      <w:pPr>
        <w:widowControl w:val="0"/>
        <w:adjustRightInd w:val="0"/>
        <w:snapToGrid w:val="0"/>
        <w:spacing w:beforeLines="0" w:afterLines="0" w:line="240" w:lineRule="auto"/>
        <w:ind w:firstLine="0" w:firstLineChars="0"/>
        <w:jc w:val="both"/>
        <w:rPr>
          <w:rFonts w:hint="eastAsia" w:ascii="宋体" w:hAnsi="宋体" w:eastAsia="宋体" w:cs="宋体"/>
          <w:sz w:val="21"/>
          <w:szCs w:val="21"/>
          <w:highlight w:val="none"/>
        </w:rPr>
      </w:pPr>
    </w:p>
    <w:p w14:paraId="05F7668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253E19B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169B9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45CE75D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48FC4C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52EECDF">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CCCD7D5">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E5494F4">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2106503D">
      <w:pPr>
        <w:widowControl/>
        <w:numPr>
          <w:ilvl w:val="-1"/>
          <w:numId w:val="0"/>
        </w:numPr>
        <w:spacing w:beforeLines="0" w:afterLines="0" w:line="240" w:lineRule="auto"/>
        <w:jc w:val="center"/>
        <w:outlineLvl w:val="0"/>
        <w:rPr>
          <w:rFonts w:hint="default" w:ascii="宋体" w:hAnsi="宋体" w:eastAsia="宋体" w:cs="宋体"/>
          <w:b/>
          <w:bCs/>
          <w:sz w:val="32"/>
          <w:szCs w:val="32"/>
          <w:highlight w:val="none"/>
          <w:lang w:val="en-US" w:eastAsia="zh-CN"/>
        </w:rPr>
      </w:pPr>
      <w:r>
        <w:rPr>
          <w:rFonts w:hint="eastAsia" w:ascii="宋体" w:hAnsi="宋体" w:eastAsia="宋体" w:cs="宋体"/>
          <w:sz w:val="24"/>
          <w:szCs w:val="24"/>
          <w:highlight w:val="none"/>
        </w:rPr>
        <w:br w:type="page"/>
      </w:r>
      <w:bookmarkStart w:id="292" w:name="_Toc21570"/>
      <w:bookmarkStart w:id="293" w:name="_Toc21369"/>
      <w:bookmarkStart w:id="294" w:name="_Toc24514"/>
      <w:bookmarkStart w:id="295" w:name="_Toc16141"/>
      <w:r>
        <w:rPr>
          <w:rFonts w:hint="eastAsia" w:ascii="宋体" w:hAnsi="宋体" w:eastAsia="宋体" w:cs="宋体"/>
          <w:b/>
          <w:bCs/>
          <w:sz w:val="32"/>
          <w:szCs w:val="32"/>
          <w:highlight w:val="none"/>
          <w:lang w:val="en-US" w:eastAsia="zh-CN"/>
        </w:rPr>
        <w:t>第三章 评标办法及定标办法</w:t>
      </w:r>
      <w:bookmarkEnd w:id="292"/>
      <w:bookmarkEnd w:id="293"/>
      <w:bookmarkEnd w:id="294"/>
      <w:bookmarkEnd w:id="295"/>
    </w:p>
    <w:p w14:paraId="2F340CC2">
      <w:pPr>
        <w:widowControl/>
        <w:adjustRightInd w:val="0"/>
        <w:snapToGrid w:val="0"/>
        <w:spacing w:before="0" w:after="0" w:line="240" w:lineRule="auto"/>
        <w:jc w:val="center"/>
        <w:outlineLvl w:val="1"/>
        <w:rPr>
          <w:rFonts w:hint="eastAsia" w:ascii="宋体" w:hAnsi="宋体" w:eastAsia="宋体" w:cs="宋体"/>
          <w:b/>
          <w:bCs/>
          <w:sz w:val="24"/>
          <w:szCs w:val="24"/>
          <w:highlight w:val="none"/>
        </w:rPr>
      </w:pPr>
      <w:bookmarkStart w:id="296" w:name="_Toc62034460"/>
      <w:bookmarkStart w:id="297" w:name="_Toc91344935"/>
      <w:bookmarkStart w:id="298" w:name="_Toc28311"/>
      <w:bookmarkStart w:id="299" w:name="_Toc270859674"/>
      <w:bookmarkStart w:id="300" w:name="_Toc24763"/>
      <w:bookmarkStart w:id="301" w:name="_Toc332378860"/>
      <w:r>
        <w:rPr>
          <w:rFonts w:hint="eastAsia" w:ascii="宋体" w:hAnsi="宋体" w:eastAsia="宋体" w:cs="宋体"/>
          <w:b/>
          <w:bCs/>
          <w:sz w:val="24"/>
          <w:szCs w:val="24"/>
          <w:highlight w:val="none"/>
        </w:rPr>
        <w:t>评标办法前附表</w:t>
      </w:r>
      <w:bookmarkEnd w:id="296"/>
      <w:bookmarkEnd w:id="297"/>
      <w:bookmarkEnd w:id="298"/>
      <w:bookmarkEnd w:id="299"/>
      <w:bookmarkEnd w:id="300"/>
      <w:bookmarkEnd w:id="301"/>
    </w:p>
    <w:bookmarkEnd w:id="56"/>
    <w:bookmarkEnd w:id="57"/>
    <w:bookmarkEnd w:id="58"/>
    <w:bookmarkEnd w:id="66"/>
    <w:bookmarkEnd w:id="67"/>
    <w:tbl>
      <w:tblPr>
        <w:tblStyle w:val="2"/>
        <w:tblW w:w="93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8"/>
        <w:gridCol w:w="96"/>
        <w:gridCol w:w="1131"/>
        <w:gridCol w:w="1689"/>
        <w:gridCol w:w="5658"/>
      </w:tblGrid>
      <w:tr w14:paraId="6B365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exact"/>
          <w:jc w:val="center"/>
        </w:trPr>
        <w:tc>
          <w:tcPr>
            <w:tcW w:w="1955" w:type="dxa"/>
            <w:gridSpan w:val="3"/>
            <w:noWrap w:val="0"/>
            <w:vAlign w:val="center"/>
          </w:tcPr>
          <w:p w14:paraId="0D62DCF4">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49FB7BA3">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评审因素</w:t>
            </w:r>
          </w:p>
        </w:tc>
        <w:tc>
          <w:tcPr>
            <w:tcW w:w="5658" w:type="dxa"/>
            <w:noWrap w:val="0"/>
            <w:vAlign w:val="center"/>
          </w:tcPr>
          <w:p w14:paraId="5245D692">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评审标准</w:t>
            </w:r>
          </w:p>
        </w:tc>
      </w:tr>
      <w:tr w14:paraId="447F0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exact"/>
          <w:jc w:val="center"/>
        </w:trPr>
        <w:tc>
          <w:tcPr>
            <w:tcW w:w="824" w:type="dxa"/>
            <w:gridSpan w:val="2"/>
            <w:vMerge w:val="restart"/>
            <w:noWrap w:val="0"/>
            <w:vAlign w:val="center"/>
          </w:tcPr>
          <w:p w14:paraId="3202A5E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2.1.1</w:t>
            </w:r>
          </w:p>
        </w:tc>
        <w:tc>
          <w:tcPr>
            <w:tcW w:w="1131" w:type="dxa"/>
            <w:vMerge w:val="restart"/>
            <w:noWrap w:val="0"/>
            <w:vAlign w:val="center"/>
          </w:tcPr>
          <w:p w14:paraId="0158E1D1">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形式评审</w:t>
            </w:r>
          </w:p>
          <w:p w14:paraId="2852F95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标准</w:t>
            </w:r>
          </w:p>
        </w:tc>
        <w:tc>
          <w:tcPr>
            <w:tcW w:w="1689" w:type="dxa"/>
            <w:noWrap w:val="0"/>
            <w:vAlign w:val="center"/>
          </w:tcPr>
          <w:p w14:paraId="5FD1492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投标人名称</w:t>
            </w:r>
          </w:p>
        </w:tc>
        <w:tc>
          <w:tcPr>
            <w:tcW w:w="5658" w:type="dxa"/>
            <w:noWrap w:val="0"/>
            <w:vAlign w:val="center"/>
          </w:tcPr>
          <w:p w14:paraId="2BDF5F02">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与营业执照一致</w:t>
            </w:r>
          </w:p>
        </w:tc>
      </w:tr>
      <w:tr w14:paraId="48FAF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exact"/>
          <w:jc w:val="center"/>
        </w:trPr>
        <w:tc>
          <w:tcPr>
            <w:tcW w:w="824" w:type="dxa"/>
            <w:gridSpan w:val="2"/>
            <w:vMerge w:val="continue"/>
            <w:noWrap w:val="0"/>
            <w:vAlign w:val="center"/>
          </w:tcPr>
          <w:p w14:paraId="53F755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740C0EA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0D89FC3">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000000"/>
                <w:kern w:val="0"/>
                <w:sz w:val="24"/>
                <w:szCs w:val="21"/>
                <w:highlight w:val="none"/>
                <w:lang w:val="en-US" w:eastAsia="en-US" w:bidi="ar-SA"/>
              </w:rPr>
            </w:pPr>
            <w:r>
              <w:rPr>
                <w:rFonts w:hint="eastAsia" w:ascii="宋体" w:hAnsi="宋体" w:eastAsia="宋体" w:cs="宋体"/>
                <w:color w:val="auto"/>
                <w:kern w:val="0"/>
                <w:sz w:val="21"/>
                <w:szCs w:val="22"/>
                <w:highlight w:val="none"/>
                <w:lang w:val="en-US" w:eastAsia="zh-CN" w:bidi="ar-SA"/>
              </w:rPr>
              <w:t>投标文件</w:t>
            </w:r>
            <w:r>
              <w:rPr>
                <w:rFonts w:hint="eastAsia" w:ascii="宋体" w:hAnsi="宋体" w:eastAsia="宋体" w:cs="宋体"/>
                <w:color w:val="auto"/>
                <w:kern w:val="2"/>
                <w:sz w:val="21"/>
                <w:szCs w:val="21"/>
                <w:highlight w:val="none"/>
                <w:lang w:val="en-US" w:eastAsia="zh-CN" w:bidi="ar-SA"/>
              </w:rPr>
              <w:t>签字盖章要求</w:t>
            </w:r>
          </w:p>
        </w:tc>
        <w:tc>
          <w:tcPr>
            <w:tcW w:w="5658" w:type="dxa"/>
            <w:noWrap w:val="0"/>
            <w:vAlign w:val="center"/>
          </w:tcPr>
          <w:p w14:paraId="19DF1763">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000000"/>
                <w:kern w:val="0"/>
                <w:sz w:val="24"/>
                <w:szCs w:val="21"/>
                <w:highlight w:val="none"/>
                <w:lang w:val="en-US" w:eastAsia="zh-CN" w:bidi="ar-SA"/>
              </w:rPr>
            </w:pPr>
            <w:r>
              <w:rPr>
                <w:rFonts w:hint="eastAsia" w:ascii="宋体" w:hAnsi="宋体" w:eastAsia="宋体" w:cs="宋体"/>
                <w:color w:val="auto"/>
                <w:kern w:val="0"/>
                <w:sz w:val="21"/>
                <w:szCs w:val="22"/>
                <w:highlight w:val="none"/>
                <w:lang w:val="en-US" w:eastAsia="zh-CN" w:bidi="ar-SA"/>
              </w:rPr>
              <w:t>按招标文件格式要求</w:t>
            </w:r>
          </w:p>
        </w:tc>
      </w:tr>
      <w:tr w14:paraId="047C3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exact"/>
          <w:jc w:val="center"/>
        </w:trPr>
        <w:tc>
          <w:tcPr>
            <w:tcW w:w="824" w:type="dxa"/>
            <w:gridSpan w:val="2"/>
            <w:vMerge w:val="continue"/>
            <w:noWrap w:val="0"/>
            <w:vAlign w:val="center"/>
          </w:tcPr>
          <w:p w14:paraId="6583239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46F30620">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030E452">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000000"/>
                <w:kern w:val="0"/>
                <w:sz w:val="24"/>
                <w:szCs w:val="21"/>
                <w:highlight w:val="none"/>
                <w:lang w:val="en-US" w:eastAsia="en-US" w:bidi="ar-SA"/>
              </w:rPr>
            </w:pPr>
            <w:r>
              <w:rPr>
                <w:rFonts w:hint="eastAsia" w:ascii="宋体" w:hAnsi="宋体" w:eastAsia="宋体" w:cs="宋体"/>
                <w:color w:val="auto"/>
                <w:kern w:val="0"/>
                <w:sz w:val="21"/>
                <w:szCs w:val="22"/>
                <w:highlight w:val="none"/>
                <w:lang w:val="en-US" w:eastAsia="zh-CN" w:bidi="ar-SA"/>
              </w:rPr>
              <w:t>投标文件格式及签字盖章</w:t>
            </w:r>
          </w:p>
        </w:tc>
        <w:tc>
          <w:tcPr>
            <w:tcW w:w="5658" w:type="dxa"/>
            <w:noWrap w:val="0"/>
            <w:vAlign w:val="center"/>
          </w:tcPr>
          <w:p w14:paraId="74686700">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000000"/>
                <w:kern w:val="0"/>
                <w:sz w:val="24"/>
                <w:szCs w:val="21"/>
                <w:highlight w:val="none"/>
                <w:lang w:val="en-US" w:eastAsia="zh-CN" w:bidi="ar-SA"/>
              </w:rPr>
            </w:pPr>
            <w:r>
              <w:rPr>
                <w:rFonts w:hint="eastAsia" w:ascii="宋体" w:hAnsi="宋体" w:eastAsia="宋体" w:cs="宋体"/>
                <w:color w:val="auto"/>
                <w:kern w:val="0"/>
                <w:sz w:val="21"/>
                <w:szCs w:val="22"/>
                <w:highlight w:val="none"/>
                <w:lang w:val="en-US" w:eastAsia="zh-CN" w:bidi="ar-SA"/>
              </w:rPr>
              <w:t>符合第六章“投标文件格式”的要求</w:t>
            </w:r>
            <w:r>
              <w:rPr>
                <w:rFonts w:hint="eastAsia" w:ascii="宋体" w:hAnsi="宋体" w:eastAsia="宋体" w:cs="宋体"/>
                <w:color w:val="auto"/>
                <w:kern w:val="0"/>
                <w:sz w:val="21"/>
                <w:szCs w:val="21"/>
                <w:highlight w:val="none"/>
                <w:lang w:val="en-US" w:eastAsia="zh-CN" w:bidi="ar-SA"/>
              </w:rPr>
              <w:t>及招标文件有关要求</w:t>
            </w:r>
          </w:p>
        </w:tc>
      </w:tr>
      <w:tr w14:paraId="21FEA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exact"/>
          <w:jc w:val="center"/>
        </w:trPr>
        <w:tc>
          <w:tcPr>
            <w:tcW w:w="824" w:type="dxa"/>
            <w:gridSpan w:val="2"/>
            <w:vMerge w:val="continue"/>
            <w:noWrap w:val="0"/>
            <w:vAlign w:val="center"/>
          </w:tcPr>
          <w:p w14:paraId="30986F6E">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42C3B3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6728EA4">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120" w:leftChars="0" w:right="0" w:rightChars="0" w:hanging="120" w:firstLineChars="0"/>
              <w:jc w:val="center"/>
              <w:textAlignment w:val="auto"/>
              <w:rPr>
                <w:rFonts w:hint="eastAsia" w:ascii="宋体" w:hAnsi="宋体" w:eastAsia="宋体" w:cs="宋体"/>
                <w:color w:val="000000"/>
                <w:kern w:val="0"/>
                <w:sz w:val="24"/>
                <w:szCs w:val="21"/>
                <w:highlight w:val="none"/>
                <w:lang w:val="en-US" w:eastAsia="en-US" w:bidi="ar-SA"/>
              </w:rPr>
            </w:pPr>
            <w:r>
              <w:rPr>
                <w:rFonts w:hint="eastAsia" w:ascii="宋体" w:hAnsi="宋体" w:eastAsia="宋体" w:cs="宋体"/>
                <w:color w:val="auto"/>
                <w:kern w:val="0"/>
                <w:sz w:val="21"/>
                <w:szCs w:val="22"/>
                <w:highlight w:val="none"/>
                <w:lang w:val="en-US" w:eastAsia="zh-CN" w:bidi="ar-SA"/>
              </w:rPr>
              <w:t>报价唯一</w:t>
            </w:r>
          </w:p>
        </w:tc>
        <w:tc>
          <w:tcPr>
            <w:tcW w:w="5658" w:type="dxa"/>
            <w:noWrap w:val="0"/>
            <w:vAlign w:val="center"/>
          </w:tcPr>
          <w:p w14:paraId="3708FF19">
            <w:pPr>
              <w:keepNext w:val="0"/>
              <w:keepLines w:val="0"/>
              <w:pageBreakBefore w:val="0"/>
              <w:widowControl w:val="0"/>
              <w:suppressLineNumbers w:val="0"/>
              <w:kinsoku/>
              <w:wordWrap w:val="0"/>
              <w:overflowPunct/>
              <w:topLinePunct w:val="0"/>
              <w:autoSpaceDE w:val="0"/>
              <w:autoSpaceDN w:val="0"/>
              <w:bidi w:val="0"/>
              <w:adjustRightInd w:val="0"/>
              <w:snapToGri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000000"/>
                <w:kern w:val="0"/>
                <w:sz w:val="24"/>
                <w:szCs w:val="21"/>
                <w:highlight w:val="none"/>
                <w:lang w:val="en-US" w:eastAsia="zh-CN" w:bidi="ar-SA"/>
              </w:rPr>
            </w:pPr>
            <w:r>
              <w:rPr>
                <w:rFonts w:hint="eastAsia" w:ascii="宋体" w:hAnsi="宋体" w:eastAsia="宋体" w:cs="宋体"/>
                <w:color w:val="auto"/>
                <w:kern w:val="0"/>
                <w:sz w:val="21"/>
                <w:szCs w:val="22"/>
                <w:highlight w:val="none"/>
                <w:lang w:val="en-US" w:eastAsia="zh-CN" w:bidi="ar-SA"/>
              </w:rPr>
              <w:t>只能有一个有效报价</w:t>
            </w:r>
          </w:p>
        </w:tc>
      </w:tr>
      <w:tr w14:paraId="7E5FB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restart"/>
            <w:noWrap w:val="0"/>
            <w:vAlign w:val="center"/>
          </w:tcPr>
          <w:p w14:paraId="79631666">
            <w:pPr>
              <w:widowControl/>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2.1.2</w:t>
            </w:r>
          </w:p>
        </w:tc>
        <w:tc>
          <w:tcPr>
            <w:tcW w:w="1131" w:type="dxa"/>
            <w:vMerge w:val="restart"/>
            <w:noWrap w:val="0"/>
            <w:vAlign w:val="center"/>
          </w:tcPr>
          <w:p w14:paraId="5C59F791">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资格评审</w:t>
            </w:r>
          </w:p>
          <w:p w14:paraId="6028BCBE">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标准</w:t>
            </w:r>
          </w:p>
        </w:tc>
        <w:tc>
          <w:tcPr>
            <w:tcW w:w="1689" w:type="dxa"/>
            <w:tcBorders>
              <w:right w:val="single" w:color="auto" w:sz="4" w:space="0"/>
            </w:tcBorders>
            <w:noWrap w:val="0"/>
            <w:vAlign w:val="center"/>
          </w:tcPr>
          <w:p w14:paraId="7131EB68">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营业执照</w:t>
            </w:r>
          </w:p>
        </w:tc>
        <w:tc>
          <w:tcPr>
            <w:tcW w:w="5658" w:type="dxa"/>
            <w:tcBorders>
              <w:left w:val="single" w:color="auto" w:sz="4" w:space="0"/>
            </w:tcBorders>
            <w:noWrap w:val="0"/>
            <w:vAlign w:val="center"/>
          </w:tcPr>
          <w:p w14:paraId="6F14AC59">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具备有效的营业执照</w:t>
            </w:r>
          </w:p>
        </w:tc>
      </w:tr>
      <w:tr w14:paraId="0297D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50DE934E">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04655CF6">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1279B409">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财务要求</w:t>
            </w:r>
          </w:p>
        </w:tc>
        <w:tc>
          <w:tcPr>
            <w:tcW w:w="5658" w:type="dxa"/>
            <w:tcBorders>
              <w:left w:val="single" w:color="auto" w:sz="4" w:space="0"/>
            </w:tcBorders>
            <w:noWrap w:val="0"/>
            <w:vAlign w:val="center"/>
          </w:tcPr>
          <w:p w14:paraId="3BEA5924">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65007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exact"/>
          <w:jc w:val="center"/>
        </w:trPr>
        <w:tc>
          <w:tcPr>
            <w:tcW w:w="824" w:type="dxa"/>
            <w:gridSpan w:val="2"/>
            <w:vMerge w:val="continue"/>
            <w:noWrap w:val="0"/>
            <w:vAlign w:val="center"/>
          </w:tcPr>
          <w:p w14:paraId="68099F38">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3C9DA520">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22242434">
            <w:pPr>
              <w:widowControl/>
              <w:adjustRightInd w:val="0"/>
              <w:snapToGrid w:val="0"/>
              <w:spacing w:beforeLines="0" w:afterLines="0" w:line="360"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项目负责人</w:t>
            </w:r>
          </w:p>
        </w:tc>
        <w:tc>
          <w:tcPr>
            <w:tcW w:w="5658" w:type="dxa"/>
            <w:tcBorders>
              <w:left w:val="single" w:color="auto" w:sz="4" w:space="0"/>
            </w:tcBorders>
            <w:noWrap w:val="0"/>
            <w:vAlign w:val="center"/>
          </w:tcPr>
          <w:p w14:paraId="2AEF784A">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37AA8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288B7FDE">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039BBD70">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2AE1A7B1">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信誉要求</w:t>
            </w:r>
          </w:p>
        </w:tc>
        <w:tc>
          <w:tcPr>
            <w:tcW w:w="5658" w:type="dxa"/>
            <w:tcBorders>
              <w:left w:val="single" w:color="auto" w:sz="4" w:space="0"/>
            </w:tcBorders>
            <w:noWrap w:val="0"/>
            <w:vAlign w:val="center"/>
          </w:tcPr>
          <w:p w14:paraId="0637F661">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038B4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jc w:val="center"/>
        </w:trPr>
        <w:tc>
          <w:tcPr>
            <w:tcW w:w="824" w:type="dxa"/>
            <w:gridSpan w:val="2"/>
            <w:vMerge w:val="continue"/>
            <w:noWrap w:val="0"/>
            <w:vAlign w:val="center"/>
          </w:tcPr>
          <w:p w14:paraId="3119C6D7">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7C3D503E">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0F7A4FD2">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其他要求</w:t>
            </w:r>
          </w:p>
        </w:tc>
        <w:tc>
          <w:tcPr>
            <w:tcW w:w="5658" w:type="dxa"/>
            <w:tcBorders>
              <w:left w:val="single" w:color="auto" w:sz="4" w:space="0"/>
            </w:tcBorders>
            <w:noWrap w:val="0"/>
            <w:vAlign w:val="center"/>
          </w:tcPr>
          <w:p w14:paraId="7B35A88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192F0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7" w:hRule="exact"/>
          <w:jc w:val="center"/>
        </w:trPr>
        <w:tc>
          <w:tcPr>
            <w:tcW w:w="824" w:type="dxa"/>
            <w:gridSpan w:val="2"/>
            <w:vMerge w:val="continue"/>
            <w:noWrap w:val="0"/>
            <w:vAlign w:val="center"/>
          </w:tcPr>
          <w:p w14:paraId="55F3B324">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F5FB1BC">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7347" w:type="dxa"/>
            <w:gridSpan w:val="2"/>
            <w:noWrap w:val="0"/>
            <w:vAlign w:val="center"/>
          </w:tcPr>
          <w:p w14:paraId="7FA6B5F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kern w:val="2"/>
                <w:sz w:val="21"/>
                <w:szCs w:val="22"/>
                <w:highlight w:val="none"/>
              </w:rPr>
            </w:pPr>
            <w:r>
              <w:rPr>
                <w:rFonts w:hint="eastAsia" w:ascii="宋体" w:hAnsi="宋体" w:eastAsia="宋体" w:cs="宋体"/>
                <w:color w:val="auto"/>
                <w:kern w:val="2"/>
                <w:sz w:val="21"/>
                <w:szCs w:val="22"/>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w:t>
            </w:r>
          </w:p>
          <w:p w14:paraId="3A32C7DD">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color w:val="auto"/>
                <w:kern w:val="2"/>
                <w:sz w:val="21"/>
                <w:szCs w:val="22"/>
                <w:highlight w:val="none"/>
              </w:rPr>
              <w:t>2、各投标企业应如实填报诚信库信息，因交易主体自行填报信息的错误、缺项、虚假而造成的后果由交易主体自行承担。</w:t>
            </w:r>
          </w:p>
        </w:tc>
      </w:tr>
      <w:tr w14:paraId="59B01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824" w:type="dxa"/>
            <w:gridSpan w:val="2"/>
            <w:vMerge w:val="restart"/>
            <w:noWrap w:val="0"/>
            <w:vAlign w:val="center"/>
          </w:tcPr>
          <w:p w14:paraId="41F579B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2.1.3</w:t>
            </w:r>
          </w:p>
        </w:tc>
        <w:tc>
          <w:tcPr>
            <w:tcW w:w="1131" w:type="dxa"/>
            <w:vMerge w:val="restart"/>
            <w:noWrap w:val="0"/>
            <w:vAlign w:val="center"/>
          </w:tcPr>
          <w:p w14:paraId="60B9F180">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响应性评审标准</w:t>
            </w:r>
          </w:p>
        </w:tc>
        <w:tc>
          <w:tcPr>
            <w:tcW w:w="1689" w:type="dxa"/>
            <w:tcBorders>
              <w:right w:val="single" w:color="auto" w:sz="4" w:space="0"/>
            </w:tcBorders>
            <w:noWrap w:val="0"/>
            <w:vAlign w:val="center"/>
          </w:tcPr>
          <w:p w14:paraId="1993736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kern w:val="0"/>
                <w:szCs w:val="21"/>
                <w:highlight w:val="none"/>
                <w:lang w:eastAsia="en-US"/>
              </w:rPr>
              <w:t>报价</w:t>
            </w:r>
          </w:p>
        </w:tc>
        <w:tc>
          <w:tcPr>
            <w:tcW w:w="5658" w:type="dxa"/>
            <w:tcBorders>
              <w:left w:val="single" w:color="auto" w:sz="4" w:space="0"/>
            </w:tcBorders>
            <w:noWrap w:val="0"/>
            <w:vAlign w:val="center"/>
          </w:tcPr>
          <w:p w14:paraId="16271122">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spacing w:val="0"/>
                <w:kern w:val="0"/>
                <w:sz w:val="21"/>
                <w:szCs w:val="18"/>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第</w:t>
            </w:r>
            <w:r>
              <w:rPr>
                <w:rFonts w:hint="eastAsia" w:ascii="宋体" w:hAnsi="宋体" w:eastAsia="宋体" w:cs="宋体"/>
                <w:spacing w:val="0"/>
                <w:kern w:val="0"/>
                <w:sz w:val="21"/>
                <w:szCs w:val="18"/>
                <w:highlight w:val="none"/>
                <w:lang w:val="en-US" w:eastAsia="zh-CN"/>
              </w:rPr>
              <w:t xml:space="preserve"> </w:t>
            </w:r>
            <w:r>
              <w:rPr>
                <w:rFonts w:hint="eastAsia" w:ascii="宋体" w:hAnsi="宋体" w:eastAsia="宋体" w:cs="宋体"/>
                <w:spacing w:val="0"/>
                <w:kern w:val="0"/>
                <w:sz w:val="21"/>
                <w:szCs w:val="18"/>
                <w:highlight w:val="none"/>
              </w:rPr>
              <w:t>3.2</w:t>
            </w:r>
            <w:r>
              <w:rPr>
                <w:rFonts w:hint="eastAsia" w:ascii="宋体" w:hAnsi="宋体" w:eastAsia="宋体" w:cs="宋体"/>
                <w:spacing w:val="0"/>
                <w:kern w:val="0"/>
                <w:sz w:val="21"/>
                <w:szCs w:val="18"/>
                <w:highlight w:val="none"/>
                <w:lang w:val="en-US" w:eastAsia="zh-CN"/>
              </w:rPr>
              <w:t xml:space="preserve">.4 </w:t>
            </w:r>
            <w:r>
              <w:rPr>
                <w:rFonts w:hint="eastAsia" w:ascii="宋体" w:hAnsi="宋体" w:eastAsia="宋体" w:cs="宋体"/>
                <w:spacing w:val="0"/>
                <w:kern w:val="0"/>
                <w:sz w:val="21"/>
                <w:szCs w:val="18"/>
                <w:highlight w:val="none"/>
              </w:rPr>
              <w:t>款规定</w:t>
            </w:r>
          </w:p>
        </w:tc>
      </w:tr>
      <w:tr w14:paraId="068DA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824" w:type="dxa"/>
            <w:gridSpan w:val="2"/>
            <w:vMerge w:val="continue"/>
            <w:noWrap w:val="0"/>
            <w:vAlign w:val="top"/>
          </w:tcPr>
          <w:p w14:paraId="5792DC6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9CEBA2A">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31AD26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投标内容</w:t>
            </w:r>
          </w:p>
        </w:tc>
        <w:tc>
          <w:tcPr>
            <w:tcW w:w="5658" w:type="dxa"/>
            <w:noWrap w:val="0"/>
            <w:vAlign w:val="center"/>
          </w:tcPr>
          <w:p w14:paraId="7F2DFC0A">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w:t>
            </w:r>
            <w:r>
              <w:rPr>
                <w:rFonts w:hint="eastAsia" w:ascii="宋体" w:hAnsi="宋体" w:eastAsia="宋体" w:cs="宋体"/>
                <w:spacing w:val="0"/>
                <w:kern w:val="0"/>
                <w:sz w:val="21"/>
                <w:szCs w:val="21"/>
                <w:highlight w:val="none"/>
                <w:lang w:val="en-US" w:eastAsia="zh-CN"/>
              </w:rPr>
              <w:t xml:space="preserve"> </w:t>
            </w:r>
            <w:r>
              <w:rPr>
                <w:rFonts w:hint="eastAsia" w:ascii="宋体" w:hAnsi="宋体" w:eastAsia="宋体" w:cs="宋体"/>
                <w:spacing w:val="0"/>
                <w:kern w:val="0"/>
                <w:sz w:val="21"/>
                <w:szCs w:val="21"/>
                <w:highlight w:val="none"/>
              </w:rPr>
              <w:t>1.3.1</w:t>
            </w:r>
            <w:r>
              <w:rPr>
                <w:rFonts w:hint="eastAsia" w:ascii="宋体" w:hAnsi="宋体" w:eastAsia="宋体" w:cs="宋体"/>
                <w:spacing w:val="0"/>
                <w:kern w:val="0"/>
                <w:sz w:val="21"/>
                <w:szCs w:val="21"/>
                <w:highlight w:val="none"/>
                <w:lang w:val="en-US" w:eastAsia="zh-CN"/>
              </w:rPr>
              <w:t xml:space="preserve"> </w:t>
            </w:r>
            <w:r>
              <w:rPr>
                <w:rFonts w:hint="eastAsia" w:ascii="宋体" w:hAnsi="宋体" w:eastAsia="宋体" w:cs="宋体"/>
                <w:spacing w:val="0"/>
                <w:kern w:val="0"/>
                <w:sz w:val="21"/>
                <w:szCs w:val="21"/>
                <w:highlight w:val="none"/>
              </w:rPr>
              <w:t>项规定</w:t>
            </w:r>
          </w:p>
        </w:tc>
      </w:tr>
      <w:tr w14:paraId="71CC3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24" w:type="dxa"/>
            <w:gridSpan w:val="2"/>
            <w:vMerge w:val="continue"/>
            <w:noWrap w:val="0"/>
            <w:vAlign w:val="top"/>
          </w:tcPr>
          <w:p w14:paraId="185CCF7E">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6DAF6B5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089AD9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供货期（服务期）</w:t>
            </w:r>
          </w:p>
        </w:tc>
        <w:tc>
          <w:tcPr>
            <w:tcW w:w="5658" w:type="dxa"/>
            <w:noWrap w:val="0"/>
            <w:vAlign w:val="center"/>
          </w:tcPr>
          <w:p w14:paraId="05D132E0">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1.3.2 项规定</w:t>
            </w:r>
          </w:p>
        </w:tc>
      </w:tr>
      <w:tr w14:paraId="14105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824" w:type="dxa"/>
            <w:gridSpan w:val="2"/>
            <w:vMerge w:val="continue"/>
            <w:noWrap w:val="0"/>
            <w:vAlign w:val="top"/>
          </w:tcPr>
          <w:p w14:paraId="4D13204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555CE433">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2CCDF88">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交货地点</w:t>
            </w:r>
          </w:p>
        </w:tc>
        <w:tc>
          <w:tcPr>
            <w:tcW w:w="5658" w:type="dxa"/>
            <w:noWrap w:val="0"/>
            <w:vAlign w:val="center"/>
          </w:tcPr>
          <w:p w14:paraId="37AB04AF">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1.3.3 项规定</w:t>
            </w:r>
          </w:p>
        </w:tc>
      </w:tr>
      <w:tr w14:paraId="5B331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37C601F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4B8A22D3">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06E6B0B6">
            <w:pPr>
              <w:widowControl w:val="0"/>
              <w:adjustRightInd w:val="0"/>
              <w:snapToGrid w:val="0"/>
              <w:spacing w:beforeLines="0" w:afterLines="0" w:line="360" w:lineRule="auto"/>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质量要求</w:t>
            </w:r>
          </w:p>
        </w:tc>
        <w:tc>
          <w:tcPr>
            <w:tcW w:w="5658" w:type="dxa"/>
            <w:noWrap w:val="0"/>
            <w:vAlign w:val="center"/>
          </w:tcPr>
          <w:p w14:paraId="05D8BF49">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1.3.4 项规定</w:t>
            </w:r>
          </w:p>
        </w:tc>
      </w:tr>
      <w:tr w14:paraId="7C11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24" w:type="dxa"/>
            <w:gridSpan w:val="2"/>
            <w:vMerge w:val="continue"/>
            <w:noWrap w:val="0"/>
            <w:vAlign w:val="top"/>
          </w:tcPr>
          <w:p w14:paraId="0509B92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4E49975B">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43F91BA">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投标有效期</w:t>
            </w:r>
          </w:p>
        </w:tc>
        <w:tc>
          <w:tcPr>
            <w:tcW w:w="5658" w:type="dxa"/>
            <w:noWrap w:val="0"/>
            <w:vAlign w:val="center"/>
          </w:tcPr>
          <w:p w14:paraId="28AD00D4">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3.3.1 项规定</w:t>
            </w:r>
          </w:p>
        </w:tc>
      </w:tr>
      <w:tr w14:paraId="16CEA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1A43570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5322C4E">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F5C4F6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投标保证金</w:t>
            </w:r>
          </w:p>
        </w:tc>
        <w:tc>
          <w:tcPr>
            <w:tcW w:w="5658" w:type="dxa"/>
            <w:noWrap w:val="0"/>
            <w:vAlign w:val="center"/>
          </w:tcPr>
          <w:p w14:paraId="7D4F5EE1">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3.4.1 项规定</w:t>
            </w:r>
          </w:p>
        </w:tc>
      </w:tr>
      <w:tr w14:paraId="7C225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24" w:type="dxa"/>
            <w:gridSpan w:val="2"/>
            <w:vMerge w:val="continue"/>
            <w:noWrap w:val="0"/>
            <w:vAlign w:val="top"/>
          </w:tcPr>
          <w:p w14:paraId="3066AF3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7D95A0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5C5895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权利义务</w:t>
            </w:r>
          </w:p>
        </w:tc>
        <w:tc>
          <w:tcPr>
            <w:tcW w:w="5658" w:type="dxa"/>
            <w:noWrap w:val="0"/>
            <w:vAlign w:val="center"/>
          </w:tcPr>
          <w:p w14:paraId="4947520B">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符合第四章“合同条款及格式”中的实质性要求和条件</w:t>
            </w:r>
          </w:p>
        </w:tc>
      </w:tr>
      <w:tr w14:paraId="311AF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24" w:type="dxa"/>
            <w:gridSpan w:val="2"/>
            <w:vMerge w:val="continue"/>
            <w:noWrap w:val="0"/>
            <w:vAlign w:val="top"/>
          </w:tcPr>
          <w:p w14:paraId="0E19B456">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27B50FB">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E9022CA">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其他响应性要求</w:t>
            </w:r>
          </w:p>
        </w:tc>
        <w:tc>
          <w:tcPr>
            <w:tcW w:w="5658" w:type="dxa"/>
            <w:noWrap w:val="0"/>
            <w:vAlign w:val="center"/>
          </w:tcPr>
          <w:p w14:paraId="564922D7">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符合招标文件规定</w:t>
            </w:r>
          </w:p>
        </w:tc>
      </w:tr>
      <w:tr w14:paraId="42562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exact"/>
          <w:jc w:val="center"/>
        </w:trPr>
        <w:tc>
          <w:tcPr>
            <w:tcW w:w="1955" w:type="dxa"/>
            <w:gridSpan w:val="3"/>
            <w:noWrap w:val="0"/>
            <w:vAlign w:val="center"/>
          </w:tcPr>
          <w:p w14:paraId="0C16FEF7">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636DDCA3">
            <w:pPr>
              <w:widowControl w:val="0"/>
              <w:adjustRightInd w:val="0"/>
              <w:snapToGrid w:val="0"/>
              <w:spacing w:beforeLines="0" w:afterLines="0" w:line="24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条款内容</w:t>
            </w:r>
          </w:p>
        </w:tc>
        <w:tc>
          <w:tcPr>
            <w:tcW w:w="5658" w:type="dxa"/>
            <w:noWrap w:val="0"/>
            <w:vAlign w:val="center"/>
          </w:tcPr>
          <w:p w14:paraId="2A4E0007">
            <w:pPr>
              <w:widowControl w:val="0"/>
              <w:adjustRightInd w:val="0"/>
              <w:snapToGrid w:val="0"/>
              <w:spacing w:beforeLines="0" w:afterLines="0" w:line="24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编列内容</w:t>
            </w:r>
          </w:p>
        </w:tc>
      </w:tr>
      <w:tr w14:paraId="20CC6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5" w:hRule="exact"/>
          <w:jc w:val="center"/>
        </w:trPr>
        <w:tc>
          <w:tcPr>
            <w:tcW w:w="1955" w:type="dxa"/>
            <w:gridSpan w:val="3"/>
            <w:noWrap w:val="0"/>
            <w:vAlign w:val="top"/>
          </w:tcPr>
          <w:p w14:paraId="070E6CEB">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p>
          <w:p w14:paraId="3238BDFE">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p>
          <w:p w14:paraId="103908E8">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2.2.1</w:t>
            </w:r>
          </w:p>
        </w:tc>
        <w:tc>
          <w:tcPr>
            <w:tcW w:w="1689" w:type="dxa"/>
            <w:noWrap w:val="0"/>
            <w:vAlign w:val="center"/>
          </w:tcPr>
          <w:p w14:paraId="09A81D9D">
            <w:pPr>
              <w:widowControl w:val="0"/>
              <w:adjustRightInd w:val="0"/>
              <w:snapToGrid w:val="0"/>
              <w:spacing w:beforeLines="0" w:afterLines="0" w:line="360" w:lineRule="auto"/>
              <w:jc w:val="center"/>
              <w:rPr>
                <w:rFonts w:hint="eastAsia" w:ascii="宋体" w:hAnsi="宋体" w:eastAsia="宋体" w:cs="宋体"/>
                <w:b/>
                <w:kern w:val="0"/>
                <w:szCs w:val="21"/>
                <w:highlight w:val="none"/>
              </w:rPr>
            </w:pPr>
          </w:p>
          <w:p w14:paraId="7DA957A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分值构成</w:t>
            </w:r>
          </w:p>
          <w:p w14:paraId="3053435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(总分</w:t>
            </w:r>
            <w:r>
              <w:rPr>
                <w:rFonts w:hint="eastAsia" w:ascii="宋体" w:hAnsi="宋体" w:eastAsia="宋体" w:cs="宋体"/>
                <w:spacing w:val="-51"/>
                <w:kern w:val="0"/>
                <w:szCs w:val="21"/>
                <w:highlight w:val="none"/>
                <w:lang w:eastAsia="en-US"/>
              </w:rPr>
              <w:t xml:space="preserve"> </w:t>
            </w:r>
            <w:r>
              <w:rPr>
                <w:rFonts w:hint="eastAsia" w:ascii="宋体" w:hAnsi="宋体" w:eastAsia="宋体" w:cs="宋体"/>
                <w:kern w:val="0"/>
                <w:szCs w:val="21"/>
                <w:highlight w:val="none"/>
                <w:lang w:eastAsia="en-US"/>
              </w:rPr>
              <w:t>100 分)</w:t>
            </w:r>
          </w:p>
        </w:tc>
        <w:tc>
          <w:tcPr>
            <w:tcW w:w="5658" w:type="dxa"/>
            <w:noWrap w:val="0"/>
            <w:vAlign w:val="center"/>
          </w:tcPr>
          <w:p w14:paraId="4A4B2C95">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经济标（投标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kern w:val="0"/>
                <w:szCs w:val="21"/>
                <w:highlight w:val="none"/>
              </w:rPr>
              <w:t>报价）：</w:t>
            </w:r>
            <w:r>
              <w:rPr>
                <w:rFonts w:hint="eastAsia" w:ascii="宋体" w:hAnsi="宋体" w:eastAsia="宋体" w:cs="宋体"/>
                <w:kern w:val="0"/>
                <w:szCs w:val="21"/>
                <w:highlight w:val="none"/>
                <w:lang w:val="en-US" w:eastAsia="zh-CN"/>
              </w:rPr>
              <w:t>40</w:t>
            </w:r>
            <w:r>
              <w:rPr>
                <w:rFonts w:hint="eastAsia" w:ascii="宋体" w:hAnsi="宋体" w:eastAsia="宋体" w:cs="宋体"/>
                <w:kern w:val="0"/>
                <w:szCs w:val="21"/>
                <w:highlight w:val="none"/>
              </w:rPr>
              <w:t>分</w:t>
            </w:r>
          </w:p>
          <w:p w14:paraId="6C43AE54">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技术标（技术部分）：4</w:t>
            </w:r>
            <w:r>
              <w:rPr>
                <w:rFonts w:hint="eastAsia" w:ascii="宋体" w:hAnsi="宋体" w:eastAsia="宋体" w:cs="宋体"/>
                <w:kern w:val="0"/>
                <w:szCs w:val="21"/>
                <w:highlight w:val="none"/>
                <w:lang w:val="en-US" w:eastAsia="zh-CN"/>
              </w:rPr>
              <w:t>0</w:t>
            </w:r>
            <w:r>
              <w:rPr>
                <w:rFonts w:hint="eastAsia" w:ascii="宋体" w:hAnsi="宋体" w:eastAsia="宋体" w:cs="宋体"/>
                <w:kern w:val="0"/>
                <w:szCs w:val="21"/>
                <w:highlight w:val="none"/>
              </w:rPr>
              <w:t>分</w:t>
            </w:r>
          </w:p>
          <w:p w14:paraId="3D17E95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综合标（商务部分）：20分</w:t>
            </w:r>
          </w:p>
          <w:p w14:paraId="3F969593">
            <w:pPr>
              <w:widowControl w:val="0"/>
              <w:tabs>
                <w:tab w:val="left" w:pos="2309"/>
              </w:tabs>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其他评分因素：0分</w:t>
            </w:r>
          </w:p>
        </w:tc>
      </w:tr>
      <w:tr w14:paraId="7351C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955" w:type="dxa"/>
            <w:gridSpan w:val="3"/>
            <w:noWrap w:val="0"/>
            <w:vAlign w:val="center"/>
          </w:tcPr>
          <w:p w14:paraId="3CA932F0">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2.2.2</w:t>
            </w:r>
          </w:p>
        </w:tc>
        <w:tc>
          <w:tcPr>
            <w:tcW w:w="1689" w:type="dxa"/>
            <w:noWrap w:val="0"/>
            <w:vAlign w:val="center"/>
          </w:tcPr>
          <w:p w14:paraId="2009079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评标基准价计算方法</w:t>
            </w:r>
          </w:p>
        </w:tc>
        <w:tc>
          <w:tcPr>
            <w:tcW w:w="5658" w:type="dxa"/>
            <w:noWrap w:val="0"/>
            <w:vAlign w:val="center"/>
          </w:tcPr>
          <w:p w14:paraId="65E05C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评标基准价计算方法：C=50%×A+50%×B；</w:t>
            </w:r>
          </w:p>
          <w:p w14:paraId="7765C8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Calibri" w:hAnsi="Calibri" w:eastAsia="宋体" w:cs="宋体"/>
                <w:color w:val="auto"/>
                <w:spacing w:val="0"/>
                <w:kern w:val="2"/>
                <w:position w:val="0"/>
                <w:sz w:val="21"/>
                <w:szCs w:val="21"/>
                <w:highlight w:val="none"/>
                <w:lang w:val="en-US" w:eastAsia="zh-CN" w:bidi="ar-SA"/>
              </w:rPr>
              <w:t>①</w:t>
            </w:r>
            <w:r>
              <w:rPr>
                <w:rFonts w:hint="eastAsia" w:ascii="宋体" w:hAnsi="宋体" w:eastAsia="宋体" w:cs="宋体"/>
                <w:color w:val="auto"/>
                <w:spacing w:val="0"/>
                <w:kern w:val="2"/>
                <w:position w:val="0"/>
                <w:sz w:val="21"/>
                <w:szCs w:val="21"/>
                <w:highlight w:val="none"/>
                <w:lang w:val="en-US" w:eastAsia="zh-CN" w:bidi="ar-SA"/>
              </w:rPr>
              <w:t>A=最高投标限价；B=有效投标报价的算术平均值；C=评标基准价。</w:t>
            </w:r>
          </w:p>
          <w:p w14:paraId="770255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Calibri" w:hAnsi="Calibri" w:eastAsia="宋体" w:cs="宋体"/>
                <w:color w:val="auto"/>
                <w:spacing w:val="0"/>
                <w:kern w:val="2"/>
                <w:position w:val="0"/>
                <w:sz w:val="21"/>
                <w:szCs w:val="21"/>
                <w:highlight w:val="none"/>
                <w:lang w:val="en-US" w:eastAsia="zh-CN" w:bidi="ar-SA"/>
              </w:rPr>
              <w:t>②</w:t>
            </w:r>
            <w:r>
              <w:rPr>
                <w:rFonts w:hint="eastAsia" w:ascii="宋体" w:hAnsi="宋体" w:eastAsia="宋体" w:cs="宋体"/>
                <w:color w:val="auto"/>
                <w:spacing w:val="0"/>
                <w:kern w:val="2"/>
                <w:position w:val="0"/>
                <w:sz w:val="21"/>
                <w:szCs w:val="21"/>
                <w:highlight w:val="none"/>
                <w:lang w:val="en-US" w:eastAsia="zh-CN" w:bidi="ar-SA"/>
              </w:rPr>
              <w:t>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2A8C75E0">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Calibri" w:hAnsi="Calibri" w:eastAsia="宋体" w:cs="宋体"/>
                <w:color w:val="auto"/>
                <w:spacing w:val="0"/>
                <w:position w:val="0"/>
                <w:sz w:val="21"/>
                <w:szCs w:val="21"/>
                <w:highlight w:val="none"/>
                <w:lang w:eastAsia="zh-CN"/>
              </w:rPr>
              <w:t>③</w:t>
            </w:r>
            <w:r>
              <w:rPr>
                <w:rFonts w:hint="eastAsia" w:ascii="宋体" w:hAnsi="宋体" w:eastAsia="宋体" w:cs="宋体"/>
                <w:color w:val="auto"/>
                <w:spacing w:val="0"/>
                <w:position w:val="0"/>
                <w:sz w:val="21"/>
                <w:szCs w:val="21"/>
                <w:highlight w:val="none"/>
              </w:rPr>
              <w:t>当所有投标人的投标报价均不在最高投标限价</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%（含</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%）-100%（含100%）之间时，评标基准价C=最高投标限价×9</w:t>
            </w:r>
            <w:r>
              <w:rPr>
                <w:rFonts w:hint="eastAsia" w:ascii="宋体" w:hAnsi="宋体" w:eastAsia="宋体" w:cs="宋体"/>
                <w:color w:val="auto"/>
                <w:spacing w:val="0"/>
                <w:position w:val="0"/>
                <w:sz w:val="21"/>
                <w:szCs w:val="21"/>
                <w:highlight w:val="none"/>
                <w:lang w:val="en-US" w:eastAsia="zh-CN"/>
              </w:rPr>
              <w:t>5</w:t>
            </w:r>
            <w:r>
              <w:rPr>
                <w:rFonts w:hint="eastAsia" w:ascii="宋体" w:hAnsi="宋体" w:eastAsia="宋体" w:cs="宋体"/>
                <w:color w:val="auto"/>
                <w:spacing w:val="0"/>
                <w:position w:val="0"/>
                <w:sz w:val="21"/>
                <w:szCs w:val="21"/>
                <w:highlight w:val="none"/>
              </w:rPr>
              <w:t>%。</w:t>
            </w:r>
          </w:p>
        </w:tc>
      </w:tr>
      <w:tr w14:paraId="1C776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exact"/>
          <w:jc w:val="center"/>
        </w:trPr>
        <w:tc>
          <w:tcPr>
            <w:tcW w:w="1955" w:type="dxa"/>
            <w:gridSpan w:val="3"/>
            <w:noWrap w:val="0"/>
            <w:vAlign w:val="center"/>
          </w:tcPr>
          <w:p w14:paraId="00C5435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2.2.3</w:t>
            </w:r>
          </w:p>
        </w:tc>
        <w:tc>
          <w:tcPr>
            <w:tcW w:w="1689" w:type="dxa"/>
            <w:noWrap w:val="0"/>
            <w:vAlign w:val="center"/>
          </w:tcPr>
          <w:p w14:paraId="15022296">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投标报价的偏差率计算公式</w:t>
            </w:r>
          </w:p>
        </w:tc>
        <w:tc>
          <w:tcPr>
            <w:tcW w:w="5658" w:type="dxa"/>
            <w:noWrap w:val="0"/>
            <w:vAlign w:val="center"/>
          </w:tcPr>
          <w:p w14:paraId="66F3FDE1">
            <w:pPr>
              <w:widowControl/>
              <w:adjustRightInd w:val="0"/>
              <w:snapToGrid w:val="0"/>
              <w:spacing w:beforeLines="0" w:afterLines="0" w:line="360" w:lineRule="auto"/>
              <w:ind w:left="0" w:leftChars="0"/>
              <w:jc w:val="both"/>
              <w:rPr>
                <w:rFonts w:hint="eastAsia" w:ascii="宋体" w:hAnsi="宋体" w:eastAsia="宋体" w:cs="宋体"/>
                <w:spacing w:val="-6"/>
                <w:szCs w:val="21"/>
                <w:highlight w:val="none"/>
              </w:rPr>
            </w:pPr>
            <w:r>
              <w:rPr>
                <w:rFonts w:hint="eastAsia" w:ascii="宋体" w:hAnsi="宋体" w:eastAsia="宋体" w:cs="宋体"/>
                <w:spacing w:val="-6"/>
                <w:szCs w:val="21"/>
                <w:highlight w:val="none"/>
              </w:rPr>
              <w:t>偏差率=100%×（投标人报价-评标基准价）/评标基准价</w:t>
            </w:r>
          </w:p>
        </w:tc>
      </w:tr>
      <w:tr w14:paraId="5F49B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exact"/>
          <w:jc w:val="center"/>
        </w:trPr>
        <w:tc>
          <w:tcPr>
            <w:tcW w:w="1955" w:type="dxa"/>
            <w:gridSpan w:val="3"/>
            <w:noWrap w:val="0"/>
            <w:vAlign w:val="center"/>
          </w:tcPr>
          <w:p w14:paraId="172E3A5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0C039C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评分因素</w:t>
            </w:r>
          </w:p>
        </w:tc>
        <w:tc>
          <w:tcPr>
            <w:tcW w:w="5658" w:type="dxa"/>
            <w:noWrap w:val="0"/>
            <w:vAlign w:val="center"/>
          </w:tcPr>
          <w:p w14:paraId="71AED291">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评分标准</w:t>
            </w:r>
          </w:p>
        </w:tc>
      </w:tr>
      <w:tr w14:paraId="30006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4" w:hRule="exact"/>
          <w:jc w:val="center"/>
        </w:trPr>
        <w:tc>
          <w:tcPr>
            <w:tcW w:w="728" w:type="dxa"/>
            <w:tcBorders>
              <w:right w:val="single" w:color="auto" w:sz="4" w:space="0"/>
            </w:tcBorders>
            <w:noWrap w:val="0"/>
            <w:vAlign w:val="center"/>
          </w:tcPr>
          <w:p w14:paraId="7E30624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167CF938">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eastAsia="en-US"/>
              </w:rPr>
              <w:t>）</w:t>
            </w:r>
          </w:p>
        </w:tc>
        <w:tc>
          <w:tcPr>
            <w:tcW w:w="1227" w:type="dxa"/>
            <w:gridSpan w:val="2"/>
            <w:tcBorders>
              <w:left w:val="single" w:color="auto" w:sz="4" w:space="0"/>
            </w:tcBorders>
            <w:noWrap w:val="0"/>
            <w:vAlign w:val="center"/>
          </w:tcPr>
          <w:p w14:paraId="6DC554A3">
            <w:pPr>
              <w:widowControl w:val="0"/>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经济标（投标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报价）评分标准（</w:t>
            </w:r>
            <w:r>
              <w:rPr>
                <w:rFonts w:hint="eastAsia" w:ascii="宋体" w:hAnsi="宋体" w:eastAsia="宋体" w:cs="宋体"/>
                <w:szCs w:val="21"/>
                <w:highlight w:val="none"/>
                <w:lang w:val="en-US" w:eastAsia="zh-CN"/>
              </w:rPr>
              <w:t>40</w:t>
            </w:r>
            <w:r>
              <w:rPr>
                <w:rFonts w:hint="eastAsia" w:ascii="宋体" w:hAnsi="宋体" w:eastAsia="宋体" w:cs="宋体"/>
                <w:szCs w:val="21"/>
                <w:highlight w:val="none"/>
              </w:rPr>
              <w:t>分）</w:t>
            </w:r>
          </w:p>
        </w:tc>
        <w:tc>
          <w:tcPr>
            <w:tcW w:w="1689" w:type="dxa"/>
            <w:noWrap w:val="0"/>
            <w:vAlign w:val="center"/>
          </w:tcPr>
          <w:p w14:paraId="327E59EC">
            <w:pPr>
              <w:widowControl/>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w:t>
            </w:r>
          </w:p>
        </w:tc>
        <w:tc>
          <w:tcPr>
            <w:tcW w:w="5658" w:type="dxa"/>
            <w:noWrap w:val="0"/>
            <w:vAlign w:val="center"/>
          </w:tcPr>
          <w:p w14:paraId="5C6C29AB">
            <w:pPr>
              <w:widowControl w:val="0"/>
              <w:spacing w:line="280" w:lineRule="exact"/>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1.当投标报价＞C，每高于评标基准价1%在基本分（30分）基础上扣1分，扣完为止。（不足1%的按相应比例进行折算）</w:t>
            </w:r>
          </w:p>
          <w:p w14:paraId="58C4E9DE">
            <w:pPr>
              <w:widowControl w:val="0"/>
              <w:spacing w:line="280" w:lineRule="exact"/>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2.当投标报价=C，得基本分30分。</w:t>
            </w:r>
          </w:p>
          <w:p w14:paraId="4441F3AB">
            <w:pPr>
              <w:widowControl/>
              <w:autoSpaceDE w:val="0"/>
              <w:autoSpaceDN w:val="0"/>
              <w:adjustRightInd w:val="0"/>
              <w:spacing w:beforeLines="0" w:afterLines="0" w:line="360" w:lineRule="auto"/>
              <w:jc w:val="left"/>
              <w:rPr>
                <w:rFonts w:hint="eastAsia" w:ascii="宋体" w:hAnsi="宋体" w:eastAsia="宋体" w:cs="宋体"/>
                <w:b/>
                <w:kern w:val="0"/>
                <w:szCs w:val="21"/>
                <w:highlight w:val="none"/>
                <w:lang w:eastAsia="en-US"/>
              </w:rPr>
            </w:pPr>
            <w:r>
              <w:rPr>
                <w:rFonts w:hint="eastAsia" w:ascii="宋体" w:hAnsi="宋体" w:eastAsia="宋体" w:cs="宋体"/>
                <w:color w:val="auto"/>
                <w:sz w:val="21"/>
                <w:szCs w:val="21"/>
                <w:highlight w:val="none"/>
              </w:rPr>
              <w:t>3.当投标报价＜C，每低于评标基准价1%在基本分（30分）基础上加2分，加至40分满分为止。若投标报价低于评标基准价5%（不含）以上时，每再低1%在满分40分的基础上扣1分的比例扣分，扣完为止。（不足1%的按相应比例进行折算）</w:t>
            </w:r>
          </w:p>
        </w:tc>
      </w:tr>
      <w:tr w14:paraId="6AEA4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exact"/>
          <w:jc w:val="center"/>
        </w:trPr>
        <w:tc>
          <w:tcPr>
            <w:tcW w:w="728" w:type="dxa"/>
            <w:vMerge w:val="restart"/>
            <w:tcBorders>
              <w:right w:val="single" w:color="auto" w:sz="4" w:space="0"/>
            </w:tcBorders>
            <w:noWrap w:val="0"/>
            <w:vAlign w:val="center"/>
          </w:tcPr>
          <w:p w14:paraId="37172690">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2.2.4（2）</w:t>
            </w:r>
          </w:p>
        </w:tc>
        <w:tc>
          <w:tcPr>
            <w:tcW w:w="1227" w:type="dxa"/>
            <w:gridSpan w:val="2"/>
            <w:vMerge w:val="restart"/>
            <w:tcBorders>
              <w:left w:val="single" w:color="auto" w:sz="4" w:space="0"/>
            </w:tcBorders>
            <w:noWrap w:val="0"/>
            <w:vAlign w:val="center"/>
          </w:tcPr>
          <w:p w14:paraId="6C569BA8">
            <w:pPr>
              <w:widowControl w:val="0"/>
              <w:adjustRightInd w:val="0"/>
              <w:snapToGrid w:val="0"/>
              <w:spacing w:beforeLines="0" w:afterLines="0" w:line="360" w:lineRule="auto"/>
              <w:jc w:val="both"/>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技术标（技术部分）评分标准</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40</w:t>
            </w:r>
            <w:r>
              <w:rPr>
                <w:rFonts w:hint="eastAsia" w:ascii="宋体" w:hAnsi="宋体" w:eastAsia="宋体" w:cs="宋体"/>
                <w:kern w:val="0"/>
                <w:szCs w:val="21"/>
                <w:highlight w:val="none"/>
              </w:rPr>
              <w:t>分）</w:t>
            </w:r>
          </w:p>
        </w:tc>
        <w:tc>
          <w:tcPr>
            <w:tcW w:w="1689" w:type="dxa"/>
            <w:noWrap w:val="0"/>
            <w:vAlign w:val="center"/>
          </w:tcPr>
          <w:p w14:paraId="6871739D">
            <w:pPr>
              <w:widowControl/>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供货组织及运输保障方案</w:t>
            </w:r>
          </w:p>
          <w:p w14:paraId="284777B9">
            <w:pPr>
              <w:widowControl/>
              <w:spacing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（5分）</w:t>
            </w:r>
          </w:p>
        </w:tc>
        <w:tc>
          <w:tcPr>
            <w:tcW w:w="5658" w:type="dxa"/>
            <w:noWrap w:val="0"/>
            <w:vAlign w:val="center"/>
          </w:tcPr>
          <w:p w14:paraId="3446285C">
            <w:pPr>
              <w:widowControl/>
              <w:spacing w:line="360" w:lineRule="auto"/>
              <w:jc w:val="left"/>
              <w:rPr>
                <w:rFonts w:hint="eastAsia" w:ascii="宋体" w:hAnsi="宋体" w:eastAsia="宋体" w:cs="宋体"/>
                <w:kern w:val="28"/>
                <w:szCs w:val="21"/>
                <w:highlight w:val="none"/>
              </w:rPr>
            </w:pPr>
            <w:r>
              <w:rPr>
                <w:rFonts w:hint="eastAsia" w:ascii="宋体" w:hAnsi="宋体" w:eastAsia="宋体" w:cs="宋体"/>
                <w:sz w:val="21"/>
                <w:szCs w:val="21"/>
                <w:lang w:val="en-US" w:eastAsia="zh-CN"/>
              </w:rPr>
              <w:t>设备排产计划、货源保障、仓储防护、运输方案、到货时序安排、供货延误应急措施。</w:t>
            </w:r>
            <w:r>
              <w:rPr>
                <w:rFonts w:hint="eastAsia" w:ascii="宋体" w:hAnsi="宋体" w:eastAsia="宋体" w:cs="宋体"/>
                <w:color w:val="auto"/>
                <w:sz w:val="21"/>
                <w:szCs w:val="21"/>
                <w:highlight w:val="none"/>
                <w:lang w:eastAsia="zh-CN"/>
              </w:rPr>
              <w:t>综合评审，横向比较，评委在0～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分范围内赋分。</w:t>
            </w:r>
          </w:p>
        </w:tc>
      </w:tr>
      <w:tr w14:paraId="5A4F4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8" w:type="dxa"/>
            <w:vMerge w:val="continue"/>
            <w:tcBorders>
              <w:right w:val="single" w:color="auto" w:sz="4" w:space="0"/>
            </w:tcBorders>
            <w:noWrap w:val="0"/>
            <w:vAlign w:val="center"/>
          </w:tcPr>
          <w:p w14:paraId="212ECDB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6E8D51D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1FEC0DBE">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技术部分的响应性、符合性及完整性（5分）</w:t>
            </w:r>
          </w:p>
        </w:tc>
        <w:tc>
          <w:tcPr>
            <w:tcW w:w="5658" w:type="dxa"/>
            <w:noWrap w:val="0"/>
            <w:vAlign w:val="center"/>
          </w:tcPr>
          <w:p w14:paraId="2CDB2373">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Cs w:val="21"/>
                <w:highlight w:val="none"/>
              </w:rPr>
              <w:t>评价各投标人设备技术方案响应性、符合性、完整性，包括但不限于整体结构设计的合理性、加工工艺、技术的先进性、布置尺寸以及匹配监造措施等</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综合评审，</w:t>
            </w:r>
            <w:r>
              <w:rPr>
                <w:rFonts w:hint="eastAsia" w:ascii="宋体" w:hAnsi="宋体" w:eastAsia="宋体" w:cs="宋体"/>
                <w:szCs w:val="21"/>
                <w:highlight w:val="none"/>
              </w:rPr>
              <w:t>横向比较，评委在0～5分范围内赋分。</w:t>
            </w:r>
          </w:p>
        </w:tc>
      </w:tr>
      <w:tr w14:paraId="2BA97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exact"/>
          <w:jc w:val="center"/>
        </w:trPr>
        <w:tc>
          <w:tcPr>
            <w:tcW w:w="728" w:type="dxa"/>
            <w:vMerge w:val="continue"/>
            <w:tcBorders>
              <w:right w:val="single" w:color="auto" w:sz="4" w:space="0"/>
            </w:tcBorders>
            <w:noWrap w:val="0"/>
            <w:vAlign w:val="center"/>
          </w:tcPr>
          <w:p w14:paraId="46D21F46">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606D733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1119DD0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设备的技术特性</w:t>
            </w:r>
          </w:p>
          <w:p w14:paraId="173231F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4A27C448">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Cs w:val="21"/>
                <w:highlight w:val="none"/>
              </w:rPr>
              <w:t>对投标人设备</w:t>
            </w:r>
            <w:r>
              <w:rPr>
                <w:rFonts w:hint="eastAsia" w:ascii="宋体" w:hAnsi="宋体" w:eastAsia="宋体" w:cs="宋体"/>
                <w:spacing w:val="-4"/>
                <w:kern w:val="28"/>
                <w:szCs w:val="21"/>
                <w:highlight w:val="none"/>
              </w:rPr>
              <w:t>的性能技术参数进行评审，</w:t>
            </w:r>
            <w:r>
              <w:rPr>
                <w:rFonts w:hint="eastAsia" w:ascii="宋体" w:hAnsi="宋体" w:eastAsia="宋体" w:cs="宋体"/>
                <w:szCs w:val="21"/>
                <w:highlight w:val="none"/>
              </w:rPr>
              <w:t>综合评审，横向比较，评委在0～5分范围内赋分。</w:t>
            </w:r>
          </w:p>
        </w:tc>
      </w:tr>
      <w:tr w14:paraId="4656E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exact"/>
          <w:jc w:val="center"/>
        </w:trPr>
        <w:tc>
          <w:tcPr>
            <w:tcW w:w="728" w:type="dxa"/>
            <w:vMerge w:val="continue"/>
            <w:tcBorders>
              <w:right w:val="single" w:color="auto" w:sz="4" w:space="0"/>
            </w:tcBorders>
            <w:noWrap w:val="0"/>
            <w:vAlign w:val="center"/>
          </w:tcPr>
          <w:p w14:paraId="7BFC4AB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495D4AA4">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17A51F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生产工艺（5分）</w:t>
            </w:r>
          </w:p>
        </w:tc>
        <w:tc>
          <w:tcPr>
            <w:tcW w:w="5658" w:type="dxa"/>
            <w:noWrap w:val="0"/>
            <w:vAlign w:val="center"/>
          </w:tcPr>
          <w:p w14:paraId="1AB51422">
            <w:pPr>
              <w:widowControl/>
              <w:autoSpaceDE w:val="0"/>
              <w:autoSpaceDN w:val="0"/>
              <w:adjustRightInd w:val="0"/>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pacing w:val="-4"/>
                <w:kern w:val="28"/>
                <w:szCs w:val="21"/>
                <w:highlight w:val="none"/>
              </w:rPr>
              <w:t>对生产工艺的先进性、合理性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，综合评审，横向比较，评委在0～5分范围内赋分。</w:t>
            </w:r>
          </w:p>
        </w:tc>
      </w:tr>
      <w:tr w14:paraId="4934D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exact"/>
          <w:jc w:val="center"/>
        </w:trPr>
        <w:tc>
          <w:tcPr>
            <w:tcW w:w="728" w:type="dxa"/>
            <w:vMerge w:val="continue"/>
            <w:tcBorders>
              <w:right w:val="single" w:color="auto" w:sz="4" w:space="0"/>
            </w:tcBorders>
            <w:noWrap w:val="0"/>
            <w:vAlign w:val="center"/>
          </w:tcPr>
          <w:p w14:paraId="1618A0B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4ECB2A9">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7E4F27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设备制造的质量和安全保证体系（5分）</w:t>
            </w:r>
          </w:p>
        </w:tc>
        <w:tc>
          <w:tcPr>
            <w:tcW w:w="5658" w:type="dxa"/>
            <w:noWrap w:val="0"/>
            <w:vAlign w:val="center"/>
          </w:tcPr>
          <w:p w14:paraId="7E14AB00">
            <w:pPr>
              <w:widowControl/>
              <w:autoSpaceDE w:val="0"/>
              <w:autoSpaceDN w:val="0"/>
              <w:adjustRightInd w:val="0"/>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pacing w:val="-4"/>
                <w:kern w:val="28"/>
                <w:szCs w:val="21"/>
                <w:highlight w:val="none"/>
              </w:rPr>
              <w:t>对质量和安全保证体系及措施的合理性、可靠性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，综合评审，横向比较，评委在0～5分范围内赋分。</w:t>
            </w:r>
          </w:p>
        </w:tc>
      </w:tr>
      <w:tr w14:paraId="7D5A8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exact"/>
          <w:jc w:val="center"/>
        </w:trPr>
        <w:tc>
          <w:tcPr>
            <w:tcW w:w="728" w:type="dxa"/>
            <w:vMerge w:val="continue"/>
            <w:tcBorders>
              <w:right w:val="single" w:color="auto" w:sz="4" w:space="0"/>
            </w:tcBorders>
            <w:noWrap w:val="0"/>
            <w:vAlign w:val="center"/>
          </w:tcPr>
          <w:p w14:paraId="72E9703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758785B">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7E16B02">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组装和出厂试验（</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6F7F9274">
            <w:pPr>
              <w:widowControl/>
              <w:autoSpaceDE w:val="0"/>
              <w:autoSpaceDN w:val="0"/>
              <w:adjustRightInd w:val="0"/>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pacing w:val="-4"/>
                <w:kern w:val="28"/>
                <w:szCs w:val="21"/>
                <w:highlight w:val="none"/>
              </w:rPr>
              <w:t>对组装和出厂试验方案合理性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w:t>
            </w:r>
            <w:r>
              <w:rPr>
                <w:rFonts w:hint="eastAsia" w:ascii="宋体" w:hAnsi="宋体" w:eastAsia="宋体" w:cs="宋体"/>
                <w:spacing w:val="-4"/>
                <w:kern w:val="28"/>
                <w:szCs w:val="21"/>
                <w:highlight w:val="none"/>
                <w:lang w:val="en-US" w:eastAsia="zh-CN"/>
              </w:rPr>
              <w:t>5</w:t>
            </w:r>
            <w:r>
              <w:rPr>
                <w:rFonts w:hint="eastAsia" w:ascii="宋体" w:hAnsi="宋体" w:eastAsia="宋体" w:cs="宋体"/>
                <w:spacing w:val="-4"/>
                <w:kern w:val="28"/>
                <w:szCs w:val="21"/>
                <w:highlight w:val="none"/>
              </w:rPr>
              <w:t>分范围内赋分。</w:t>
            </w:r>
          </w:p>
        </w:tc>
      </w:tr>
      <w:tr w14:paraId="14E36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4" w:hRule="exact"/>
          <w:jc w:val="center"/>
        </w:trPr>
        <w:tc>
          <w:tcPr>
            <w:tcW w:w="728" w:type="dxa"/>
            <w:vMerge w:val="continue"/>
            <w:tcBorders>
              <w:right w:val="single" w:color="auto" w:sz="4" w:space="0"/>
            </w:tcBorders>
            <w:noWrap w:val="0"/>
            <w:vAlign w:val="center"/>
          </w:tcPr>
          <w:p w14:paraId="5372E61E">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18E0C73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0D324775">
            <w:pPr>
              <w:widowControl/>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技术服务方案</w:t>
            </w:r>
          </w:p>
          <w:p w14:paraId="29C4C9B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437A9203">
            <w:pPr>
              <w:widowControl/>
              <w:autoSpaceDE w:val="0"/>
              <w:autoSpaceDN w:val="0"/>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lang w:val="en-US" w:eastAsia="zh-CN"/>
              </w:rPr>
              <w:t>技术服务方案及保障措施，至少包含现场安装指导、现场设备调试、人员培训、故障维修等招标范围内包含的技术服务</w:t>
            </w:r>
            <w:r>
              <w:rPr>
                <w:rFonts w:hint="eastAsia" w:ascii="宋体" w:hAnsi="宋体" w:eastAsia="宋体" w:cs="宋体"/>
                <w:kern w:val="28"/>
                <w:szCs w:val="21"/>
                <w:highlight w:val="none"/>
                <w:lang w:eastAsia="zh-CN"/>
              </w:rPr>
              <w:t>，综合评审，横向比较，评委在0～</w:t>
            </w:r>
            <w:r>
              <w:rPr>
                <w:rFonts w:hint="eastAsia" w:ascii="宋体" w:hAnsi="宋体" w:eastAsia="宋体" w:cs="宋体"/>
                <w:kern w:val="28"/>
                <w:szCs w:val="21"/>
                <w:highlight w:val="none"/>
                <w:lang w:val="en-US" w:eastAsia="zh-CN"/>
              </w:rPr>
              <w:t>5</w:t>
            </w:r>
            <w:r>
              <w:rPr>
                <w:rFonts w:hint="eastAsia" w:ascii="宋体" w:hAnsi="宋体" w:eastAsia="宋体" w:cs="宋体"/>
                <w:kern w:val="28"/>
                <w:szCs w:val="21"/>
                <w:highlight w:val="none"/>
                <w:lang w:eastAsia="zh-CN"/>
              </w:rPr>
              <w:t>分范围内赋分。</w:t>
            </w:r>
          </w:p>
        </w:tc>
      </w:tr>
      <w:tr w14:paraId="471F9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exact"/>
          <w:jc w:val="center"/>
        </w:trPr>
        <w:tc>
          <w:tcPr>
            <w:tcW w:w="728" w:type="dxa"/>
            <w:vMerge w:val="continue"/>
            <w:tcBorders>
              <w:right w:val="single" w:color="auto" w:sz="4" w:space="0"/>
            </w:tcBorders>
            <w:noWrap w:val="0"/>
            <w:vAlign w:val="center"/>
          </w:tcPr>
          <w:p w14:paraId="2DE087C6">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1F4CF7D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AEC2CAF">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备品备件</w:t>
            </w:r>
          </w:p>
          <w:p w14:paraId="6212C51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007A6C1D">
            <w:pPr>
              <w:widowControl/>
              <w:autoSpaceDE w:val="0"/>
              <w:autoSpaceDN w:val="0"/>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rPr>
              <w:t>评价备品备件、专用工具配备是否合理、齐全，综合评审，横向比较，评委在0～</w:t>
            </w:r>
            <w:r>
              <w:rPr>
                <w:rFonts w:hint="eastAsia" w:ascii="宋体" w:hAnsi="宋体" w:eastAsia="宋体" w:cs="宋体"/>
                <w:kern w:val="28"/>
                <w:szCs w:val="21"/>
                <w:highlight w:val="none"/>
                <w:lang w:val="en-US" w:eastAsia="zh-CN"/>
              </w:rPr>
              <w:t>5</w:t>
            </w:r>
            <w:r>
              <w:rPr>
                <w:rFonts w:hint="eastAsia" w:ascii="宋体" w:hAnsi="宋体" w:eastAsia="宋体" w:cs="宋体"/>
                <w:kern w:val="28"/>
                <w:szCs w:val="21"/>
                <w:highlight w:val="none"/>
              </w:rPr>
              <w:t>分范围内赋分。</w:t>
            </w:r>
          </w:p>
        </w:tc>
      </w:tr>
      <w:tr w14:paraId="2EC41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2" w:hRule="exact"/>
          <w:jc w:val="center"/>
        </w:trPr>
        <w:tc>
          <w:tcPr>
            <w:tcW w:w="728" w:type="dxa"/>
            <w:vMerge w:val="restart"/>
            <w:noWrap w:val="0"/>
            <w:vAlign w:val="center"/>
          </w:tcPr>
          <w:p w14:paraId="679E3C55">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511688C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3</w:t>
            </w:r>
            <w:r>
              <w:rPr>
                <w:rFonts w:hint="eastAsia" w:ascii="宋体" w:hAnsi="宋体" w:eastAsia="宋体" w:cs="宋体"/>
                <w:kern w:val="0"/>
                <w:szCs w:val="21"/>
                <w:highlight w:val="none"/>
                <w:lang w:eastAsia="en-US"/>
              </w:rPr>
              <w:t>）</w:t>
            </w:r>
          </w:p>
        </w:tc>
        <w:tc>
          <w:tcPr>
            <w:tcW w:w="1227" w:type="dxa"/>
            <w:gridSpan w:val="2"/>
            <w:vMerge w:val="restart"/>
            <w:noWrap w:val="0"/>
            <w:vAlign w:val="center"/>
          </w:tcPr>
          <w:p w14:paraId="6A9F7005">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综合标（商务部分）评分标准(20分)</w:t>
            </w:r>
          </w:p>
          <w:p w14:paraId="535B33FC">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86F98A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投标人类似项目业绩（8分）</w:t>
            </w:r>
          </w:p>
        </w:tc>
        <w:tc>
          <w:tcPr>
            <w:tcW w:w="5658" w:type="dxa"/>
            <w:noWrap w:val="0"/>
            <w:vAlign w:val="top"/>
          </w:tcPr>
          <w:p w14:paraId="65D3FB91">
            <w:pPr>
              <w:widowControl/>
              <w:autoSpaceDE w:val="0"/>
              <w:autoSpaceDN w:val="0"/>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rPr>
              <w:t>投标人具有2021年</w:t>
            </w:r>
            <w:r>
              <w:rPr>
                <w:rFonts w:hint="eastAsia" w:ascii="宋体" w:hAnsi="宋体" w:eastAsia="宋体" w:cs="宋体"/>
                <w:kern w:val="28"/>
                <w:szCs w:val="21"/>
                <w:highlight w:val="none"/>
                <w:lang w:val="en-US" w:eastAsia="zh-CN"/>
              </w:rPr>
              <w:t>9</w:t>
            </w:r>
            <w:r>
              <w:rPr>
                <w:rFonts w:hint="eastAsia" w:ascii="宋体" w:hAnsi="宋体" w:eastAsia="宋体" w:cs="宋体"/>
                <w:kern w:val="28"/>
                <w:szCs w:val="21"/>
                <w:highlight w:val="none"/>
              </w:rPr>
              <w:t>月1日以来（以合同签订时间为准）承担过类似项目供货业绩；每提供1项有效业绩得2分，本项最多得</w:t>
            </w:r>
            <w:r>
              <w:rPr>
                <w:rFonts w:hint="eastAsia" w:ascii="宋体" w:hAnsi="宋体" w:eastAsia="宋体" w:cs="宋体"/>
                <w:kern w:val="28"/>
                <w:szCs w:val="21"/>
                <w:highlight w:val="none"/>
                <w:lang w:val="en-US" w:eastAsia="zh-CN"/>
              </w:rPr>
              <w:t>8</w:t>
            </w:r>
            <w:r>
              <w:rPr>
                <w:rFonts w:hint="eastAsia" w:ascii="宋体" w:hAnsi="宋体" w:eastAsia="宋体" w:cs="宋体"/>
                <w:kern w:val="28"/>
                <w:szCs w:val="21"/>
                <w:highlight w:val="none"/>
              </w:rPr>
              <w:t>分。</w:t>
            </w:r>
          </w:p>
          <w:p w14:paraId="11FB807B">
            <w:pPr>
              <w:widowControl/>
              <w:spacing w:beforeLines="0" w:afterLines="0" w:line="360" w:lineRule="auto"/>
              <w:jc w:val="left"/>
              <w:rPr>
                <w:rFonts w:hint="eastAsia" w:ascii="宋体" w:hAnsi="宋体" w:eastAsia="宋体" w:cs="宋体"/>
                <w:b/>
                <w:bCs/>
                <w:kern w:val="11"/>
                <w:szCs w:val="21"/>
                <w:highlight w:val="none"/>
                <w:lang w:val="en-US" w:eastAsia="zh-CN"/>
              </w:rPr>
            </w:pPr>
            <w:r>
              <w:rPr>
                <w:rFonts w:hint="eastAsia" w:ascii="宋体" w:hAnsi="宋体" w:eastAsia="宋体" w:cs="宋体"/>
                <w:b/>
                <w:bCs/>
                <w:kern w:val="11"/>
                <w:szCs w:val="21"/>
                <w:highlight w:val="none"/>
              </w:rPr>
              <w:t>注：提供合同文件</w:t>
            </w:r>
            <w:r>
              <w:rPr>
                <w:rFonts w:hint="eastAsia" w:ascii="宋体" w:hAnsi="宋体" w:eastAsia="宋体" w:cs="宋体"/>
                <w:b/>
                <w:bCs/>
                <w:kern w:val="11"/>
                <w:szCs w:val="21"/>
                <w:highlight w:val="none"/>
                <w:lang w:val="en-US" w:eastAsia="zh-CN"/>
              </w:rPr>
              <w:t>复印件或扫描件</w:t>
            </w:r>
            <w:r>
              <w:rPr>
                <w:rFonts w:hint="eastAsia" w:ascii="宋体" w:hAnsi="宋体" w:eastAsia="宋体" w:cs="宋体"/>
                <w:b/>
                <w:bCs/>
                <w:kern w:val="11"/>
                <w:szCs w:val="21"/>
                <w:highlight w:val="none"/>
              </w:rPr>
              <w:t>，对应合同项下任意一张不限金额的发票</w:t>
            </w:r>
            <w:r>
              <w:rPr>
                <w:rFonts w:hint="eastAsia" w:ascii="宋体" w:hAnsi="宋体" w:eastAsia="宋体" w:cs="宋体"/>
                <w:b/>
                <w:bCs/>
                <w:kern w:val="11"/>
                <w:szCs w:val="21"/>
                <w:highlight w:val="none"/>
                <w:lang w:eastAsia="zh-CN"/>
              </w:rPr>
              <w:t>，</w:t>
            </w:r>
            <w:r>
              <w:rPr>
                <w:rFonts w:hint="eastAsia" w:ascii="宋体" w:hAnsi="宋体" w:eastAsia="宋体" w:cs="宋体"/>
                <w:b/>
                <w:bCs/>
                <w:kern w:val="11"/>
                <w:szCs w:val="21"/>
                <w:highlight w:val="none"/>
              </w:rPr>
              <w:t>未提供的不得分。</w:t>
            </w:r>
          </w:p>
        </w:tc>
      </w:tr>
      <w:tr w14:paraId="724C5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6" w:hRule="atLeast"/>
          <w:jc w:val="center"/>
        </w:trPr>
        <w:tc>
          <w:tcPr>
            <w:tcW w:w="728" w:type="dxa"/>
            <w:vMerge w:val="continue"/>
            <w:noWrap w:val="0"/>
            <w:vAlign w:val="center"/>
          </w:tcPr>
          <w:p w14:paraId="2BACD47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7E276B1">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A8900F8">
            <w:pPr>
              <w:widowControl/>
              <w:autoSpaceDE w:val="0"/>
              <w:autoSpaceDN w:val="0"/>
              <w:spacing w:line="360" w:lineRule="auto"/>
              <w:ind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项目实施团队配置（</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658" w:type="dxa"/>
            <w:noWrap w:val="0"/>
            <w:vAlign w:val="center"/>
          </w:tcPr>
          <w:p w14:paraId="51F43CE8">
            <w:pPr>
              <w:widowControl/>
              <w:spacing w:line="360" w:lineRule="auto"/>
              <w:jc w:val="left"/>
              <w:rPr>
                <w:rFonts w:hint="eastAsia" w:ascii="宋体" w:hAnsi="宋体" w:eastAsia="宋体" w:cs="宋体"/>
                <w:szCs w:val="22"/>
                <w:lang w:val="en-US" w:eastAsia="zh-CN"/>
              </w:rPr>
            </w:pPr>
            <w:r>
              <w:rPr>
                <w:rFonts w:hint="eastAsia" w:ascii="宋体" w:hAnsi="宋体" w:eastAsia="宋体" w:cs="宋体"/>
                <w:szCs w:val="22"/>
                <w:lang w:val="en-US" w:eastAsia="zh-CN"/>
              </w:rPr>
              <w:t>投标人拟派现场电气作业人员具备有效低压电工证，每提供1人得2分，最多得4分。</w:t>
            </w:r>
          </w:p>
          <w:p w14:paraId="493CB65C">
            <w:pPr>
              <w:widowControl/>
              <w:spacing w:line="360" w:lineRule="auto"/>
              <w:jc w:val="left"/>
              <w:rPr>
                <w:rFonts w:hint="eastAsia" w:ascii="宋体" w:hAnsi="宋体" w:eastAsia="宋体" w:cs="宋体"/>
                <w:szCs w:val="21"/>
                <w:highlight w:val="none"/>
                <w:lang w:val="zh-CN"/>
              </w:rPr>
            </w:pPr>
            <w:r>
              <w:rPr>
                <w:rFonts w:hint="eastAsia" w:ascii="宋体" w:hAnsi="宋体" w:eastAsia="宋体" w:cs="宋体"/>
                <w:color w:val="auto"/>
                <w:spacing w:val="1"/>
                <w:kern w:val="0"/>
                <w:sz w:val="21"/>
                <w:szCs w:val="21"/>
                <w:highlight w:val="none"/>
                <w:lang w:val="en-US" w:eastAsia="zh-CN" w:bidi="ar-SA"/>
              </w:rPr>
              <w:t>注：</w:t>
            </w:r>
            <w:r>
              <w:rPr>
                <w:rFonts w:hint="eastAsia" w:ascii="宋体" w:hAnsi="宋体" w:eastAsia="宋体" w:cs="宋体"/>
                <w:color w:val="auto"/>
                <w:kern w:val="2"/>
                <w:sz w:val="21"/>
                <w:szCs w:val="21"/>
                <w:highlight w:val="none"/>
                <w:lang w:val="en-US" w:eastAsia="zh-CN"/>
              </w:rPr>
              <w:t>提供人员证书及2025年9月1日以来任意一个月社保缴纳证明，否则不得分。</w:t>
            </w:r>
          </w:p>
        </w:tc>
      </w:tr>
      <w:tr w14:paraId="271B1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jc w:val="center"/>
        </w:trPr>
        <w:tc>
          <w:tcPr>
            <w:tcW w:w="728" w:type="dxa"/>
            <w:vMerge w:val="continue"/>
            <w:noWrap w:val="0"/>
            <w:vAlign w:val="center"/>
          </w:tcPr>
          <w:p w14:paraId="695249E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20F75A62">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C1C5828">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体系认证（3分）</w:t>
            </w:r>
          </w:p>
        </w:tc>
        <w:tc>
          <w:tcPr>
            <w:tcW w:w="5658" w:type="dxa"/>
            <w:noWrap w:val="0"/>
            <w:vAlign w:val="center"/>
          </w:tcPr>
          <w:p w14:paraId="5E618322">
            <w:pPr>
              <w:widowControl/>
              <w:adjustRightInd w:val="0"/>
              <w:snapToGrid w:val="0"/>
              <w:spacing w:beforeLines="0" w:afterLines="0" w:line="360" w:lineRule="auto"/>
              <w:ind w:left="0" w:leftChars="0"/>
              <w:jc w:val="both"/>
              <w:rPr>
                <w:rFonts w:hint="eastAsia" w:ascii="宋体" w:hAnsi="宋体" w:eastAsia="宋体" w:cs="宋体"/>
                <w:color w:val="FF0000"/>
                <w:szCs w:val="21"/>
                <w:highlight w:val="none"/>
                <w:lang w:val="zh-CN"/>
              </w:rPr>
            </w:pPr>
            <w:r>
              <w:rPr>
                <w:rFonts w:hint="eastAsia" w:ascii="宋体" w:hAnsi="宋体" w:eastAsia="宋体" w:cs="宋体"/>
                <w:kern w:val="0"/>
                <w:szCs w:val="21"/>
                <w:highlight w:val="none"/>
              </w:rPr>
              <w:t>具有质量管理体系认证证书、环境管理体系认证证书、职业健康安全管理体系认证证书且在有效期内的，每项得1分</w:t>
            </w:r>
            <w:r>
              <w:rPr>
                <w:rFonts w:hint="eastAsia" w:ascii="宋体" w:hAnsi="宋体" w:eastAsia="宋体" w:cs="宋体"/>
                <w:kern w:val="11"/>
                <w:szCs w:val="21"/>
                <w:highlight w:val="none"/>
              </w:rPr>
              <w:t>，最多得3分。</w:t>
            </w:r>
          </w:p>
        </w:tc>
      </w:tr>
      <w:tr w14:paraId="658C4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728" w:type="dxa"/>
            <w:vMerge w:val="continue"/>
            <w:noWrap w:val="0"/>
            <w:vAlign w:val="center"/>
          </w:tcPr>
          <w:p w14:paraId="5EC4D231">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40CCD4B7">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5C75691">
            <w:pPr>
              <w:widowControl/>
              <w:adjustRightInd w:val="0"/>
              <w:snapToGrid w:val="0"/>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售后服务方案</w:t>
            </w:r>
          </w:p>
          <w:p w14:paraId="1668E287">
            <w:pPr>
              <w:widowControl/>
              <w:adjustRightInd w:val="0"/>
              <w:snapToGrid w:val="0"/>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Cs w:val="21"/>
                <w:lang w:val="en-US" w:eastAsia="zh-CN"/>
              </w:rPr>
              <w:t>（5分）</w:t>
            </w:r>
          </w:p>
        </w:tc>
        <w:tc>
          <w:tcPr>
            <w:tcW w:w="5658" w:type="dxa"/>
            <w:noWrap w:val="0"/>
            <w:vAlign w:val="center"/>
          </w:tcPr>
          <w:p w14:paraId="1C3FC3C2">
            <w:pPr>
              <w:widowControl/>
              <w:wordWrap w:val="0"/>
              <w:spacing w:line="360" w:lineRule="auto"/>
              <w:jc w:val="left"/>
              <w:rPr>
                <w:rFonts w:hint="eastAsia" w:ascii="宋体" w:hAnsi="宋体" w:eastAsia="宋体" w:cs="宋体"/>
                <w:szCs w:val="21"/>
                <w:highlight w:val="none"/>
              </w:rPr>
            </w:pPr>
            <w:r>
              <w:rPr>
                <w:rFonts w:hint="eastAsia" w:ascii="宋体" w:hAnsi="宋体" w:eastAsia="宋体" w:cs="宋体"/>
                <w:color w:val="auto"/>
                <w:spacing w:val="1"/>
                <w:kern w:val="0"/>
                <w:sz w:val="21"/>
                <w:szCs w:val="21"/>
                <w:highlight w:val="none"/>
                <w:lang w:eastAsia="zh-CN"/>
              </w:rPr>
              <w:t>质保服务承诺、故障应急响应时间、备品备件保障、现场维修服务、质保期满运维服务机制。</w:t>
            </w:r>
            <w:r>
              <w:rPr>
                <w:rFonts w:hint="eastAsia" w:ascii="宋体" w:hAnsi="宋体" w:eastAsia="宋体" w:cs="宋体"/>
                <w:color w:val="auto"/>
                <w:sz w:val="21"/>
                <w:szCs w:val="21"/>
                <w:highlight w:val="none"/>
                <w:lang w:eastAsia="zh-CN"/>
              </w:rPr>
              <w:t>综合评审，横向比较，评委在0～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分范围内赋分。</w:t>
            </w:r>
          </w:p>
        </w:tc>
      </w:tr>
    </w:tbl>
    <w:p w14:paraId="78E328EE">
      <w:pPr>
        <w:keepNext w:val="0"/>
        <w:keepLines w:val="0"/>
        <w:pageBreakBefore w:val="0"/>
        <w:widowControl w:val="0"/>
        <w:numPr>
          <w:ilvl w:val="0"/>
          <w:numId w:val="0"/>
        </w:numPr>
        <w:kinsoku/>
        <w:wordWrap/>
        <w:overflowPunct/>
        <w:topLinePunct w:val="0"/>
        <w:autoSpaceDE/>
        <w:autoSpaceDN/>
        <w:bidi w:val="0"/>
        <w:adjustRightInd w:val="0"/>
        <w:snapToGrid/>
        <w:spacing w:beforeLines="0" w:afterLines="0" w:line="360" w:lineRule="auto"/>
        <w:ind w:left="0" w:leftChars="0" w:firstLine="480" w:firstLineChars="200"/>
        <w:jc w:val="both"/>
        <w:textAlignment w:val="auto"/>
        <w:rPr>
          <w:rFonts w:hint="eastAsia" w:ascii="宋体" w:hAnsi="宋体" w:eastAsia="宋体" w:cs="宋体"/>
          <w:color w:val="000000"/>
          <w:kern w:val="0"/>
          <w:sz w:val="21"/>
          <w:szCs w:val="21"/>
          <w:highlight w:val="none"/>
          <w:lang w:val="en-US" w:eastAsia="zh-CN" w:bidi="ar-SA"/>
        </w:rPr>
      </w:pPr>
      <w:bookmarkStart w:id="302" w:name="_Toc62034461"/>
      <w:r>
        <w:rPr>
          <w:rFonts w:hint="eastAsia" w:ascii="宋体" w:hAnsi="宋体" w:eastAsia="宋体" w:cs="宋体"/>
          <w:color w:val="000000"/>
          <w:kern w:val="0"/>
          <w:sz w:val="24"/>
          <w:szCs w:val="24"/>
          <w:highlight w:val="none"/>
          <w:lang w:val="en-US" w:eastAsia="zh-CN" w:bidi="ar-SA"/>
        </w:rPr>
        <w:br w:type="page"/>
      </w:r>
      <w:bookmarkEnd w:id="302"/>
      <w:bookmarkStart w:id="303" w:name="_Toc271870438"/>
      <w:bookmarkStart w:id="304" w:name="_Toc451444533"/>
      <w:bookmarkStart w:id="305" w:name="_Toc451443943"/>
      <w:bookmarkStart w:id="306" w:name="_Toc401150145"/>
      <w:bookmarkStart w:id="307" w:name="_Toc332378864"/>
      <w:bookmarkStart w:id="308" w:name="_Toc222031002"/>
      <w:bookmarkStart w:id="309" w:name="_Toc168476127"/>
      <w:bookmarkStart w:id="310" w:name="_Toc222032669"/>
      <w:bookmarkStart w:id="311" w:name="_Toc144974577"/>
      <w:bookmarkStart w:id="312" w:name="_Toc62034469"/>
      <w:bookmarkStart w:id="313" w:name="_Toc222029500"/>
      <w:bookmarkStart w:id="314" w:name="_Toc221950660"/>
      <w:bookmarkStart w:id="315" w:name="_Toc222033851"/>
      <w:bookmarkStart w:id="316" w:name="_Toc229305360"/>
      <w:bookmarkStart w:id="317" w:name="_Toc168475724"/>
      <w:bookmarkStart w:id="318" w:name="_Toc91344939"/>
    </w:p>
    <w:bookmarkEnd w:id="303"/>
    <w:bookmarkEnd w:id="304"/>
    <w:bookmarkEnd w:id="305"/>
    <w:bookmarkEnd w:id="306"/>
    <w:bookmarkEnd w:id="307"/>
    <w:p w14:paraId="3FF60C48">
      <w:pPr>
        <w:keepNext w:val="0"/>
        <w:keepLines w:val="0"/>
        <w:pageBreakBefore w:val="0"/>
        <w:widowControl/>
        <w:kinsoku/>
        <w:wordWrap w:val="0"/>
        <w:overflowPunct/>
        <w:topLinePunct w:val="0"/>
        <w:bidi w:val="0"/>
        <w:spacing w:beforeLines="0" w:afterLines="0" w:line="360" w:lineRule="auto"/>
        <w:ind w:firstLine="422" w:firstLineChars="200"/>
        <w:jc w:val="center"/>
        <w:textAlignment w:val="auto"/>
        <w:outlineLvl w:val="1"/>
        <w:rPr>
          <w:rFonts w:hint="default" w:ascii="宋体" w:hAnsi="宋体" w:eastAsia="宋体" w:cs="宋体"/>
          <w:szCs w:val="21"/>
          <w:highlight w:val="none"/>
          <w:lang w:val="en-US" w:eastAsia="zh-CN"/>
        </w:rPr>
      </w:pPr>
      <w:r>
        <w:rPr>
          <w:rFonts w:hint="eastAsia" w:ascii="宋体" w:hAnsi="宋体" w:eastAsia="宋体" w:cs="宋体"/>
          <w:b/>
          <w:bCs/>
          <w:sz w:val="21"/>
          <w:szCs w:val="21"/>
          <w:highlight w:val="none"/>
          <w:lang w:val="en-US" w:eastAsia="zh-CN"/>
        </w:rPr>
        <w:t>一、评标办法</w:t>
      </w:r>
    </w:p>
    <w:p w14:paraId="214AC731">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1.评标方法</w:t>
      </w:r>
    </w:p>
    <w:p w14:paraId="53CC36B5">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pacing w:val="0"/>
          <w:position w:val="0"/>
          <w:sz w:val="21"/>
          <w:szCs w:val="21"/>
          <w:highlight w:val="none"/>
        </w:rPr>
      </w:pPr>
      <w:bookmarkStart w:id="319" w:name="_Toc14806"/>
      <w:bookmarkStart w:id="320" w:name="_Toc18162"/>
      <w:bookmarkStart w:id="321" w:name="_Toc12123"/>
      <w:bookmarkStart w:id="322" w:name="_Toc21594"/>
      <w:bookmarkStart w:id="323" w:name="_Toc25362"/>
      <w:bookmarkStart w:id="324" w:name="_Toc20915"/>
      <w:r>
        <w:rPr>
          <w:rFonts w:hint="eastAsia" w:ascii="宋体" w:hAnsi="宋体" w:eastAsia="宋体" w:cs="宋体"/>
          <w:color w:val="auto"/>
          <w:spacing w:val="0"/>
          <w:position w:val="0"/>
          <w:sz w:val="21"/>
          <w:szCs w:val="21"/>
          <w:highlight w:val="none"/>
        </w:rPr>
        <w:t>本次评标采用综合评估法评审。评标委员会对满足招标文件确定的评审标准和方法，客观、公正地对投标文件进行评审和比较，并按照最终得分由高到低顺序推荐中标候选人。</w:t>
      </w:r>
    </w:p>
    <w:p w14:paraId="226BA912">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2.评标标准</w:t>
      </w:r>
      <w:bookmarkEnd w:id="319"/>
      <w:bookmarkEnd w:id="320"/>
      <w:bookmarkEnd w:id="321"/>
      <w:bookmarkEnd w:id="322"/>
      <w:bookmarkEnd w:id="323"/>
      <w:bookmarkEnd w:id="324"/>
    </w:p>
    <w:p w14:paraId="778EE5F7">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bookmarkStart w:id="325" w:name="_Toc144974569"/>
      <w:bookmarkStart w:id="326" w:name="_Toc30557"/>
      <w:bookmarkStart w:id="327" w:name="_Toc19906"/>
      <w:bookmarkStart w:id="328" w:name="_Toc410312110"/>
      <w:bookmarkStart w:id="329" w:name="_Toc21347"/>
      <w:bookmarkStart w:id="330" w:name="_Toc5079"/>
      <w:bookmarkStart w:id="331" w:name="_Toc4385"/>
      <w:bookmarkStart w:id="332" w:name="_Toc16577"/>
      <w:bookmarkStart w:id="333" w:name="_Toc17732"/>
      <w:bookmarkStart w:id="334" w:name="_Toc28560"/>
      <w:bookmarkStart w:id="335" w:name="_Toc21479"/>
      <w:bookmarkStart w:id="336" w:name="_Toc13800"/>
      <w:bookmarkStart w:id="337" w:name="_Toc19029"/>
      <w:bookmarkStart w:id="338" w:name="_Toc13976"/>
      <w:bookmarkStart w:id="339" w:name="_Toc23055"/>
      <w:bookmarkStart w:id="340" w:name="_Toc11806"/>
      <w:bookmarkStart w:id="341" w:name="_Toc26015"/>
      <w:bookmarkStart w:id="342" w:name="_Toc152042379"/>
      <w:bookmarkStart w:id="343" w:name="_Toc6189"/>
      <w:bookmarkStart w:id="344" w:name="_Toc13268"/>
      <w:bookmarkStart w:id="345" w:name="_Toc247514026"/>
      <w:bookmarkStart w:id="346" w:name="_Toc152045602"/>
      <w:bookmarkStart w:id="347" w:name="_Toc16660"/>
      <w:bookmarkStart w:id="348" w:name="_Toc247527627"/>
      <w:r>
        <w:rPr>
          <w:rFonts w:hint="eastAsia" w:ascii="宋体" w:hAnsi="宋体" w:eastAsia="宋体" w:cs="宋体"/>
          <w:b/>
          <w:bCs/>
          <w:color w:val="auto"/>
          <w:sz w:val="21"/>
          <w:szCs w:val="21"/>
          <w:highlight w:val="none"/>
        </w:rPr>
        <w:t>2.1初步评审标准</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19E95814">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bookmarkStart w:id="349" w:name="_Toc17862"/>
      <w:bookmarkStart w:id="350" w:name="_Toc24296"/>
      <w:bookmarkStart w:id="351" w:name="_Toc4886"/>
      <w:bookmarkStart w:id="352" w:name="_Toc247527628"/>
      <w:bookmarkStart w:id="353" w:name="_Toc247514027"/>
      <w:bookmarkStart w:id="354" w:name="_Toc144974570"/>
      <w:bookmarkStart w:id="355" w:name="_Toc17697"/>
      <w:bookmarkStart w:id="356" w:name="_Toc21428"/>
      <w:bookmarkStart w:id="357" w:name="_Toc13151"/>
      <w:bookmarkStart w:id="358" w:name="_Toc410312111"/>
      <w:bookmarkStart w:id="359" w:name="_Toc29167"/>
      <w:bookmarkStart w:id="360" w:name="_Toc152042380"/>
      <w:bookmarkStart w:id="361" w:name="_Toc12870"/>
      <w:bookmarkStart w:id="362" w:name="_Toc152045603"/>
      <w:bookmarkStart w:id="363" w:name="_Toc17864"/>
      <w:bookmarkStart w:id="364" w:name="_Toc5195"/>
      <w:bookmarkStart w:id="365" w:name="_Toc26225"/>
      <w:bookmarkStart w:id="366" w:name="_Toc2324"/>
      <w:bookmarkStart w:id="367" w:name="_Toc17169"/>
      <w:bookmarkStart w:id="368" w:name="_Toc22379"/>
      <w:r>
        <w:rPr>
          <w:rFonts w:hint="eastAsia" w:ascii="宋体" w:hAnsi="宋体" w:eastAsia="宋体" w:cs="宋体"/>
          <w:color w:val="auto"/>
          <w:sz w:val="21"/>
          <w:szCs w:val="21"/>
          <w:highlight w:val="none"/>
        </w:rPr>
        <w:t>2.1.1形式评审标准：见评标办法前附表；</w:t>
      </w:r>
      <w:bookmarkEnd w:id="349"/>
      <w:bookmarkEnd w:id="350"/>
    </w:p>
    <w:p w14:paraId="35885CBF">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bookmarkStart w:id="369" w:name="_Toc4769"/>
      <w:bookmarkStart w:id="370" w:name="_Toc3754"/>
      <w:r>
        <w:rPr>
          <w:rFonts w:hint="eastAsia" w:ascii="宋体" w:hAnsi="宋体" w:eastAsia="宋体" w:cs="宋体"/>
          <w:color w:val="auto"/>
          <w:sz w:val="21"/>
          <w:szCs w:val="21"/>
          <w:highlight w:val="none"/>
        </w:rPr>
        <w:t>2.1.2资格评审标准：见评标办法前附表；</w:t>
      </w:r>
      <w:bookmarkEnd w:id="369"/>
      <w:bookmarkEnd w:id="370"/>
    </w:p>
    <w:p w14:paraId="307CA4A4">
      <w:pPr>
        <w:keepNext w:val="0"/>
        <w:keepLines w:val="0"/>
        <w:pageBreakBefore w:val="0"/>
        <w:widowControl/>
        <w:kinsoku/>
        <w:wordWrap w:val="0"/>
        <w:overflowPunct/>
        <w:topLinePunct w:val="0"/>
        <w:autoSpaceDE/>
        <w:autoSpaceDN/>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bookmarkStart w:id="371" w:name="_Toc31137"/>
      <w:bookmarkStart w:id="372" w:name="_Toc31271"/>
      <w:r>
        <w:rPr>
          <w:rFonts w:hint="eastAsia" w:ascii="宋体" w:hAnsi="宋体" w:eastAsia="宋体" w:cs="宋体"/>
          <w:color w:val="auto"/>
          <w:sz w:val="21"/>
          <w:szCs w:val="21"/>
          <w:highlight w:val="none"/>
        </w:rPr>
        <w:t>2.1.3响应性评审标准：见评标办法前附表。</w:t>
      </w:r>
      <w:bookmarkEnd w:id="371"/>
      <w:bookmarkEnd w:id="372"/>
    </w:p>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14:paraId="2678C1E5">
      <w:pPr>
        <w:keepNext w:val="0"/>
        <w:keepLines w:val="0"/>
        <w:pageBreakBefore w:val="0"/>
        <w:widowControl/>
        <w:kinsoku/>
        <w:wordWrap w:val="0"/>
        <w:overflowPunct/>
        <w:topLinePunct w:val="0"/>
        <w:autoSpaceDE/>
        <w:autoSpaceDN/>
        <w:bidi w:val="0"/>
        <w:adjustRightInd/>
        <w:snapToGrid/>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bookmarkStart w:id="373" w:name="_Toc15456"/>
      <w:bookmarkStart w:id="374" w:name="_Toc29858"/>
      <w:bookmarkStart w:id="375" w:name="_Toc16617"/>
      <w:bookmarkStart w:id="376" w:name="_Toc2098"/>
      <w:bookmarkStart w:id="377" w:name="_Toc17536"/>
      <w:bookmarkStart w:id="378" w:name="_Toc410312112"/>
      <w:bookmarkStart w:id="379" w:name="_Toc247527629"/>
      <w:bookmarkStart w:id="380" w:name="_Toc247514028"/>
      <w:bookmarkStart w:id="381" w:name="_Toc144974571"/>
      <w:bookmarkStart w:id="382" w:name="_Toc152045604"/>
      <w:bookmarkStart w:id="383" w:name="_Toc152042381"/>
      <w:r>
        <w:rPr>
          <w:rFonts w:hint="eastAsia" w:ascii="宋体" w:hAnsi="宋体" w:eastAsia="宋体" w:cs="宋体"/>
          <w:b/>
          <w:bCs/>
          <w:color w:val="auto"/>
          <w:sz w:val="21"/>
          <w:szCs w:val="21"/>
          <w:highlight w:val="none"/>
        </w:rPr>
        <w:t>2.2详细评审标准</w:t>
      </w:r>
      <w:bookmarkEnd w:id="373"/>
      <w:bookmarkEnd w:id="374"/>
      <w:bookmarkEnd w:id="375"/>
      <w:bookmarkEnd w:id="376"/>
      <w:bookmarkEnd w:id="377"/>
    </w:p>
    <w:p w14:paraId="21EF75F1">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bookmarkStart w:id="384" w:name="_Toc20822"/>
      <w:bookmarkStart w:id="385" w:name="_Toc1574"/>
      <w:bookmarkStart w:id="386" w:name="_Toc24948"/>
      <w:bookmarkStart w:id="387" w:name="_Toc26960483"/>
      <w:bookmarkStart w:id="388" w:name="_Toc24869"/>
      <w:bookmarkStart w:id="389" w:name="_Toc28711"/>
      <w:bookmarkStart w:id="390" w:name="_Toc19279"/>
      <w:bookmarkStart w:id="391" w:name="_Toc12079"/>
      <w:bookmarkStart w:id="392" w:name="_Toc14171"/>
      <w:bookmarkStart w:id="393" w:name="_Toc20467"/>
      <w:bookmarkStart w:id="394" w:name="_Toc21036"/>
      <w:bookmarkStart w:id="395" w:name="_Toc2597"/>
      <w:bookmarkStart w:id="396" w:name="_Toc30639"/>
      <w:bookmarkStart w:id="397" w:name="_Toc28116"/>
      <w:bookmarkStart w:id="398" w:name="_Toc25162"/>
      <w:bookmarkStart w:id="399" w:name="_Toc31284"/>
      <w:bookmarkStart w:id="400" w:name="_Toc16201"/>
      <w:bookmarkStart w:id="401" w:name="_Toc19330"/>
      <w:bookmarkStart w:id="402" w:name="_Toc26392"/>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技术部分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474E85FD">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）投标报价</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554DE04B">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）综合部分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14:paraId="37FF40DD">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2"/>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3.评标程序</w:t>
      </w:r>
    </w:p>
    <w:p w14:paraId="0D5CFC6A">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03" w:name="_Toc247514029"/>
      <w:bookmarkStart w:id="404" w:name="_Toc15815"/>
      <w:bookmarkStart w:id="405" w:name="_Toc247527630"/>
      <w:bookmarkStart w:id="406" w:name="_Toc27830"/>
      <w:bookmarkStart w:id="407" w:name="_Toc29389"/>
      <w:bookmarkStart w:id="408" w:name="_Toc1039"/>
      <w:bookmarkStart w:id="409" w:name="_Toc11821"/>
      <w:bookmarkStart w:id="410" w:name="_Toc32486"/>
      <w:bookmarkStart w:id="411" w:name="_Toc20601"/>
      <w:bookmarkStart w:id="412" w:name="_Toc21277"/>
      <w:bookmarkStart w:id="413" w:name="_Toc32636"/>
      <w:bookmarkStart w:id="414" w:name="_Toc144974572"/>
      <w:bookmarkStart w:id="415" w:name="_Toc22421"/>
      <w:bookmarkStart w:id="416" w:name="_Toc17704"/>
      <w:bookmarkStart w:id="417" w:name="_Toc16884"/>
      <w:bookmarkStart w:id="418" w:name="_Toc9962"/>
      <w:bookmarkStart w:id="419" w:name="_Toc152042382"/>
      <w:bookmarkStart w:id="420" w:name="_Toc16422"/>
      <w:bookmarkStart w:id="421" w:name="_Toc5201"/>
      <w:bookmarkStart w:id="422" w:name="_Toc5906"/>
      <w:bookmarkStart w:id="423" w:name="_Toc8226"/>
      <w:bookmarkStart w:id="424" w:name="_Toc23168"/>
      <w:bookmarkStart w:id="425" w:name="_Toc4634"/>
      <w:bookmarkStart w:id="426" w:name="_Toc152045605"/>
      <w:bookmarkStart w:id="427" w:name="_Toc410312113"/>
      <w:r>
        <w:rPr>
          <w:rFonts w:hint="eastAsia" w:ascii="宋体" w:hAnsi="宋体" w:eastAsia="宋体" w:cs="宋体"/>
          <w:b/>
          <w:bCs/>
          <w:color w:val="auto"/>
          <w:spacing w:val="0"/>
          <w:position w:val="0"/>
          <w:sz w:val="21"/>
          <w:szCs w:val="21"/>
          <w:highlight w:val="none"/>
        </w:rPr>
        <w:t>3.1初步评审</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2B12B59E">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3.1.1评标委员会依据本章第2.1款规定的标准对投标文件进行初步评审。有一项不符合评审标准的，评标委员会应当否决其投标。</w:t>
      </w:r>
    </w:p>
    <w:p w14:paraId="29C13600">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3.1.2投标人有以下情形之一的，评标委员会应当否决其投标：</w:t>
      </w:r>
    </w:p>
    <w:p w14:paraId="75789A06">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（1）第二章“投标人须知”第1.4.3项规定的任何一种情形的；</w:t>
      </w:r>
    </w:p>
    <w:p w14:paraId="4D6A2B47">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（2）串通投标或弄虚作假或有其他违法行为的；</w:t>
      </w:r>
    </w:p>
    <w:p w14:paraId="375E8A4C">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（3）不按评标委员会要求澄清、说明或补正的。</w:t>
      </w:r>
    </w:p>
    <w:p w14:paraId="69A82C53">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3.1.3投标报价有算术错误的，评标委员会按以下原则对投标报价进行修正，修正的价格经投标人书面确认后具有约束力。投标人不接受修正价格的，评标委员会应当否决其投标。</w:t>
      </w:r>
    </w:p>
    <w:p w14:paraId="7D1CF12F">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bookmarkStart w:id="428" w:name="_Toc152042383"/>
      <w:r>
        <w:rPr>
          <w:rFonts w:hint="eastAsia" w:ascii="宋体" w:hAnsi="宋体" w:eastAsia="宋体" w:cs="宋体"/>
          <w:color w:val="auto"/>
          <w:spacing w:val="0"/>
          <w:position w:val="0"/>
          <w:sz w:val="21"/>
          <w:szCs w:val="21"/>
          <w:highlight w:val="none"/>
        </w:rPr>
        <w:t>（1）投标文件中的大写金额与小写金额不一致的，以大写金额为准；</w:t>
      </w:r>
      <w:bookmarkEnd w:id="428"/>
    </w:p>
    <w:p w14:paraId="199CA504">
      <w:pPr>
        <w:keepNext w:val="0"/>
        <w:keepLines w:val="0"/>
        <w:pageBreakBefore w:val="0"/>
        <w:widowControl/>
        <w:kinsoku/>
        <w:wordWrap w:val="0"/>
        <w:overflowPunct/>
        <w:topLinePunct w:val="0"/>
        <w:autoSpaceDE/>
        <w:autoSpaceDN/>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（2）总价金额与依据单价计算出的结果不一致的，以单价金额为准修正总价，但单价金额小数点有明显错误的除外。</w:t>
      </w:r>
    </w:p>
    <w:p w14:paraId="1EE87FE6">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29" w:name="_Toc23493"/>
      <w:bookmarkStart w:id="430" w:name="_Toc247527631"/>
      <w:bookmarkStart w:id="431" w:name="_Toc152042384"/>
      <w:bookmarkStart w:id="432" w:name="_Toc4918"/>
      <w:bookmarkStart w:id="433" w:name="_Toc15708"/>
      <w:bookmarkStart w:id="434" w:name="_Toc23981"/>
      <w:bookmarkStart w:id="435" w:name="_Toc410312114"/>
      <w:bookmarkStart w:id="436" w:name="_Toc3862"/>
      <w:bookmarkStart w:id="437" w:name="_Toc1010"/>
      <w:bookmarkStart w:id="438" w:name="_Toc23665"/>
      <w:bookmarkStart w:id="439" w:name="_Toc1298"/>
      <w:bookmarkStart w:id="440" w:name="_Toc20209"/>
      <w:bookmarkStart w:id="441" w:name="_Toc152045606"/>
      <w:bookmarkStart w:id="442" w:name="_Toc247514030"/>
      <w:bookmarkStart w:id="443" w:name="_Toc18695"/>
      <w:bookmarkStart w:id="444" w:name="_Toc11081"/>
      <w:bookmarkStart w:id="445" w:name="_Toc1626"/>
      <w:bookmarkStart w:id="446" w:name="_Toc2619"/>
      <w:bookmarkStart w:id="447" w:name="_Toc23122"/>
      <w:bookmarkStart w:id="448" w:name="_Toc23735"/>
      <w:bookmarkStart w:id="449" w:name="_Toc16683"/>
      <w:bookmarkStart w:id="450" w:name="_Toc30515"/>
      <w:bookmarkStart w:id="451" w:name="_Toc144974573"/>
      <w:bookmarkStart w:id="452" w:name="_Toc28586"/>
      <w:bookmarkStart w:id="453" w:name="_Toc26850"/>
      <w:r>
        <w:rPr>
          <w:rFonts w:hint="eastAsia" w:ascii="宋体" w:hAnsi="宋体" w:eastAsia="宋体" w:cs="宋体"/>
          <w:b/>
          <w:bCs/>
          <w:color w:val="auto"/>
          <w:spacing w:val="0"/>
          <w:position w:val="0"/>
          <w:sz w:val="21"/>
          <w:szCs w:val="21"/>
          <w:highlight w:val="none"/>
        </w:rPr>
        <w:t>3.2详细评审</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29828CE3">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kern w:val="0"/>
          <w:position w:val="0"/>
          <w:sz w:val="21"/>
          <w:szCs w:val="21"/>
          <w:highlight w:val="none"/>
        </w:rPr>
        <w:t>3.2.1</w:t>
      </w:r>
      <w:r>
        <w:rPr>
          <w:rFonts w:hint="eastAsia" w:ascii="宋体" w:hAnsi="宋体" w:eastAsia="宋体" w:cs="宋体"/>
          <w:color w:val="auto"/>
          <w:sz w:val="21"/>
          <w:szCs w:val="21"/>
          <w:highlight w:val="none"/>
          <w:lang w:val="en-US" w:eastAsia="zh-CN"/>
        </w:rPr>
        <w:t>评标委员会按本章第2.2款规定的量化因素和分值对入围详细评审的有效投标人进行打分，并计算出综合评估得分。入围详细评审的有效投标人办法详见评标办法前附表规定。</w:t>
      </w:r>
    </w:p>
    <w:p w14:paraId="6B029791">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（1）按本章第2.2.4（1）目规定的评审因素和分值对投标报价计算出得分A；</w:t>
      </w:r>
    </w:p>
    <w:p w14:paraId="0642C069">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（2）按本章第2.2.4（2）目规定的评审因素和分值对技术标计算出得分B；</w:t>
      </w:r>
    </w:p>
    <w:p w14:paraId="66CE2625">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（3）按本章第2.2.4（3）目规定的评审因素和分值对综合标计算出得分C；</w:t>
      </w:r>
    </w:p>
    <w:p w14:paraId="3658B073">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3.2.2</w:t>
      </w:r>
      <w:r>
        <w:rPr>
          <w:rFonts w:hint="eastAsia" w:ascii="宋体" w:hAnsi="宋体" w:eastAsia="宋体" w:cs="宋体"/>
          <w:szCs w:val="22"/>
          <w:lang w:eastAsia="zh-CN"/>
        </w:rPr>
        <w:t xml:space="preserve"> </w:t>
      </w:r>
      <w:r>
        <w:rPr>
          <w:rFonts w:hint="eastAsia" w:ascii="宋体" w:hAnsi="宋体" w:eastAsia="宋体" w:cs="宋体"/>
          <w:szCs w:val="22"/>
        </w:rPr>
        <w:t>评分分值计算保留小数点后两位，小数点后第三位“四舍五入”。</w:t>
      </w:r>
    </w:p>
    <w:p w14:paraId="7C4FA51E">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szCs w:val="22"/>
        </w:rPr>
        <w:t>3.2.3</w:t>
      </w:r>
      <w:r>
        <w:rPr>
          <w:rFonts w:hint="eastAsia" w:ascii="宋体" w:hAnsi="宋体" w:eastAsia="宋体" w:cs="宋体"/>
          <w:szCs w:val="22"/>
          <w:lang w:eastAsia="zh-CN"/>
        </w:rPr>
        <w:t xml:space="preserve"> </w:t>
      </w:r>
      <w:r>
        <w:rPr>
          <w:rFonts w:hint="eastAsia" w:ascii="宋体" w:hAnsi="宋体" w:eastAsia="宋体" w:cs="宋体"/>
          <w:szCs w:val="22"/>
        </w:rPr>
        <w:t>投标人得分=A+B+C。</w:t>
      </w:r>
    </w:p>
    <w:p w14:paraId="7A2CC78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3.2.</w:t>
      </w:r>
      <w:r>
        <w:rPr>
          <w:rFonts w:hint="eastAsia" w:ascii="宋体" w:hAnsi="宋体" w:eastAsia="宋体" w:cs="宋体"/>
          <w:color w:val="auto"/>
          <w:spacing w:val="0"/>
          <w:kern w:val="0"/>
          <w:position w:val="0"/>
          <w:sz w:val="21"/>
          <w:szCs w:val="21"/>
          <w:highlight w:val="none"/>
          <w:lang w:val="en-US" w:eastAsia="zh-CN"/>
        </w:rPr>
        <w:t xml:space="preserve">4 </w:t>
      </w:r>
      <w:r>
        <w:rPr>
          <w:rFonts w:hint="eastAsia" w:ascii="宋体" w:hAnsi="宋体" w:eastAsia="宋体" w:cs="宋体"/>
          <w:color w:val="auto"/>
          <w:spacing w:val="0"/>
          <w:kern w:val="0"/>
          <w:position w:val="0"/>
          <w:sz w:val="21"/>
          <w:szCs w:val="21"/>
          <w:highlight w:val="none"/>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67BE4F59">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54" w:name="_Toc144974575"/>
      <w:bookmarkStart w:id="455" w:name="_Toc23838"/>
      <w:bookmarkStart w:id="456" w:name="_Toc152045607"/>
      <w:bookmarkStart w:id="457" w:name="_Toc14284"/>
      <w:bookmarkStart w:id="458" w:name="_Toc921"/>
      <w:bookmarkStart w:id="459" w:name="_Toc21762"/>
      <w:bookmarkStart w:id="460" w:name="_Toc23905"/>
      <w:bookmarkStart w:id="461" w:name="_Toc13959"/>
      <w:bookmarkStart w:id="462" w:name="_Toc16019"/>
      <w:bookmarkStart w:id="463" w:name="_Toc13922"/>
      <w:bookmarkStart w:id="464" w:name="_Toc2030"/>
      <w:bookmarkStart w:id="465" w:name="_Toc13845"/>
      <w:bookmarkStart w:id="466" w:name="_Toc11013"/>
      <w:bookmarkStart w:id="467" w:name="_Toc392"/>
      <w:bookmarkStart w:id="468" w:name="_Toc10524"/>
      <w:bookmarkStart w:id="469" w:name="_Toc247514031"/>
      <w:bookmarkStart w:id="470" w:name="_Toc2781"/>
      <w:bookmarkStart w:id="471" w:name="_Toc247527632"/>
      <w:bookmarkStart w:id="472" w:name="_Toc410312115"/>
      <w:bookmarkStart w:id="473" w:name="_Toc2512"/>
      <w:bookmarkStart w:id="474" w:name="_Toc28102"/>
      <w:bookmarkStart w:id="475" w:name="_Toc152042385"/>
      <w:bookmarkStart w:id="476" w:name="_Toc4498"/>
      <w:bookmarkStart w:id="477" w:name="_Toc31828"/>
      <w:r>
        <w:rPr>
          <w:rFonts w:hint="eastAsia" w:ascii="宋体" w:hAnsi="宋体" w:eastAsia="宋体" w:cs="宋体"/>
          <w:b/>
          <w:bCs/>
          <w:color w:val="auto"/>
          <w:spacing w:val="0"/>
          <w:position w:val="0"/>
          <w:sz w:val="21"/>
          <w:szCs w:val="21"/>
          <w:highlight w:val="none"/>
        </w:rPr>
        <w:t>3.3投标文件的澄清</w:t>
      </w:r>
      <w:bookmarkEnd w:id="454"/>
      <w:r>
        <w:rPr>
          <w:rFonts w:hint="eastAsia" w:ascii="宋体" w:hAnsi="宋体" w:eastAsia="宋体" w:cs="宋体"/>
          <w:b/>
          <w:bCs/>
          <w:color w:val="auto"/>
          <w:spacing w:val="0"/>
          <w:position w:val="0"/>
          <w:sz w:val="21"/>
          <w:szCs w:val="21"/>
          <w:highlight w:val="none"/>
        </w:rPr>
        <w:t>和补正</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2B1C32CF">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3507FC55">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3.3.2澄清、说明和补正不得改变投标文件的实质性内容。投标人的书面澄清、说明和补正属于投标文件的组成部分。</w:t>
      </w:r>
    </w:p>
    <w:p w14:paraId="0D85498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3.3.3评标委员会对投标人提交的澄清、说明或补正有疑问的，可以要求投标人进一步澄清、说明或补正，直至满足评标委员会的要求。</w:t>
      </w:r>
    </w:p>
    <w:p w14:paraId="68F32C81">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78" w:name="_Toc23625"/>
      <w:bookmarkStart w:id="479" w:name="_Toc11846"/>
      <w:bookmarkStart w:id="480" w:name="_Toc19520"/>
      <w:bookmarkStart w:id="481" w:name="_Toc5419"/>
      <w:bookmarkStart w:id="482" w:name="_Toc1837"/>
      <w:bookmarkStart w:id="483" w:name="_Toc9541"/>
      <w:r>
        <w:rPr>
          <w:rFonts w:hint="eastAsia" w:ascii="宋体" w:hAnsi="宋体" w:eastAsia="宋体" w:cs="宋体"/>
          <w:b/>
          <w:bCs/>
          <w:color w:val="auto"/>
          <w:spacing w:val="0"/>
          <w:position w:val="0"/>
          <w:sz w:val="21"/>
          <w:szCs w:val="21"/>
          <w:highlight w:val="none"/>
        </w:rPr>
        <w:t>3.4书面决议</w:t>
      </w:r>
      <w:bookmarkEnd w:id="478"/>
      <w:bookmarkEnd w:id="479"/>
      <w:bookmarkEnd w:id="480"/>
      <w:bookmarkEnd w:id="481"/>
      <w:bookmarkEnd w:id="482"/>
      <w:bookmarkEnd w:id="483"/>
    </w:p>
    <w:p w14:paraId="5674767E">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3.4.1评标委员会评审时，出现下列情形之一的，应当由评标委员会全体成员表决，并形成书面决议：</w:t>
      </w:r>
    </w:p>
    <w:p w14:paraId="2747639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（一）评标委员会否决投标人投标；</w:t>
      </w:r>
    </w:p>
    <w:p w14:paraId="1E0CD7A2">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（二）电子开评标系统对不同投标人的电子投标文件做出雷同性提示或预警；</w:t>
      </w:r>
    </w:p>
    <w:p w14:paraId="58308F2B">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（三）评标委员会修正投标文件的错误，但招标文件不允许修正的除外；</w:t>
      </w:r>
    </w:p>
    <w:p w14:paraId="11FC442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（四）对招标文件中所载事项争议内容的释疑，但释疑不得改变招标文件的实质性内容。</w:t>
      </w:r>
    </w:p>
    <w:p w14:paraId="6C16A82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2E94130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3.4.2评标委员会进行表决的，应当按照下列程序进行：</w:t>
      </w:r>
    </w:p>
    <w:p w14:paraId="160FB761">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（一）评标委员会成员分别陈述意见；</w:t>
      </w:r>
    </w:p>
    <w:p w14:paraId="7D34C28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（二）集体讨论；</w:t>
      </w:r>
    </w:p>
    <w:p w14:paraId="43804BA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（三）评标委员会成员按照记名投票的方式进行表决，不得弃权；</w:t>
      </w:r>
    </w:p>
    <w:p w14:paraId="4B95192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（四）按照少数服从多数原则形成最终决议。</w:t>
      </w:r>
    </w:p>
    <w:p w14:paraId="23ED923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评标委员会成员的个人意见以及评标委员会最终决议，应当如实记入评标报告。决议不得违反</w:t>
      </w:r>
      <w:r>
        <w:rPr>
          <w:rFonts w:hint="eastAsia" w:ascii="宋体" w:hAnsi="宋体" w:eastAsia="宋体" w:cs="宋体"/>
          <w:color w:val="auto"/>
          <w:spacing w:val="0"/>
          <w:kern w:val="0"/>
          <w:position w:val="0"/>
          <w:sz w:val="21"/>
          <w:szCs w:val="21"/>
          <w:highlight w:val="none"/>
          <w:lang w:eastAsia="zh-CN"/>
        </w:rPr>
        <w:t>法律法规</w:t>
      </w:r>
      <w:r>
        <w:rPr>
          <w:rFonts w:hint="eastAsia" w:ascii="宋体" w:hAnsi="宋体" w:eastAsia="宋体" w:cs="宋体"/>
          <w:color w:val="auto"/>
          <w:spacing w:val="0"/>
          <w:kern w:val="0"/>
          <w:position w:val="0"/>
          <w:sz w:val="21"/>
          <w:szCs w:val="21"/>
          <w:highlight w:val="none"/>
        </w:rPr>
        <w:t>、规章以及招标文件的规定。</w:t>
      </w:r>
    </w:p>
    <w:p w14:paraId="2725853A">
      <w:pPr>
        <w:keepNext w:val="0"/>
        <w:keepLines w:val="0"/>
        <w:pageBreakBefore w:val="0"/>
        <w:widowControl/>
        <w:kinsoku/>
        <w:wordWrap w:val="0"/>
        <w:overflowPunct/>
        <w:topLinePunct w:val="0"/>
        <w:autoSpaceDE/>
        <w:autoSpaceDN/>
        <w:bidi w:val="0"/>
        <w:adjustRightInd/>
        <w:snapToGrid/>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bookmarkStart w:id="484" w:name="_Toc8856"/>
      <w:bookmarkStart w:id="485" w:name="_Toc28989"/>
      <w:bookmarkStart w:id="486" w:name="_Toc16184"/>
      <w:bookmarkStart w:id="487" w:name="_Toc11084"/>
      <w:bookmarkStart w:id="488" w:name="_Toc20133"/>
      <w:bookmarkStart w:id="489" w:name="_Toc21370"/>
      <w:r>
        <w:rPr>
          <w:rFonts w:hint="eastAsia" w:ascii="宋体" w:hAnsi="宋体" w:eastAsia="宋体" w:cs="宋体"/>
          <w:b/>
          <w:bCs/>
          <w:color w:val="auto"/>
          <w:spacing w:val="0"/>
          <w:position w:val="0"/>
          <w:sz w:val="21"/>
          <w:szCs w:val="21"/>
          <w:highlight w:val="none"/>
        </w:rPr>
        <w:t>3.5评标结果</w:t>
      </w:r>
      <w:bookmarkEnd w:id="484"/>
      <w:bookmarkEnd w:id="485"/>
      <w:bookmarkEnd w:id="486"/>
      <w:bookmarkEnd w:id="487"/>
      <w:bookmarkEnd w:id="488"/>
      <w:bookmarkEnd w:id="489"/>
    </w:p>
    <w:p w14:paraId="688062C9">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3.5.1评标完成后，评标委员会应当出具书面评标报告，推荐</w:t>
      </w:r>
      <w:r>
        <w:rPr>
          <w:rFonts w:hint="eastAsia" w:ascii="宋体" w:hAnsi="宋体" w:eastAsia="宋体" w:cs="宋体"/>
          <w:color w:val="auto"/>
          <w:spacing w:val="0"/>
          <w:kern w:val="0"/>
          <w:position w:val="0"/>
          <w:sz w:val="21"/>
          <w:szCs w:val="21"/>
          <w:highlight w:val="none"/>
          <w:lang w:eastAsia="zh-CN"/>
        </w:rPr>
        <w:t>中标候选人</w:t>
      </w:r>
      <w:r>
        <w:rPr>
          <w:rFonts w:hint="eastAsia" w:ascii="宋体" w:hAnsi="宋体" w:eastAsia="宋体" w:cs="宋体"/>
          <w:color w:val="auto"/>
          <w:spacing w:val="0"/>
          <w:kern w:val="0"/>
          <w:position w:val="0"/>
          <w:sz w:val="21"/>
          <w:szCs w:val="21"/>
          <w:highlight w:val="none"/>
        </w:rPr>
        <w:t>。</w:t>
      </w:r>
    </w:p>
    <w:p w14:paraId="5974D155">
      <w:pPr>
        <w:keepNext w:val="0"/>
        <w:keepLines w:val="0"/>
        <w:pageBreakBefore w:val="0"/>
        <w:widowControl w:val="0"/>
        <w:kinsoku/>
        <w:wordWrap w:val="0"/>
        <w:overflowPunct/>
        <w:topLinePunct w:val="0"/>
        <w:autoSpaceDE/>
        <w:autoSpaceDN/>
        <w:bidi w:val="0"/>
        <w:adjustRightInd/>
        <w:snapToGrid/>
        <w:spacing w:beforeLines="0" w:afterLines="0" w:line="360" w:lineRule="auto"/>
        <w:ind w:right="0" w:rightChars="0"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color w:val="auto"/>
          <w:spacing w:val="0"/>
          <w:kern w:val="0"/>
          <w:position w:val="0"/>
          <w:sz w:val="21"/>
          <w:szCs w:val="21"/>
          <w:highlight w:val="none"/>
          <w:lang w:val="en-US" w:eastAsia="zh-CN" w:bidi="ar-SA"/>
        </w:rPr>
        <w:t>3.5.2评标委员会完成评标后，应当向招标人提交书面评标报告。</w:t>
      </w:r>
      <w:r>
        <w:rPr>
          <w:rFonts w:hint="eastAsia" w:ascii="宋体" w:hAnsi="宋体" w:eastAsia="宋体" w:cs="宋体"/>
          <w:b/>
          <w:color w:val="auto"/>
          <w:sz w:val="21"/>
          <w:szCs w:val="21"/>
          <w:highlight w:val="none"/>
        </w:rPr>
        <w:br w:type="page"/>
      </w:r>
    </w:p>
    <w:p w14:paraId="754D50BA">
      <w:pPr>
        <w:widowControl/>
        <w:adjustRightInd w:val="0"/>
        <w:snapToGrid w:val="0"/>
        <w:spacing w:before="0" w:beforeLines="0" w:after="0" w:afterLines="0" w:line="360" w:lineRule="auto"/>
        <w:ind w:firstLine="422" w:firstLineChars="200"/>
        <w:jc w:val="center"/>
        <w:outlineLvl w:val="1"/>
        <w:rPr>
          <w:rFonts w:hint="eastAsia" w:ascii="宋体" w:hAnsi="宋体" w:eastAsia="宋体" w:cs="宋体"/>
          <w:b/>
          <w:color w:val="auto"/>
          <w:sz w:val="21"/>
          <w:szCs w:val="21"/>
          <w:highlight w:val="none"/>
          <w:lang w:eastAsia="zh-CN"/>
        </w:rPr>
      </w:pPr>
      <w:bookmarkStart w:id="490" w:name="_Toc5817"/>
      <w:bookmarkStart w:id="491" w:name="_Toc6084"/>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定标办法</w:t>
      </w:r>
      <w:bookmarkEnd w:id="490"/>
      <w:bookmarkEnd w:id="491"/>
      <w:r>
        <w:rPr>
          <w:rFonts w:hint="eastAsia" w:ascii="宋体" w:hAnsi="宋体" w:eastAsia="宋体" w:cs="宋体"/>
          <w:b/>
          <w:color w:val="auto"/>
          <w:sz w:val="21"/>
          <w:szCs w:val="21"/>
          <w:highlight w:val="none"/>
          <w:lang w:eastAsia="zh-CN"/>
        </w:rPr>
        <w:t>（核查随机法）</w:t>
      </w:r>
    </w:p>
    <w:p w14:paraId="70F8F782">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92" w:name="_Toc4957"/>
      <w:bookmarkStart w:id="493" w:name="_Toc849"/>
      <w:bookmarkStart w:id="494" w:name="_Toc23030"/>
      <w:bookmarkStart w:id="495" w:name="_Toc16679"/>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bookmarkEnd w:id="492"/>
      <w:bookmarkEnd w:id="493"/>
      <w:bookmarkEnd w:id="494"/>
      <w:bookmarkEnd w:id="495"/>
    </w:p>
    <w:p w14:paraId="6FCB165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bookmarkStart w:id="496" w:name="OLE_LINK41"/>
      <w:r>
        <w:rPr>
          <w:rFonts w:hint="eastAsia" w:ascii="宋体" w:hAnsi="宋体" w:eastAsia="宋体" w:cs="宋体"/>
          <w:color w:val="auto"/>
          <w:sz w:val="21"/>
          <w:szCs w:val="21"/>
          <w:highlight w:val="none"/>
        </w:rPr>
        <w:t>本次定标办法的制定依据下列文件进行：</w:t>
      </w:r>
    </w:p>
    <w:p w14:paraId="3B1E63C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7BCF36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p>
    <w:p w14:paraId="57328AF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26CCD80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323254D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B56A8C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70F0AA3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60D5E63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bookmarkEnd w:id="496"/>
    <w:p w14:paraId="30E0AED0">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497" w:name="_Toc29090"/>
      <w:bookmarkStart w:id="498" w:name="_Toc14808"/>
      <w:bookmarkStart w:id="499" w:name="_Toc22184"/>
      <w:bookmarkStart w:id="500" w:name="_Toc25258"/>
      <w:bookmarkStart w:id="501" w:name="_Toc9674"/>
      <w:bookmarkStart w:id="502" w:name="_Toc28603"/>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bookmarkEnd w:id="497"/>
      <w:bookmarkEnd w:id="498"/>
      <w:bookmarkEnd w:id="499"/>
      <w:bookmarkEnd w:id="500"/>
      <w:bookmarkEnd w:id="501"/>
      <w:bookmarkEnd w:id="502"/>
    </w:p>
    <w:p w14:paraId="2C3DCAD5">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514B51C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bookmarkStart w:id="503" w:name="_Toc31048"/>
    </w:p>
    <w:p w14:paraId="7AD2065A">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504" w:name="_Toc7704"/>
      <w:bookmarkStart w:id="505" w:name="_Toc16772"/>
      <w:bookmarkStart w:id="506" w:name="_Toc16613"/>
      <w:bookmarkStart w:id="507" w:name="_Toc25602"/>
      <w:bookmarkStart w:id="508" w:name="_Toc24063"/>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bookmarkEnd w:id="503"/>
      <w:bookmarkEnd w:id="504"/>
      <w:bookmarkEnd w:id="505"/>
      <w:bookmarkEnd w:id="506"/>
      <w:bookmarkEnd w:id="507"/>
      <w:bookmarkEnd w:id="508"/>
    </w:p>
    <w:p w14:paraId="0757519C">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b w:val="0"/>
          <w:bCs w:val="0"/>
          <w:color w:val="auto"/>
          <w:sz w:val="21"/>
          <w:szCs w:val="21"/>
          <w:highlight w:val="none"/>
        </w:rPr>
      </w:pPr>
      <w:bookmarkStart w:id="509" w:name="OLE_LINK43"/>
      <w:r>
        <w:rPr>
          <w:rFonts w:hint="eastAsia" w:ascii="宋体" w:hAnsi="宋体" w:eastAsia="宋体" w:cs="宋体"/>
          <w:b w:val="0"/>
          <w:bCs w:val="0"/>
          <w:color w:val="auto"/>
          <w:sz w:val="21"/>
          <w:szCs w:val="21"/>
          <w:highlight w:val="none"/>
        </w:rPr>
        <w:t>本项目定标方法采用核查随机法进行定标。</w:t>
      </w:r>
    </w:p>
    <w:p w14:paraId="591F412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bookmarkEnd w:id="509"/>
    <w:p w14:paraId="170C5E43">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510" w:name="_Toc12956"/>
      <w:bookmarkStart w:id="511" w:name="_Toc31431"/>
      <w:bookmarkStart w:id="512" w:name="_Toc25938"/>
      <w:bookmarkStart w:id="513" w:name="_Toc23309"/>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bookmarkEnd w:id="510"/>
      <w:bookmarkEnd w:id="511"/>
      <w:bookmarkEnd w:id="512"/>
      <w:bookmarkEnd w:id="513"/>
    </w:p>
    <w:p w14:paraId="74FD678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5801551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定标委员会成员客观、公正、独立地履行职责，遵守职业道德，对所提出的评审意见署名并承担个人责任，不得委托他人代替定标。</w:t>
      </w:r>
    </w:p>
    <w:p w14:paraId="36996FA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有下列情况之一的，不得担任定标委员会成员：</w:t>
      </w:r>
    </w:p>
    <w:p w14:paraId="36CBE03A">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1.与中标候选人或中标候选人主要负责人有近亲属关系或有经济利益关系的，可能影响定标公正的；</w:t>
      </w:r>
    </w:p>
    <w:p w14:paraId="7E12A36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2.曾因在招标投标有关活动中从事违法行为而受过行政处罚或刑事处罚的；</w:t>
      </w:r>
    </w:p>
    <w:p w14:paraId="2DF5442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3.中标候选人的在职人员或招标项目代理机构的在职人员。</w:t>
      </w:r>
    </w:p>
    <w:p w14:paraId="69917D0D">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514" w:name="_Toc25727"/>
      <w:bookmarkStart w:id="515" w:name="_Toc2644"/>
      <w:bookmarkStart w:id="516" w:name="_Toc9111"/>
      <w:bookmarkStart w:id="517" w:name="_Toc27202"/>
      <w:bookmarkStart w:id="518" w:name="_Toc26714"/>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bookmarkEnd w:id="514"/>
      <w:bookmarkEnd w:id="515"/>
      <w:bookmarkEnd w:id="516"/>
      <w:bookmarkEnd w:id="517"/>
      <w:bookmarkEnd w:id="518"/>
    </w:p>
    <w:p w14:paraId="0EF2AFAB">
      <w:pPr>
        <w:keepNext w:val="0"/>
        <w:keepLines w:val="0"/>
        <w:pageBreakBefore w:val="0"/>
        <w:widowControl w:val="0"/>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Cs w:val="21"/>
          <w:highlight w:val="none"/>
        </w:rPr>
        <w:t>定标委员会将对中标候选人进行定标核查，并形成核查报告。核查内容包括：</w:t>
      </w:r>
    </w:p>
    <w:p w14:paraId="0C2E1F19">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单位负责人为同一人或者存在控股、管理关系的不同单位，不得同时参加本项目投标（提供“国家企业信用信息公示系统”中完整的报告）。</w:t>
      </w:r>
    </w:p>
    <w:p w14:paraId="2837EDB2">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（2）营业执照；</w:t>
      </w:r>
    </w:p>
    <w:p w14:paraId="55C9EBF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项目负责人证书；</w:t>
      </w:r>
    </w:p>
    <w:p w14:paraId="3442917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（4）相关人员社保证明；</w:t>
      </w:r>
    </w:p>
    <w:p w14:paraId="1665698A">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（5）财务状况；</w:t>
      </w:r>
    </w:p>
    <w:p w14:paraId="65AC489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（6）业绩；</w:t>
      </w:r>
    </w:p>
    <w:p w14:paraId="02DC608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（7）招标人认为需要核查及核评的其他内容。</w:t>
      </w:r>
    </w:p>
    <w:p w14:paraId="4BCA039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3BF42F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核查内容不得设置不合理限制和隐性壁垒。招标文件中没有规定的核查标准和方法不得作为定标核查的依据，不得在定标过程中新增定标条件和要求。</w:t>
      </w:r>
    </w:p>
    <w:p w14:paraId="3179E841">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定标委员会经核查发现中标候选人确有弄虚作假、串通投标等情形的，应当否决相应中标候选人的中标资格，并及时向行政监督部门报告。</w:t>
      </w:r>
      <w:bookmarkStart w:id="519" w:name="_Toc23939"/>
      <w:bookmarkStart w:id="520" w:name="_Toc11203"/>
      <w:bookmarkStart w:id="521" w:name="_Toc18959"/>
      <w:bookmarkStart w:id="522" w:name="_Toc18001"/>
      <w:bookmarkStart w:id="523" w:name="_Toc5648"/>
      <w:bookmarkStart w:id="524" w:name="_Toc18790"/>
    </w:p>
    <w:p w14:paraId="332423BD">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bookmarkEnd w:id="519"/>
      <w:bookmarkEnd w:id="520"/>
      <w:bookmarkEnd w:id="521"/>
      <w:bookmarkEnd w:id="522"/>
      <w:bookmarkEnd w:id="523"/>
      <w:bookmarkEnd w:id="524"/>
      <w:r>
        <w:rPr>
          <w:rFonts w:hint="eastAsia" w:ascii="宋体" w:hAnsi="宋体" w:eastAsia="宋体" w:cs="宋体"/>
          <w:b/>
          <w:bCs/>
          <w:color w:val="auto"/>
          <w:sz w:val="21"/>
          <w:szCs w:val="21"/>
          <w:highlight w:val="none"/>
          <w:lang w:val="en-US" w:eastAsia="zh-CN"/>
        </w:rPr>
        <w:t>会议</w:t>
      </w:r>
    </w:p>
    <w:p w14:paraId="372D59B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定标委员会将通过</w:t>
      </w:r>
      <w:r>
        <w:rPr>
          <w:rFonts w:hint="eastAsia" w:ascii="宋体" w:hAnsi="宋体" w:eastAsia="宋体" w:cs="宋体"/>
          <w:b/>
          <w:bCs/>
          <w:color w:val="auto"/>
          <w:kern w:val="0"/>
          <w:sz w:val="21"/>
          <w:szCs w:val="21"/>
          <w:highlight w:val="none"/>
          <w:lang w:val="en-US" w:eastAsia="zh-CN" w:bidi="ar-SA"/>
        </w:rPr>
        <w:t>核查随机法</w:t>
      </w:r>
      <w:r>
        <w:rPr>
          <w:rFonts w:hint="eastAsia" w:ascii="宋体" w:hAnsi="宋体" w:eastAsia="宋体" w:cs="宋体"/>
          <w:color w:val="auto"/>
          <w:kern w:val="0"/>
          <w:sz w:val="21"/>
          <w:szCs w:val="21"/>
          <w:highlight w:val="none"/>
          <w:lang w:val="en-US" w:eastAsia="zh-CN" w:bidi="ar-SA"/>
        </w:rPr>
        <w:t>进行定标。</w:t>
      </w:r>
    </w:p>
    <w:p w14:paraId="327EC37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5638E1F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会议按以下程序进行:</w:t>
      </w:r>
    </w:p>
    <w:p w14:paraId="4C11D28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1、在定标现场放置标注为“1”、“2”的2组自然数代码球。</w:t>
      </w:r>
    </w:p>
    <w:p w14:paraId="2B927A1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3F2769C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3、第二轮随机确定抽取顺序：在抽取箱放入标有从1到N自然数的乒乓球（N为经评审合格的中标候选人数），由中标候选人抽取代码球，代码球上的数字对应为相应中标候选人。</w:t>
      </w:r>
    </w:p>
    <w:p w14:paraId="117CB49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4、第三轮随机选取中标人：在抽取箱内放入N个代码球，定标委员会组长从中随机抽取1个代码球，抽中代码球对应的中标候选人即为中标人。</w:t>
      </w:r>
    </w:p>
    <w:p w14:paraId="7453DDA8">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Times New Roman" w:hAnsi="宋体" w:eastAsia="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bookmarkStart w:id="525" w:name="_Toc11373"/>
      <w:bookmarkStart w:id="526" w:name="_Toc16424"/>
      <w:bookmarkStart w:id="527" w:name="_Toc23431"/>
      <w:bookmarkStart w:id="528" w:name="_Toc23497"/>
      <w:bookmarkStart w:id="529" w:name="_Toc14587"/>
      <w:bookmarkStart w:id="530" w:name="_Toc27971"/>
      <w:bookmarkStart w:id="531" w:name="_Toc21472"/>
      <w:bookmarkStart w:id="532" w:name="_Toc23427"/>
      <w:bookmarkStart w:id="533" w:name="_Toc9183"/>
    </w:p>
    <w:p w14:paraId="0CD043DE">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bookmarkEnd w:id="525"/>
      <w:bookmarkEnd w:id="526"/>
      <w:bookmarkEnd w:id="527"/>
      <w:bookmarkEnd w:id="528"/>
      <w:bookmarkEnd w:id="529"/>
    </w:p>
    <w:p w14:paraId="6DFF49C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定标委员会将按照招标文件中明确的定标原则、方法和程序，在中标候选人中确定中标人，并形成书面定标报告。</w:t>
      </w:r>
    </w:p>
    <w:p w14:paraId="0A571A1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定标报告应当包括定标时间、定标地点、定标委员会成员名单、定标原则、定标方法、择优因素、定标程序及定标结果等内容。</w:t>
      </w:r>
    </w:p>
    <w:p w14:paraId="637748F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招标人在定标工作完成后3日内发布中标结果公示，公示期不少于3日。中标结果公示应当载明定标时间、定标地点、定标方法、中标人名称、中标价格、质量、</w:t>
      </w:r>
      <w:r>
        <w:rPr>
          <w:rFonts w:hint="eastAsia" w:ascii="宋体" w:hAnsi="宋体" w:eastAsia="宋体" w:cs="宋体"/>
          <w:color w:val="auto"/>
          <w:sz w:val="21"/>
          <w:szCs w:val="21"/>
          <w:highlight w:val="none"/>
          <w:lang w:val="en-US" w:eastAsia="zh-CN"/>
        </w:rPr>
        <w:t>供货期（服务期）</w:t>
      </w:r>
      <w:r>
        <w:rPr>
          <w:rFonts w:hint="eastAsia" w:ascii="宋体" w:hAnsi="宋体" w:eastAsia="宋体" w:cs="宋体"/>
          <w:color w:val="auto"/>
          <w:sz w:val="21"/>
          <w:szCs w:val="21"/>
          <w:highlight w:val="none"/>
        </w:rPr>
        <w:t>、资格条件、项目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信息，中标候选人的核查、考察、比较优势，核查未通过的中标候选人名单和原因，以及异议和投诉渠道等内容。对中标结果公示有异议的，应当在公示期内向招标人提出。</w:t>
      </w:r>
      <w:bookmarkStart w:id="534" w:name="_Toc9685"/>
      <w:bookmarkStart w:id="535" w:name="_Toc4409"/>
      <w:bookmarkStart w:id="536" w:name="_Toc15980"/>
    </w:p>
    <w:p w14:paraId="60D6918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bookmarkEnd w:id="530"/>
      <w:bookmarkEnd w:id="531"/>
      <w:bookmarkEnd w:id="532"/>
      <w:bookmarkEnd w:id="533"/>
      <w:bookmarkEnd w:id="534"/>
      <w:bookmarkEnd w:id="535"/>
      <w:bookmarkEnd w:id="536"/>
    </w:p>
    <w:p w14:paraId="4A2222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（1）确定的中标人经公示后无异议，可以发放《中标通知书》。</w:t>
      </w:r>
    </w:p>
    <w:p w14:paraId="5B6EF1C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66807BB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594B534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48E316F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2883635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648A02D0">
      <w:pPr>
        <w:widowControl/>
        <w:spacing w:beforeLines="0" w:afterLines="0" w:line="240" w:lineRule="auto"/>
        <w:ind w:firstLine="420" w:firstLineChars="200"/>
        <w:jc w:val="left"/>
        <w:rPr>
          <w:rFonts w:hint="eastAsia" w:ascii="宋体" w:hAnsi="宋体" w:eastAsia="宋体" w:cs="宋体"/>
          <w:sz w:val="44"/>
          <w:szCs w:val="44"/>
          <w:highlight w:val="none"/>
        </w:rPr>
      </w:pPr>
      <w:r>
        <w:rPr>
          <w:rFonts w:hint="eastAsia" w:ascii="宋体" w:hAnsi="宋体" w:eastAsia="宋体" w:cs="宋体"/>
          <w:color w:val="auto"/>
          <w:sz w:val="21"/>
          <w:szCs w:val="21"/>
          <w:highlight w:val="none"/>
        </w:rPr>
        <w:t>(三)招标文件规定的其他情形。</w:t>
      </w:r>
      <w:r>
        <w:rPr>
          <w:rFonts w:hint="eastAsia" w:ascii="宋体" w:hAnsi="宋体" w:eastAsia="宋体" w:cs="宋体"/>
          <w:sz w:val="44"/>
          <w:szCs w:val="44"/>
          <w:highlight w:val="none"/>
        </w:rPr>
        <w:br w:type="page"/>
      </w:r>
    </w:p>
    <w:bookmarkEnd w:id="308"/>
    <w:bookmarkEnd w:id="309"/>
    <w:bookmarkEnd w:id="310"/>
    <w:bookmarkEnd w:id="311"/>
    <w:bookmarkEnd w:id="312"/>
    <w:bookmarkEnd w:id="313"/>
    <w:bookmarkEnd w:id="314"/>
    <w:bookmarkEnd w:id="315"/>
    <w:bookmarkEnd w:id="316"/>
    <w:bookmarkEnd w:id="317"/>
    <w:bookmarkEnd w:id="318"/>
    <w:p w14:paraId="7527F36A">
      <w:pPr>
        <w:widowControl/>
        <w:numPr>
          <w:ilvl w:val="0"/>
          <w:numId w:val="0"/>
        </w:numPr>
        <w:spacing w:beforeLines="0" w:afterLines="0" w:line="360" w:lineRule="auto"/>
        <w:jc w:val="center"/>
        <w:outlineLvl w:val="0"/>
        <w:rPr>
          <w:rFonts w:hint="eastAsia" w:ascii="宋体" w:hAnsi="宋体" w:eastAsia="宋体" w:cs="宋体"/>
          <w:sz w:val="44"/>
          <w:szCs w:val="44"/>
          <w:highlight w:val="none"/>
        </w:rPr>
      </w:pPr>
      <w:bookmarkStart w:id="537" w:name="_Toc25049"/>
      <w:bookmarkStart w:id="538" w:name="_Toc19849"/>
      <w:bookmarkStart w:id="539" w:name="_Toc15648"/>
      <w:bookmarkStart w:id="540" w:name="_Toc760"/>
      <w:bookmarkStart w:id="541" w:name="_Toc54550753"/>
      <w:bookmarkStart w:id="542" w:name="_Toc19115"/>
      <w:bookmarkStart w:id="543" w:name="_Toc19376"/>
      <w:bookmarkStart w:id="544" w:name="_Toc534572285"/>
      <w:bookmarkStart w:id="545" w:name="_Toc62034471"/>
      <w:bookmarkStart w:id="546" w:name="_Toc27479"/>
      <w:bookmarkStart w:id="547" w:name="_Toc4130"/>
      <w:bookmarkStart w:id="548" w:name="_Toc91344941"/>
      <w:r>
        <w:rPr>
          <w:rFonts w:hint="eastAsia" w:ascii="宋体" w:hAnsi="宋体" w:eastAsia="宋体" w:cs="宋体"/>
          <w:b/>
          <w:bCs/>
          <w:sz w:val="32"/>
          <w:szCs w:val="32"/>
          <w:highlight w:val="none"/>
          <w:lang w:val="en-US" w:eastAsia="zh-CN"/>
        </w:rPr>
        <w:t>第四章 合同条款及格式</w:t>
      </w:r>
      <w:bookmarkEnd w:id="537"/>
      <w:bookmarkEnd w:id="538"/>
      <w:bookmarkEnd w:id="539"/>
      <w:bookmarkEnd w:id="540"/>
    </w:p>
    <w:p w14:paraId="17205810">
      <w:pPr>
        <w:widowControl/>
        <w:adjustRightInd w:val="0"/>
        <w:snapToGrid w:val="0"/>
        <w:spacing w:before="0" w:beforeLines="0" w:after="0" w:line="360" w:lineRule="auto"/>
        <w:ind w:firstLine="482" w:firstLineChars="200"/>
        <w:jc w:val="center"/>
        <w:outlineLvl w:val="9"/>
        <w:rPr>
          <w:rFonts w:hint="eastAsia" w:ascii="宋体" w:hAnsi="宋体" w:eastAsia="宋体" w:cs="宋体"/>
          <w:b/>
          <w:sz w:val="24"/>
          <w:szCs w:val="24"/>
          <w:highlight w:val="none"/>
        </w:rPr>
      </w:pPr>
      <w:bookmarkStart w:id="549" w:name="_Toc62034470"/>
      <w:bookmarkStart w:id="550" w:name="_Toc91344940"/>
      <w:bookmarkStart w:id="551" w:name="_Toc20372"/>
      <w:bookmarkStart w:id="552" w:name="_Toc27565"/>
      <w:bookmarkStart w:id="553" w:name="_Toc6207"/>
      <w:r>
        <w:rPr>
          <w:rFonts w:hint="eastAsia" w:ascii="宋体" w:hAnsi="宋体" w:eastAsia="宋体" w:cs="宋体"/>
          <w:b/>
          <w:sz w:val="24"/>
          <w:szCs w:val="24"/>
          <w:highlight w:val="none"/>
        </w:rPr>
        <w:t>第一节</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通用合同条款</w:t>
      </w:r>
      <w:bookmarkEnd w:id="549"/>
      <w:bookmarkEnd w:id="550"/>
      <w:bookmarkEnd w:id="551"/>
      <w:bookmarkEnd w:id="552"/>
      <w:bookmarkEnd w:id="553"/>
    </w:p>
    <w:p w14:paraId="6F34D7F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1.一般约定</w:t>
      </w:r>
      <w:bookmarkEnd w:id="541"/>
      <w:bookmarkEnd w:id="542"/>
      <w:bookmarkEnd w:id="543"/>
      <w:bookmarkEnd w:id="544"/>
      <w:bookmarkEnd w:id="545"/>
      <w:bookmarkEnd w:id="546"/>
      <w:bookmarkEnd w:id="547"/>
      <w:bookmarkEnd w:id="548"/>
    </w:p>
    <w:p w14:paraId="520F9F15">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54" w:name="_bookmark106"/>
      <w:bookmarkEnd w:id="554"/>
      <w:bookmarkStart w:id="555" w:name="_Toc9071"/>
      <w:bookmarkStart w:id="556" w:name="_Toc12116"/>
      <w:bookmarkStart w:id="557" w:name="_Toc18287"/>
      <w:r>
        <w:rPr>
          <w:rFonts w:hint="eastAsia" w:ascii="宋体" w:hAnsi="宋体" w:eastAsia="宋体" w:cs="宋体"/>
          <w:kern w:val="0"/>
          <w:sz w:val="21"/>
          <w:szCs w:val="21"/>
          <w:highlight w:val="none"/>
          <w:lang w:val="en-US" w:eastAsia="zh-CN" w:bidi="ar-SA"/>
        </w:rPr>
        <w:t>1.1  词语定义</w:t>
      </w:r>
      <w:bookmarkEnd w:id="555"/>
      <w:bookmarkEnd w:id="556"/>
      <w:bookmarkEnd w:id="557"/>
    </w:p>
    <w:p w14:paraId="1D2F97C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除专用合同条款另有约定外，合同中的下列词语应具有本款所赋予的含义。</w:t>
      </w:r>
    </w:p>
    <w:p w14:paraId="1F67EB43">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  合同</w:t>
      </w:r>
    </w:p>
    <w:p w14:paraId="54923BE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合同文件（或称合同）：指合同协议书、中标通知书、投标函、商务和技术偏差表、专用合同条款、通用合同条款、供货要求、分项报价表、中标设备技术性能指标的详细描述、 技术服务和质保期服务计划，以及其他构成合同组成部分的文件。</w:t>
      </w:r>
    </w:p>
    <w:p w14:paraId="6CDDDC8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1.1.1.2 合同协议书：指买方和卖方共同签署的合同协议书。</w:t>
      </w:r>
    </w:p>
    <w:p w14:paraId="689363F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 中标通知书：指买方通知卖方中标的函件。</w:t>
      </w:r>
    </w:p>
    <w:p w14:paraId="60B4EA66">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1.1.1.4 投标函：指由卖方填写并签署的，名为“投标函”的函件。</w:t>
      </w:r>
    </w:p>
    <w:p w14:paraId="24C5B99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1.1.1.5 商务和技术偏差表：指卖方投标文件中的商务和技术偏差表。</w:t>
      </w:r>
    </w:p>
    <w:p w14:paraId="62F2E99B">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1.1.1.6 供货要求：指合同文件中名为“供货要求”的文件。</w:t>
      </w:r>
    </w:p>
    <w:p w14:paraId="310CBC4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1.1.1.7 中标设备技术性能指标的详细描述：指卖方投标文件中的投标设备技术性能指标的详细描述。</w:t>
      </w:r>
    </w:p>
    <w:p w14:paraId="7BFE3A0E">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1.1.1.8 技术服务和质保期服务计划：指卖方投标文件中的技术服务和质保期服务计划。</w:t>
      </w:r>
    </w:p>
    <w:p w14:paraId="2944538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1.1.1.9 分项报价表：指卖方投标文件中的分项报价表。</w:t>
      </w:r>
    </w:p>
    <w:p w14:paraId="02D70B41">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1.1.1.10 其他合同文件：指经合同双方当事人确认构成合同文件的其他文件。</w:t>
      </w:r>
    </w:p>
    <w:p w14:paraId="7A737490">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1.1.2  合同当事人</w:t>
      </w:r>
    </w:p>
    <w:p w14:paraId="023E1AB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1.1.2.1 合同当事人：指买方和（或）卖方。</w:t>
      </w:r>
    </w:p>
    <w:p w14:paraId="31961A9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1.1.2.2 买方：指与卖方签订合同协议书，购买合同设备和技术服务和质保期服务的当事人，及其合法继承人。</w:t>
      </w:r>
    </w:p>
    <w:p w14:paraId="31095D79">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1.1.2.3 卖方：指与买方签订合同协议书，提供合同设备和技术服务和质保期服务的当事人，及其合法继承人。</w:t>
      </w:r>
    </w:p>
    <w:p w14:paraId="119C3F4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1.1.3  合同价格</w:t>
      </w:r>
    </w:p>
    <w:p w14:paraId="3AB73B5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1.1.3.1 签约合同价：是签订合同时合同协议书中写明的合同总金额。</w:t>
      </w:r>
    </w:p>
    <w:p w14:paraId="7DB6DEF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1.1.3.2 合同价格：指卖方按合同约定履行了全部合同义务后，买方应付给卖方的金额。</w:t>
      </w:r>
    </w:p>
    <w:p w14:paraId="18BCC2E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合同设备：指卖方按合同约定应向买方提供的设备、装置、备品、备件、易损易耗件、配套使用的软件或其他辅助电子应用程序及技术资料，或其中任何一部分。</w:t>
      </w:r>
    </w:p>
    <w:p w14:paraId="276EB7F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技术资料：指各种纸质及电子载体的与合同设备的设计、检验、安装、调试、考核、操作、维修以及保养等有关的技术指标、规格、图纸和说明文件。</w:t>
      </w:r>
    </w:p>
    <w:p w14:paraId="2005928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安装：指对合同设备进行的组装、连接以及根据需要将合同设备固定在施工场地内一定的位置上，使其就位并与相关设备、工程实现连接。</w:t>
      </w:r>
    </w:p>
    <w:p w14:paraId="5FCBDBCE">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调试：指在合同设备安装完成后，对合同设备所进行的调校和测试。</w:t>
      </w:r>
    </w:p>
    <w:p w14:paraId="15EB06FC">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考核：指在合同设备调试完成后，对合同设备进行的用于确定其是否达到合同约定的 技术性能考核指标的考核。</w:t>
      </w:r>
    </w:p>
    <w:p w14:paraId="79A8ED0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验收：指合同设备通过考核达到合同约定的技术性能考核指标后，买方作出接受合同设备的确认。</w:t>
      </w:r>
    </w:p>
    <w:p w14:paraId="1341F83D">
      <w:pPr>
        <w:widowControl w:val="0"/>
        <w:spacing w:beforeLines="0" w:after="0" w:afterLines="0" w:line="360" w:lineRule="auto"/>
        <w:ind w:left="0" w:right="0"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1.1.10</w:t>
      </w:r>
      <w:r>
        <w:rPr>
          <w:rFonts w:hint="eastAsia" w:ascii="宋体" w:hAnsi="宋体" w:eastAsia="宋体" w:cs="宋体"/>
          <w:spacing w:val="-6"/>
          <w:kern w:val="2"/>
          <w:sz w:val="21"/>
          <w:szCs w:val="21"/>
          <w:highlight w:val="none"/>
          <w:lang w:val="en-US" w:eastAsia="zh-CN" w:bidi="ar-SA"/>
        </w:rPr>
        <w:t xml:space="preserve"> 技术服务：指卖方按合同约定，在合同设备验收前，向买方提供的安装、调试服务，或者在由买方负责的安装、调试、考核中对买方进行的技术指导、协助、监督和培训等。</w:t>
      </w:r>
    </w:p>
    <w:p w14:paraId="0686C11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质量保证期：指合同设备验收后，卖方按合同约定保证合同设备适当、稳定运行，并负责消除合同设备故障的期限。</w:t>
      </w:r>
    </w:p>
    <w:p w14:paraId="143AEE7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1.1.12 </w:t>
      </w:r>
      <w:r>
        <w:rPr>
          <w:rFonts w:hint="eastAsia" w:ascii="宋体" w:hAnsi="宋体" w:eastAsia="宋体" w:cs="宋体"/>
          <w:spacing w:val="-7"/>
          <w:kern w:val="2"/>
          <w:sz w:val="21"/>
          <w:szCs w:val="21"/>
          <w:highlight w:val="none"/>
          <w:lang w:val="en-US" w:eastAsia="zh-CN" w:bidi="ar-SA"/>
        </w:rPr>
        <w:t>质保期服务：指在质量保证期内，卖方向买方提供的合同设备维护服务、咨询服务、</w:t>
      </w:r>
      <w:r>
        <w:rPr>
          <w:rFonts w:hint="eastAsia" w:ascii="宋体" w:hAnsi="宋体" w:eastAsia="宋体" w:cs="宋体"/>
          <w:kern w:val="2"/>
          <w:sz w:val="21"/>
          <w:szCs w:val="21"/>
          <w:highlight w:val="none"/>
          <w:lang w:val="en-US" w:eastAsia="zh-CN" w:bidi="ar-SA"/>
        </w:rPr>
        <w:t>技术指导、协助以及对出现故障的合同设备进行修理或更换的服务。</w:t>
      </w:r>
    </w:p>
    <w:p w14:paraId="63B03C4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1.1.13  工程</w:t>
      </w:r>
    </w:p>
    <w:p w14:paraId="6B990BE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工程：指在专用合同条款中指明的，调试运行合同设备的工程。</w:t>
      </w:r>
    </w:p>
    <w:p w14:paraId="282CA34B">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 xml:space="preserve">2 </w:t>
      </w:r>
      <w:r>
        <w:rPr>
          <w:rFonts w:hint="eastAsia" w:ascii="宋体" w:hAnsi="宋体" w:eastAsia="宋体" w:cs="宋体"/>
          <w:spacing w:val="-3"/>
          <w:kern w:val="2"/>
          <w:sz w:val="21"/>
          <w:szCs w:val="21"/>
          <w:highlight w:val="none"/>
          <w:lang w:val="en-US" w:eastAsia="zh-CN" w:bidi="ar-SA"/>
        </w:rPr>
        <w:t>施</w:t>
      </w:r>
      <w:r>
        <w:rPr>
          <w:rFonts w:hint="eastAsia" w:ascii="宋体" w:hAnsi="宋体" w:eastAsia="宋体" w:cs="宋体"/>
          <w:kern w:val="2"/>
          <w:sz w:val="21"/>
          <w:szCs w:val="21"/>
          <w:highlight w:val="none"/>
          <w:lang w:val="en-US" w:eastAsia="zh-CN" w:bidi="ar-SA"/>
        </w:rPr>
        <w:t>工</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kern w:val="2"/>
          <w:sz w:val="21"/>
          <w:szCs w:val="21"/>
          <w:highlight w:val="none"/>
          <w:lang w:val="en-US" w:eastAsia="zh-CN" w:bidi="ar-SA"/>
        </w:rPr>
        <w:t>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或</w:t>
      </w:r>
      <w:r>
        <w:rPr>
          <w:rFonts w:hint="eastAsia" w:ascii="宋体" w:hAnsi="宋体" w:eastAsia="宋体" w:cs="宋体"/>
          <w:spacing w:val="-3"/>
          <w:kern w:val="2"/>
          <w:sz w:val="21"/>
          <w:szCs w:val="21"/>
          <w:highlight w:val="none"/>
          <w:lang w:val="en-US" w:eastAsia="zh-CN" w:bidi="ar-SA"/>
        </w:rPr>
        <w:t>称</w:t>
      </w:r>
      <w:r>
        <w:rPr>
          <w:rFonts w:hint="eastAsia" w:ascii="宋体" w:hAnsi="宋体" w:eastAsia="宋体" w:cs="宋体"/>
          <w:kern w:val="2"/>
          <w:sz w:val="21"/>
          <w:szCs w:val="21"/>
          <w:highlight w:val="none"/>
          <w:lang w:val="en-US" w:eastAsia="zh-CN" w:bidi="ar-SA"/>
        </w:rPr>
        <w:t>工地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施</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现</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spacing w:val="-106"/>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专用</w:t>
      </w:r>
      <w:r>
        <w:rPr>
          <w:rFonts w:hint="eastAsia" w:ascii="宋体" w:hAnsi="宋体" w:eastAsia="宋体" w:cs="宋体"/>
          <w:kern w:val="2"/>
          <w:sz w:val="21"/>
          <w:szCs w:val="21"/>
          <w:highlight w:val="none"/>
          <w:lang w:val="en-US" w:eastAsia="zh-CN" w:bidi="ar-SA"/>
        </w:rPr>
        <w:t>合同</w:t>
      </w:r>
      <w:r>
        <w:rPr>
          <w:rFonts w:hint="eastAsia" w:ascii="宋体" w:hAnsi="宋体" w:eastAsia="宋体" w:cs="宋体"/>
          <w:spacing w:val="-3"/>
          <w:kern w:val="2"/>
          <w:sz w:val="21"/>
          <w:szCs w:val="21"/>
          <w:highlight w:val="none"/>
          <w:lang w:val="en-US" w:eastAsia="zh-CN" w:bidi="ar-SA"/>
        </w:rPr>
        <w:t>条</w:t>
      </w:r>
      <w:r>
        <w:rPr>
          <w:rFonts w:hint="eastAsia" w:ascii="宋体" w:hAnsi="宋体" w:eastAsia="宋体" w:cs="宋体"/>
          <w:kern w:val="2"/>
          <w:sz w:val="21"/>
          <w:szCs w:val="21"/>
          <w:highlight w:val="none"/>
          <w:lang w:val="en-US" w:eastAsia="zh-CN" w:bidi="ar-SA"/>
        </w:rPr>
        <w:t>款</w:t>
      </w:r>
      <w:r>
        <w:rPr>
          <w:rFonts w:hint="eastAsia" w:ascii="宋体" w:hAnsi="宋体" w:eastAsia="宋体" w:cs="宋体"/>
          <w:spacing w:val="-3"/>
          <w:kern w:val="2"/>
          <w:sz w:val="21"/>
          <w:szCs w:val="21"/>
          <w:highlight w:val="none"/>
          <w:lang w:val="en-US" w:eastAsia="zh-CN" w:bidi="ar-SA"/>
        </w:rPr>
        <w:t>中</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程</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在场</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w:t>
      </w:r>
    </w:p>
    <w:p w14:paraId="30A85CCA">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1.1.14 天（或称日）</w:t>
      </w:r>
      <w:r>
        <w:rPr>
          <w:rFonts w:hint="eastAsia" w:ascii="宋体" w:hAnsi="宋体" w:eastAsia="宋体" w:cs="宋体"/>
          <w:kern w:val="2"/>
          <w:sz w:val="21"/>
          <w:szCs w:val="21"/>
          <w:highlight w:val="none"/>
          <w:lang w:val="en-US" w:eastAsia="zh-CN" w:bidi="ar-SA"/>
        </w:rPr>
        <w:t>：除</w:t>
      </w:r>
      <w:r>
        <w:rPr>
          <w:rFonts w:hint="eastAsia" w:ascii="宋体" w:hAnsi="宋体" w:eastAsia="宋体" w:cs="宋体"/>
          <w:spacing w:val="-3"/>
          <w:kern w:val="2"/>
          <w:sz w:val="21"/>
          <w:szCs w:val="21"/>
          <w:highlight w:val="none"/>
          <w:lang w:val="en-US" w:eastAsia="zh-CN" w:bidi="ar-SA"/>
        </w:rPr>
        <w:t>特</w:t>
      </w:r>
      <w:r>
        <w:rPr>
          <w:rFonts w:hint="eastAsia" w:ascii="宋体" w:hAnsi="宋体" w:eastAsia="宋体" w:cs="宋体"/>
          <w:kern w:val="2"/>
          <w:sz w:val="21"/>
          <w:szCs w:val="21"/>
          <w:highlight w:val="none"/>
          <w:lang w:val="en-US" w:eastAsia="zh-CN" w:bidi="ar-SA"/>
        </w:rPr>
        <w:t>别指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外</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日</w:t>
      </w:r>
      <w:r>
        <w:rPr>
          <w:rFonts w:hint="eastAsia" w:ascii="宋体" w:hAnsi="宋体" w:eastAsia="宋体" w:cs="宋体"/>
          <w:kern w:val="2"/>
          <w:sz w:val="21"/>
          <w:szCs w:val="21"/>
          <w:highlight w:val="none"/>
          <w:lang w:val="en-US" w:eastAsia="zh-CN" w:bidi="ar-SA"/>
        </w:rPr>
        <w:t>历天</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合</w:t>
      </w:r>
      <w:r>
        <w:rPr>
          <w:rFonts w:hint="eastAsia" w:ascii="宋体" w:hAnsi="宋体" w:eastAsia="宋体" w:cs="宋体"/>
          <w:spacing w:val="-3"/>
          <w:kern w:val="2"/>
          <w:sz w:val="21"/>
          <w:szCs w:val="21"/>
          <w:highlight w:val="none"/>
          <w:lang w:val="en-US" w:eastAsia="zh-CN" w:bidi="ar-SA"/>
        </w:rPr>
        <w:t>同</w:t>
      </w:r>
      <w:r>
        <w:rPr>
          <w:rFonts w:hint="eastAsia" w:ascii="宋体" w:hAnsi="宋体" w:eastAsia="宋体" w:cs="宋体"/>
          <w:kern w:val="2"/>
          <w:sz w:val="21"/>
          <w:szCs w:val="21"/>
          <w:highlight w:val="none"/>
          <w:lang w:val="en-US" w:eastAsia="zh-CN" w:bidi="ar-SA"/>
        </w:rPr>
        <w:t>中按</w:t>
      </w:r>
      <w:r>
        <w:rPr>
          <w:rFonts w:hint="eastAsia" w:ascii="宋体" w:hAnsi="宋体" w:eastAsia="宋体" w:cs="宋体"/>
          <w:spacing w:val="-3"/>
          <w:kern w:val="2"/>
          <w:sz w:val="21"/>
          <w:szCs w:val="21"/>
          <w:highlight w:val="none"/>
          <w:lang w:val="en-US" w:eastAsia="zh-CN" w:bidi="ar-SA"/>
        </w:rPr>
        <w:t>天</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算</w:t>
      </w:r>
      <w:r>
        <w:rPr>
          <w:rFonts w:hint="eastAsia" w:ascii="宋体" w:hAnsi="宋体" w:eastAsia="宋体" w:cs="宋体"/>
          <w:kern w:val="2"/>
          <w:sz w:val="21"/>
          <w:szCs w:val="21"/>
          <w:highlight w:val="none"/>
          <w:lang w:val="en-US" w:eastAsia="zh-CN" w:bidi="ar-SA"/>
        </w:rPr>
        <w:t>时</w:t>
      </w:r>
      <w:r>
        <w:rPr>
          <w:rFonts w:hint="eastAsia" w:ascii="宋体" w:hAnsi="宋体" w:eastAsia="宋体" w:cs="宋体"/>
          <w:spacing w:val="-3"/>
          <w:kern w:val="2"/>
          <w:sz w:val="21"/>
          <w:szCs w:val="21"/>
          <w:highlight w:val="none"/>
          <w:lang w:val="en-US" w:eastAsia="zh-CN" w:bidi="ar-SA"/>
        </w:rPr>
        <w:t>间</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开</w:t>
      </w:r>
      <w:r>
        <w:rPr>
          <w:rFonts w:hint="eastAsia" w:ascii="宋体" w:hAnsi="宋体" w:eastAsia="宋体" w:cs="宋体"/>
          <w:spacing w:val="-3"/>
          <w:kern w:val="2"/>
          <w:sz w:val="21"/>
          <w:szCs w:val="21"/>
          <w:highlight w:val="none"/>
          <w:lang w:val="en-US" w:eastAsia="zh-CN" w:bidi="ar-SA"/>
        </w:rPr>
        <w:t>始</w:t>
      </w:r>
      <w:r>
        <w:rPr>
          <w:rFonts w:hint="eastAsia" w:ascii="宋体" w:hAnsi="宋体" w:eastAsia="宋体" w:cs="宋体"/>
          <w:kern w:val="2"/>
          <w:sz w:val="21"/>
          <w:szCs w:val="21"/>
          <w:highlight w:val="none"/>
          <w:lang w:val="en-US" w:eastAsia="zh-CN" w:bidi="ar-SA"/>
        </w:rPr>
        <w:t>当天</w:t>
      </w:r>
      <w:r>
        <w:rPr>
          <w:rFonts w:hint="eastAsia" w:ascii="宋体" w:hAnsi="宋体" w:eastAsia="宋体" w:cs="宋体"/>
          <w:spacing w:val="-3"/>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入</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1"/>
          <w:kern w:val="2"/>
          <w:sz w:val="21"/>
          <w:szCs w:val="21"/>
          <w:highlight w:val="none"/>
          <w:lang w:val="en-US" w:eastAsia="zh-CN" w:bidi="ar-SA"/>
        </w:rPr>
        <w:t>从次日开始计算。合同约定的期间的最后一天是星期日或者其他法定休假日的，以休假日的次</w:t>
      </w:r>
      <w:r>
        <w:rPr>
          <w:rFonts w:hint="eastAsia" w:ascii="宋体" w:hAnsi="宋体" w:eastAsia="宋体" w:cs="宋体"/>
          <w:kern w:val="2"/>
          <w:sz w:val="21"/>
          <w:szCs w:val="21"/>
          <w:highlight w:val="none"/>
          <w:lang w:val="en-US" w:eastAsia="zh-CN" w:bidi="ar-SA"/>
        </w:rPr>
        <w:t>日为期间的最后一天。</w:t>
      </w:r>
    </w:p>
    <w:p w14:paraId="0A0D221F">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 xml:space="preserve">1.1.15 </w:t>
      </w:r>
      <w:r>
        <w:rPr>
          <w:rFonts w:hint="eastAsia" w:ascii="宋体" w:hAnsi="宋体" w:eastAsia="宋体" w:cs="宋体"/>
          <w:b/>
          <w:bCs/>
          <w:spacing w:val="-7"/>
          <w:kern w:val="2"/>
          <w:sz w:val="21"/>
          <w:szCs w:val="21"/>
          <w:highlight w:val="none"/>
          <w:lang w:val="en-US" w:eastAsia="zh-CN" w:bidi="ar-SA"/>
        </w:rPr>
        <w:t>月</w:t>
      </w:r>
      <w:r>
        <w:rPr>
          <w:rFonts w:hint="eastAsia" w:ascii="宋体" w:hAnsi="宋体" w:eastAsia="宋体" w:cs="宋体"/>
          <w:spacing w:val="-7"/>
          <w:kern w:val="2"/>
          <w:sz w:val="21"/>
          <w:szCs w:val="21"/>
          <w:highlight w:val="none"/>
          <w:lang w:val="en-US" w:eastAsia="zh-CN" w:bidi="ar-SA"/>
        </w:rPr>
        <w:t>：按照公历月计算。合同中按月计算时间的，开始当天不计入，从次日开始计算。</w:t>
      </w:r>
      <w:r>
        <w:rPr>
          <w:rFonts w:hint="eastAsia" w:ascii="宋体" w:hAnsi="宋体" w:eastAsia="宋体" w:cs="宋体"/>
          <w:spacing w:val="-1"/>
          <w:kern w:val="2"/>
          <w:sz w:val="21"/>
          <w:szCs w:val="21"/>
          <w:highlight w:val="none"/>
          <w:lang w:val="en-US" w:eastAsia="zh-CN" w:bidi="ar-SA"/>
        </w:rPr>
        <w:t>合同约定的期间的最后一天是星期日或者其他法定休假日的，以休假日的次日为期间的最后一</w:t>
      </w:r>
      <w:r>
        <w:rPr>
          <w:rFonts w:hint="eastAsia" w:ascii="宋体" w:hAnsi="宋体" w:eastAsia="宋体" w:cs="宋体"/>
          <w:kern w:val="2"/>
          <w:sz w:val="21"/>
          <w:szCs w:val="21"/>
          <w:highlight w:val="none"/>
          <w:lang w:val="en-US" w:eastAsia="zh-CN" w:bidi="ar-SA"/>
        </w:rPr>
        <w:t>天。</w:t>
      </w:r>
    </w:p>
    <w:p w14:paraId="67062217">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1.1.16 书面形式</w:t>
      </w:r>
      <w:r>
        <w:rPr>
          <w:rFonts w:hint="eastAsia" w:ascii="宋体" w:hAnsi="宋体" w:eastAsia="宋体" w:cs="宋体"/>
          <w:kern w:val="2"/>
          <w:sz w:val="21"/>
          <w:szCs w:val="21"/>
          <w:highlight w:val="none"/>
          <w:lang w:val="en-US" w:eastAsia="zh-CN" w:bidi="ar-SA"/>
        </w:rPr>
        <w:t>：指合同文件、信件和数据电文（包括电报、电传、传真、电子数据交换和电子邮件）等可以有形地表现所载内容的形式。</w:t>
      </w:r>
    </w:p>
    <w:p w14:paraId="1FE9724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58" w:name="_bookmark107"/>
      <w:bookmarkEnd w:id="558"/>
      <w:bookmarkStart w:id="559" w:name="_Toc28847"/>
      <w:bookmarkStart w:id="560" w:name="_Toc14877"/>
      <w:bookmarkStart w:id="561" w:name="_Toc19099"/>
      <w:r>
        <w:rPr>
          <w:rFonts w:hint="eastAsia" w:ascii="宋体" w:hAnsi="宋体" w:eastAsia="宋体" w:cs="宋体"/>
          <w:kern w:val="0"/>
          <w:sz w:val="21"/>
          <w:szCs w:val="21"/>
          <w:highlight w:val="none"/>
          <w:lang w:val="en-US" w:eastAsia="zh-CN" w:bidi="ar-SA"/>
        </w:rPr>
        <w:t>1.2  语言文字</w:t>
      </w:r>
      <w:bookmarkEnd w:id="559"/>
      <w:bookmarkEnd w:id="560"/>
      <w:bookmarkEnd w:id="561"/>
    </w:p>
    <w:p w14:paraId="33FF864A">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合同使用的语言文字为中文。专用术语使用外文的，应附有中文注释。</w:t>
      </w:r>
    </w:p>
    <w:p w14:paraId="36BE5F3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62" w:name="_Toc3007"/>
      <w:bookmarkStart w:id="563" w:name="_Toc8515"/>
      <w:bookmarkStart w:id="564" w:name="_Toc10706"/>
      <w:r>
        <w:rPr>
          <w:rFonts w:hint="eastAsia" w:ascii="宋体" w:hAnsi="宋体" w:eastAsia="宋体" w:cs="宋体"/>
          <w:kern w:val="0"/>
          <w:sz w:val="21"/>
          <w:szCs w:val="21"/>
          <w:highlight w:val="none"/>
          <w:lang w:val="en-US" w:eastAsia="zh-CN" w:bidi="ar-SA"/>
        </w:rPr>
        <w:t>1.3  合同文件的优先顺序</w:t>
      </w:r>
      <w:bookmarkEnd w:id="562"/>
      <w:bookmarkEnd w:id="563"/>
      <w:bookmarkEnd w:id="564"/>
    </w:p>
    <w:p w14:paraId="014F902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组成合同的各项文件应互相解释，互为说明。除专用合同条款另有约定外，解释合同文件的优先顺序如下：</w:t>
      </w:r>
    </w:p>
    <w:p w14:paraId="2AD1FD87">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（1）合同协议书；</w:t>
      </w:r>
    </w:p>
    <w:p w14:paraId="391876AD">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（2）中标通知书；</w:t>
      </w:r>
    </w:p>
    <w:p w14:paraId="6B55BF6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（3）投标函；</w:t>
      </w:r>
    </w:p>
    <w:p w14:paraId="2AD21D5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（4）商务和技术偏差表；</w:t>
      </w:r>
    </w:p>
    <w:p w14:paraId="6D9063D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（5）专用合同条款；</w:t>
      </w:r>
    </w:p>
    <w:p w14:paraId="381E147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（6）通用合同条款；</w:t>
      </w:r>
    </w:p>
    <w:p w14:paraId="7671FC9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（7）供货要求；</w:t>
      </w:r>
    </w:p>
    <w:p w14:paraId="0F6AFEF7">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（8）分项报价表；</w:t>
      </w:r>
    </w:p>
    <w:p w14:paraId="2746C73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（9）中标设备技术性能指标的详细描述；</w:t>
      </w:r>
    </w:p>
    <w:p w14:paraId="4C3B0D99">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（10）技术服务和质保期服务计划；</w:t>
      </w:r>
    </w:p>
    <w:p w14:paraId="53B6E213">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（11）其他合同文件。</w:t>
      </w:r>
    </w:p>
    <w:p w14:paraId="1FA45BD8">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65" w:name="_bookmark109"/>
      <w:bookmarkEnd w:id="565"/>
      <w:bookmarkStart w:id="566" w:name="_Toc7102"/>
      <w:bookmarkStart w:id="567" w:name="_Toc3833"/>
      <w:bookmarkStart w:id="568" w:name="_Toc5511"/>
      <w:r>
        <w:rPr>
          <w:rFonts w:hint="eastAsia" w:ascii="宋体" w:hAnsi="宋体" w:eastAsia="宋体" w:cs="宋体"/>
          <w:kern w:val="0"/>
          <w:sz w:val="21"/>
          <w:szCs w:val="21"/>
          <w:highlight w:val="none"/>
          <w:lang w:val="en-US" w:eastAsia="zh-CN" w:bidi="ar-SA"/>
        </w:rPr>
        <w:t>1.4  合同的生效及变更</w:t>
      </w:r>
      <w:bookmarkEnd w:id="566"/>
      <w:bookmarkEnd w:id="567"/>
      <w:bookmarkEnd w:id="568"/>
    </w:p>
    <w:p w14:paraId="4780F6AF">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除专用合同条款另有约定外，买方和卖方的法定代表人（单位负责人）或其授权代表在合同协议书上签字并加盖单位章后，合同生效。</w:t>
      </w:r>
    </w:p>
    <w:p w14:paraId="25ECAEF8">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 除专用合同条款另有约定外，在合同履行过程中，如需对合同进行变更，双方应签订书面协议，并经双方法定代表人（单位负责人）或其授权代表签字并加盖单位章后生效。</w:t>
      </w:r>
    </w:p>
    <w:p w14:paraId="40B46C2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69" w:name="_bookmark110"/>
      <w:bookmarkEnd w:id="569"/>
      <w:bookmarkStart w:id="570" w:name="_Toc18461"/>
      <w:bookmarkStart w:id="571" w:name="_Toc21860"/>
      <w:bookmarkStart w:id="572" w:name="_Toc18692"/>
      <w:r>
        <w:rPr>
          <w:rFonts w:hint="eastAsia" w:ascii="宋体" w:hAnsi="宋体" w:eastAsia="宋体" w:cs="宋体"/>
          <w:kern w:val="0"/>
          <w:sz w:val="21"/>
          <w:szCs w:val="21"/>
          <w:highlight w:val="none"/>
          <w:lang w:val="en-US" w:eastAsia="zh-CN" w:bidi="ar-SA"/>
        </w:rPr>
        <w:t>1.5  联络</w:t>
      </w:r>
      <w:bookmarkEnd w:id="570"/>
      <w:bookmarkEnd w:id="571"/>
      <w:bookmarkEnd w:id="572"/>
    </w:p>
    <w:p w14:paraId="1244401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1.5.1 </w:t>
      </w:r>
      <w:r>
        <w:rPr>
          <w:rFonts w:hint="eastAsia" w:ascii="宋体" w:hAnsi="宋体" w:eastAsia="宋体" w:cs="宋体"/>
          <w:spacing w:val="-4"/>
          <w:kern w:val="2"/>
          <w:sz w:val="21"/>
          <w:szCs w:val="21"/>
          <w:highlight w:val="none"/>
          <w:lang w:val="en-US" w:eastAsia="zh-CN" w:bidi="ar-SA"/>
        </w:rPr>
        <w:t>买卖双方应就合同履行中有关的事项及时进行联络，重要事项应通过书面形式进行联</w:t>
      </w:r>
      <w:r>
        <w:rPr>
          <w:rFonts w:hint="eastAsia" w:ascii="宋体" w:hAnsi="宋体" w:eastAsia="宋体" w:cs="宋体"/>
          <w:spacing w:val="-1"/>
          <w:kern w:val="2"/>
          <w:sz w:val="21"/>
          <w:szCs w:val="21"/>
          <w:highlight w:val="none"/>
          <w:lang w:val="en-US" w:eastAsia="zh-CN" w:bidi="ar-SA"/>
        </w:rPr>
        <w:t>络或确认。合同履行过程中的任何联络及相关文件的签署，均应通过专用合同条款指定的联系</w:t>
      </w:r>
      <w:r>
        <w:rPr>
          <w:rFonts w:hint="eastAsia" w:ascii="宋体" w:hAnsi="宋体" w:eastAsia="宋体" w:cs="宋体"/>
          <w:kern w:val="2"/>
          <w:sz w:val="21"/>
          <w:szCs w:val="21"/>
          <w:highlight w:val="none"/>
          <w:lang w:val="en-US" w:eastAsia="zh-CN" w:bidi="ar-SA"/>
        </w:rPr>
        <w:t>人和联系方式进行。合同履行过程中，双方可以书面形式增加或变更指定联系人。</w:t>
      </w:r>
    </w:p>
    <w:p w14:paraId="5B4EBAB7">
      <w:pPr>
        <w:widowControl w:val="0"/>
        <w:spacing w:beforeLines="0" w:after="0" w:afterLines="0" w:line="360" w:lineRule="auto"/>
        <w:ind w:left="0" w:right="0" w:firstLine="420" w:firstLineChars="200"/>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1.5.2 </w:t>
      </w:r>
      <w:r>
        <w:rPr>
          <w:rFonts w:hint="eastAsia" w:ascii="宋体" w:hAnsi="宋体" w:eastAsia="宋体" w:cs="宋体"/>
          <w:spacing w:val="-6"/>
          <w:kern w:val="2"/>
          <w:sz w:val="21"/>
          <w:szCs w:val="21"/>
          <w:highlight w:val="none"/>
          <w:lang w:val="en-US" w:eastAsia="zh-CN" w:bidi="ar-SA"/>
        </w:rPr>
        <w:t>合同履行中或与合同有关的任何联络，送达到第 1.5.1 项指定的联系人即视为送达。</w:t>
      </w:r>
    </w:p>
    <w:p w14:paraId="0720C5AA">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 买方可以安排监理等相关人员作为买方人员，与卖方进行联络或参加合同设备的监造（如有）、交货前检验（如有）、开箱检验、安装、调试、考核、验收等，但应按照第1.5.1项的约定事先书面通知卖方。</w:t>
      </w:r>
    </w:p>
    <w:p w14:paraId="578D762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73" w:name="_Toc21181"/>
      <w:bookmarkStart w:id="574" w:name="_Toc10350"/>
      <w:bookmarkStart w:id="575" w:name="_Toc28224"/>
      <w:r>
        <w:rPr>
          <w:rFonts w:hint="eastAsia" w:ascii="宋体" w:hAnsi="宋体" w:eastAsia="宋体" w:cs="宋体"/>
          <w:kern w:val="0"/>
          <w:sz w:val="21"/>
          <w:szCs w:val="21"/>
          <w:highlight w:val="none"/>
          <w:lang w:val="en-US" w:eastAsia="zh-CN" w:bidi="ar-SA"/>
        </w:rPr>
        <w:t>1.6  联合体</w:t>
      </w:r>
      <w:bookmarkEnd w:id="573"/>
      <w:bookmarkEnd w:id="574"/>
      <w:bookmarkEnd w:id="575"/>
    </w:p>
    <w:p w14:paraId="7B51432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4"/>
          <w:kern w:val="2"/>
          <w:sz w:val="21"/>
          <w:szCs w:val="21"/>
          <w:highlight w:val="none"/>
          <w:lang w:val="en-US" w:eastAsia="zh-CN" w:bidi="ar-SA"/>
        </w:rPr>
        <w:t>卖方为联合体的，联合体各方应当共同与买方签订合同，并向买方为履行合同承担连</w:t>
      </w:r>
      <w:r>
        <w:rPr>
          <w:rFonts w:hint="eastAsia" w:ascii="宋体" w:hAnsi="宋体" w:eastAsia="宋体" w:cs="宋体"/>
          <w:kern w:val="2"/>
          <w:sz w:val="21"/>
          <w:szCs w:val="21"/>
          <w:highlight w:val="none"/>
          <w:lang w:val="en-US" w:eastAsia="zh-CN" w:bidi="ar-SA"/>
        </w:rPr>
        <w:t>带责任。</w:t>
      </w:r>
    </w:p>
    <w:p w14:paraId="62B1F42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1.6.2 </w:t>
      </w:r>
      <w:r>
        <w:rPr>
          <w:rFonts w:hint="eastAsia" w:ascii="宋体" w:hAnsi="宋体" w:eastAsia="宋体" w:cs="宋体"/>
          <w:spacing w:val="-4"/>
          <w:kern w:val="2"/>
          <w:sz w:val="21"/>
          <w:szCs w:val="21"/>
          <w:highlight w:val="none"/>
          <w:lang w:val="en-US" w:eastAsia="zh-CN" w:bidi="ar-SA"/>
        </w:rPr>
        <w:t>在合同履行过程中，未经买方同意，不得修改联合体协议。联合体协议中关于联合体</w:t>
      </w:r>
      <w:r>
        <w:rPr>
          <w:rFonts w:hint="eastAsia" w:ascii="宋体" w:hAnsi="宋体" w:eastAsia="宋体" w:cs="宋体"/>
          <w:kern w:val="2"/>
          <w:sz w:val="21"/>
          <w:szCs w:val="21"/>
          <w:highlight w:val="none"/>
          <w:lang w:val="en-US" w:eastAsia="zh-CN" w:bidi="ar-SA"/>
        </w:rPr>
        <w:t>成员间权利义务的划分，并不影响或减损联合体各方应就履行合同向买方承担的连带责任。</w:t>
      </w:r>
    </w:p>
    <w:p w14:paraId="62D5513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1.6.3 </w:t>
      </w:r>
      <w:r>
        <w:rPr>
          <w:rFonts w:hint="eastAsia" w:ascii="宋体" w:hAnsi="宋体" w:eastAsia="宋体" w:cs="宋体"/>
          <w:spacing w:val="-4"/>
          <w:kern w:val="2"/>
          <w:sz w:val="21"/>
          <w:szCs w:val="21"/>
          <w:highlight w:val="none"/>
          <w:lang w:val="en-US" w:eastAsia="zh-CN" w:bidi="ar-SA"/>
        </w:rPr>
        <w:t>联合体牵头人代表联合体与买方联系，并接受指示，负责组织联合体各成员全面履行</w:t>
      </w:r>
      <w:r>
        <w:rPr>
          <w:rFonts w:hint="eastAsia" w:ascii="宋体" w:hAnsi="宋体" w:eastAsia="宋体" w:cs="宋体"/>
          <w:spacing w:val="-1"/>
          <w:kern w:val="2"/>
          <w:sz w:val="21"/>
          <w:szCs w:val="21"/>
          <w:highlight w:val="none"/>
          <w:lang w:val="en-US" w:eastAsia="zh-CN" w:bidi="ar-SA"/>
        </w:rPr>
        <w:t>合同。除非专用合同条款另有约定，牵头人在履行合同中的所有行为均视为已获得联合体各方的授权。买方可将合同价款全部支付给牵头人并视为其已适当履行了付款义务。如牵头人的行</w:t>
      </w:r>
      <w:r>
        <w:rPr>
          <w:rFonts w:hint="eastAsia" w:ascii="宋体" w:hAnsi="宋体" w:eastAsia="宋体" w:cs="宋体"/>
          <w:kern w:val="2"/>
          <w:sz w:val="21"/>
          <w:szCs w:val="21"/>
          <w:highlight w:val="none"/>
          <w:lang w:val="en-US" w:eastAsia="zh-CN" w:bidi="ar-SA"/>
        </w:rPr>
        <w:t>为将构成对合同内容的变更，则牵头人须事先获得联合体各方的特别授权。</w:t>
      </w:r>
    </w:p>
    <w:p w14:paraId="6E9D5C5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76" w:name="_bookmark112"/>
      <w:bookmarkEnd w:id="576"/>
      <w:bookmarkStart w:id="577" w:name="_Toc25757"/>
      <w:bookmarkStart w:id="578" w:name="_Toc15877"/>
      <w:bookmarkStart w:id="579" w:name="_Toc17655"/>
      <w:r>
        <w:rPr>
          <w:rFonts w:hint="eastAsia" w:ascii="宋体" w:hAnsi="宋体" w:eastAsia="宋体" w:cs="宋体"/>
          <w:kern w:val="0"/>
          <w:sz w:val="21"/>
          <w:szCs w:val="21"/>
          <w:highlight w:val="none"/>
          <w:lang w:val="en-US" w:eastAsia="zh-CN" w:bidi="ar-SA"/>
        </w:rPr>
        <w:t>1.7  转让</w:t>
      </w:r>
      <w:bookmarkEnd w:id="577"/>
      <w:bookmarkEnd w:id="578"/>
      <w:bookmarkEnd w:id="579"/>
    </w:p>
    <w:p w14:paraId="5C6285D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未经对方当事人书面同意，合同任何一方均不得转让其在合同项下的权利和（或）义务。</w:t>
      </w:r>
    </w:p>
    <w:p w14:paraId="5064190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80" w:name="_bookmark113"/>
      <w:bookmarkEnd w:id="580"/>
      <w:bookmarkStart w:id="581" w:name="_Toc31831"/>
      <w:bookmarkStart w:id="582" w:name="_Toc91344942"/>
      <w:bookmarkStart w:id="583" w:name="_Toc20458"/>
      <w:bookmarkStart w:id="584" w:name="_Toc30500"/>
      <w:bookmarkStart w:id="585" w:name="_Toc534572286"/>
      <w:bookmarkStart w:id="586" w:name="_Toc62034472"/>
      <w:bookmarkStart w:id="587" w:name="_Toc3145"/>
      <w:bookmarkStart w:id="588" w:name="_Toc22430"/>
      <w:bookmarkStart w:id="589" w:name="_Toc54550754"/>
      <w:r>
        <w:rPr>
          <w:rFonts w:hint="eastAsia" w:ascii="宋体" w:hAnsi="宋体" w:eastAsia="宋体" w:cs="宋体"/>
          <w:b/>
          <w:bCs/>
          <w:kern w:val="0"/>
          <w:sz w:val="21"/>
          <w:szCs w:val="21"/>
          <w:highlight w:val="none"/>
          <w:lang w:val="en-US" w:eastAsia="zh-CN" w:bidi="ar-SA"/>
        </w:rPr>
        <w:t>2.合同范围</w:t>
      </w:r>
      <w:bookmarkEnd w:id="581"/>
      <w:bookmarkEnd w:id="582"/>
      <w:bookmarkEnd w:id="583"/>
      <w:bookmarkEnd w:id="584"/>
      <w:bookmarkEnd w:id="585"/>
      <w:bookmarkEnd w:id="586"/>
      <w:bookmarkEnd w:id="587"/>
      <w:bookmarkEnd w:id="588"/>
      <w:bookmarkEnd w:id="589"/>
    </w:p>
    <w:p w14:paraId="55CAC22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卖方应根据供货要求、中标设备技术性能指标的详细描述、技术服务和质保期服务计划等合同文件的约定向买方提供合同设备、技术服务和质保期服务。</w:t>
      </w:r>
    </w:p>
    <w:p w14:paraId="0C9AB05D">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90" w:name="_bookmark114"/>
      <w:bookmarkEnd w:id="590"/>
      <w:bookmarkStart w:id="591" w:name="_Toc62034473"/>
      <w:bookmarkStart w:id="592" w:name="_Toc7147"/>
      <w:bookmarkStart w:id="593" w:name="_Toc23592"/>
      <w:bookmarkStart w:id="594" w:name="_Toc29088"/>
      <w:bookmarkStart w:id="595" w:name="_Toc91344943"/>
      <w:bookmarkStart w:id="596" w:name="_Toc54550755"/>
      <w:bookmarkStart w:id="597" w:name="_Toc534572287"/>
      <w:bookmarkStart w:id="598" w:name="_Toc14274"/>
      <w:bookmarkStart w:id="599" w:name="_Toc7996"/>
      <w:r>
        <w:rPr>
          <w:rFonts w:hint="eastAsia" w:ascii="宋体" w:hAnsi="宋体" w:eastAsia="宋体" w:cs="宋体"/>
          <w:b/>
          <w:bCs/>
          <w:kern w:val="0"/>
          <w:sz w:val="21"/>
          <w:szCs w:val="21"/>
          <w:highlight w:val="none"/>
          <w:lang w:val="en-US" w:eastAsia="zh-CN" w:bidi="ar-SA"/>
        </w:rPr>
        <w:t>3.合同价格与支付</w:t>
      </w:r>
      <w:bookmarkEnd w:id="591"/>
      <w:bookmarkEnd w:id="592"/>
      <w:bookmarkEnd w:id="593"/>
      <w:bookmarkEnd w:id="594"/>
      <w:bookmarkEnd w:id="595"/>
      <w:bookmarkEnd w:id="596"/>
      <w:bookmarkEnd w:id="597"/>
      <w:bookmarkEnd w:id="598"/>
      <w:bookmarkEnd w:id="599"/>
    </w:p>
    <w:p w14:paraId="7AF87158">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00" w:name="_bookmark115"/>
      <w:bookmarkEnd w:id="600"/>
      <w:bookmarkStart w:id="601" w:name="_Toc17218"/>
      <w:bookmarkStart w:id="602" w:name="_Toc24249"/>
      <w:bookmarkStart w:id="603" w:name="_Toc19837"/>
      <w:r>
        <w:rPr>
          <w:rFonts w:hint="eastAsia" w:ascii="宋体" w:hAnsi="宋体" w:eastAsia="宋体" w:cs="宋体"/>
          <w:kern w:val="0"/>
          <w:sz w:val="21"/>
          <w:szCs w:val="21"/>
          <w:highlight w:val="none"/>
          <w:lang w:val="en-US" w:eastAsia="zh-CN" w:bidi="ar-SA"/>
        </w:rPr>
        <w:t>3.1  合同价格</w:t>
      </w:r>
      <w:bookmarkEnd w:id="601"/>
      <w:bookmarkEnd w:id="602"/>
      <w:bookmarkEnd w:id="603"/>
    </w:p>
    <w:p w14:paraId="1EA3A4CE">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3.1.1 合同协议书中载明的签约合同价包括卖方为完成合同全部义务应承担的一切成本、费用和支出以及卖方的合理利润。</w:t>
      </w:r>
    </w:p>
    <w:p w14:paraId="5A90B21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除专用合同条款另有约定外，签约合同价为固定价格。</w:t>
      </w:r>
    </w:p>
    <w:p w14:paraId="7CA3DFA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04" w:name="_bookmark116"/>
      <w:bookmarkEnd w:id="604"/>
      <w:bookmarkStart w:id="605" w:name="_Toc9376"/>
      <w:bookmarkStart w:id="606" w:name="_Toc14837"/>
      <w:bookmarkStart w:id="607" w:name="_Toc29545"/>
      <w:r>
        <w:rPr>
          <w:rFonts w:hint="eastAsia" w:ascii="宋体" w:hAnsi="宋体" w:eastAsia="宋体" w:cs="宋体"/>
          <w:kern w:val="0"/>
          <w:sz w:val="21"/>
          <w:szCs w:val="21"/>
          <w:highlight w:val="none"/>
          <w:lang w:val="en-US" w:eastAsia="zh-CN" w:bidi="ar-SA"/>
        </w:rPr>
        <w:t>3.2  合同价款的支付</w:t>
      </w:r>
      <w:bookmarkEnd w:id="605"/>
      <w:bookmarkEnd w:id="606"/>
      <w:bookmarkEnd w:id="607"/>
    </w:p>
    <w:p w14:paraId="2F171DE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除专用合同条款另有约定外，买方应通过以下方式和比例向卖方支付合同价款：</w:t>
      </w:r>
    </w:p>
    <w:p w14:paraId="4485A9C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3.2.1 预付款</w:t>
      </w:r>
    </w:p>
    <w:p w14:paraId="3D652AB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合同生效后，买方在收到卖方开具的注明应付预付款金额的财务收据正本一份并经审核无误后28日内，向卖方支付签约合同价的10%作为预付款。</w:t>
      </w:r>
    </w:p>
    <w:p w14:paraId="3D086B1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买方支付预付款后，如卖方未履行合同义务，则买方有权收回预付款；如卖方依约履行了合同义务，则预付款抵作合同价款。</w:t>
      </w:r>
    </w:p>
    <w:p w14:paraId="701F872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3.2.2 交货款 </w:t>
      </w:r>
    </w:p>
    <w:p w14:paraId="1C44891D">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卖方按合同约定交付全部合同设备后，买方在收到卖方提交的下列全部单据并经审核无误后28日内，向卖方支付合同价格的60%：</w:t>
      </w:r>
    </w:p>
    <w:p w14:paraId="74DD8D35">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（1）卖方出具的交货清单正本一份；</w:t>
      </w:r>
    </w:p>
    <w:p w14:paraId="5372E92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（2）买方签署的收货清单正本一份；</w:t>
      </w:r>
    </w:p>
    <w:p w14:paraId="2696F47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（3）制造商出具的出厂质量合格证正本一份；</w:t>
      </w:r>
    </w:p>
    <w:p w14:paraId="663EF35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（4）合同价格100%金额的增值税发票正本一份。</w:t>
      </w:r>
    </w:p>
    <w:p w14:paraId="7F321A4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3.2.3 验收款 买方在收到卖方提交的买卖双方签署的合同设备验收证书或已生效的验收款支付函正本一份并经审核无误后28日内，向卖方支付合同价格的25%。</w:t>
      </w:r>
    </w:p>
    <w:p w14:paraId="702E3431">
      <w:pPr>
        <w:widowControl w:val="0"/>
        <w:spacing w:beforeLines="0" w:after="0" w:afterLines="0" w:line="360" w:lineRule="auto"/>
        <w:ind w:left="0" w:right="0"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3.2.4 </w:t>
      </w:r>
      <w:r>
        <w:rPr>
          <w:rFonts w:hint="eastAsia" w:ascii="宋体" w:hAnsi="宋体" w:eastAsia="宋体" w:cs="宋体"/>
          <w:color w:val="000000"/>
          <w:spacing w:val="-6"/>
          <w:kern w:val="2"/>
          <w:sz w:val="21"/>
          <w:szCs w:val="21"/>
          <w:highlight w:val="none"/>
          <w:lang w:val="en-US" w:eastAsia="zh-CN" w:bidi="ar-SA"/>
        </w:rPr>
        <w:t>结清款 买方在收到卖方提交的买方签署的质量保证期届满证书或已生效的结清款支付函正本一份并经审核无误后28日内，</w:t>
      </w:r>
      <w:r>
        <w:rPr>
          <w:rFonts w:hint="eastAsia" w:ascii="宋体" w:hAnsi="宋体" w:eastAsia="宋体" w:cs="宋体"/>
          <w:spacing w:val="-6"/>
          <w:kern w:val="2"/>
          <w:sz w:val="21"/>
          <w:szCs w:val="21"/>
          <w:highlight w:val="none"/>
          <w:lang w:val="en-US" w:eastAsia="zh-CN" w:bidi="ar-SA"/>
        </w:rPr>
        <w:t>向卖方支付合同价格的5%。如果依照合同第9.1项，卖方应向买方支付费用的，买方有权从结清款中直接扣除该笔费用。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478690A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08" w:name="_bookmark117"/>
      <w:bookmarkEnd w:id="608"/>
      <w:bookmarkStart w:id="609" w:name="_Toc28555"/>
      <w:bookmarkStart w:id="610" w:name="_Toc21224"/>
      <w:bookmarkStart w:id="611" w:name="_Toc15796"/>
      <w:r>
        <w:rPr>
          <w:rFonts w:hint="eastAsia" w:ascii="宋体" w:hAnsi="宋体" w:eastAsia="宋体" w:cs="宋体"/>
          <w:kern w:val="0"/>
          <w:sz w:val="21"/>
          <w:szCs w:val="21"/>
          <w:highlight w:val="none"/>
          <w:lang w:val="en-US" w:eastAsia="zh-CN" w:bidi="ar-SA"/>
        </w:rPr>
        <w:t>3.3  买方扣款的权利</w:t>
      </w:r>
      <w:bookmarkEnd w:id="609"/>
      <w:bookmarkEnd w:id="610"/>
      <w:bookmarkEnd w:id="611"/>
    </w:p>
    <w:p w14:paraId="29EA5FD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当卖方应向买方支付合同项下的违约金或赔偿金时，买方有权从上述任何一笔应付款中予以直接扣除和（或）兑付履约保证金。</w:t>
      </w:r>
    </w:p>
    <w:p w14:paraId="6FCD16B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12" w:name="_bookmark118"/>
      <w:bookmarkEnd w:id="612"/>
      <w:bookmarkStart w:id="613" w:name="_Toc91344944"/>
      <w:bookmarkStart w:id="614" w:name="_Toc534572288"/>
      <w:bookmarkStart w:id="615" w:name="_Toc54550756"/>
      <w:bookmarkStart w:id="616" w:name="_Toc62034474"/>
      <w:bookmarkStart w:id="617" w:name="_Toc23342"/>
      <w:bookmarkStart w:id="618" w:name="_Toc8743"/>
      <w:bookmarkStart w:id="619" w:name="_Toc8334"/>
      <w:bookmarkStart w:id="620" w:name="_Toc16582"/>
      <w:bookmarkStart w:id="621" w:name="_Toc1887"/>
      <w:r>
        <w:rPr>
          <w:rFonts w:hint="eastAsia" w:ascii="宋体" w:hAnsi="宋体" w:eastAsia="宋体" w:cs="宋体"/>
          <w:b/>
          <w:bCs/>
          <w:kern w:val="0"/>
          <w:sz w:val="21"/>
          <w:szCs w:val="21"/>
          <w:highlight w:val="none"/>
          <w:lang w:val="en-US" w:eastAsia="zh-CN" w:bidi="ar-SA"/>
        </w:rPr>
        <w:t>4.监造及交货前检验</w:t>
      </w:r>
      <w:bookmarkEnd w:id="613"/>
      <w:bookmarkEnd w:id="614"/>
      <w:bookmarkEnd w:id="615"/>
      <w:bookmarkEnd w:id="616"/>
      <w:bookmarkEnd w:id="617"/>
      <w:bookmarkEnd w:id="618"/>
      <w:bookmarkEnd w:id="619"/>
      <w:bookmarkEnd w:id="620"/>
      <w:bookmarkEnd w:id="621"/>
    </w:p>
    <w:p w14:paraId="3B0922E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22" w:name="_bookmark119"/>
      <w:bookmarkEnd w:id="622"/>
      <w:bookmarkStart w:id="623" w:name="_Toc18619"/>
      <w:bookmarkStart w:id="624" w:name="_Toc25200"/>
      <w:bookmarkStart w:id="625" w:name="_Toc825"/>
      <w:r>
        <w:rPr>
          <w:rFonts w:hint="eastAsia" w:ascii="宋体" w:hAnsi="宋体" w:eastAsia="宋体" w:cs="宋体"/>
          <w:kern w:val="0"/>
          <w:sz w:val="21"/>
          <w:szCs w:val="21"/>
          <w:highlight w:val="none"/>
          <w:lang w:val="en-US" w:eastAsia="zh-CN" w:bidi="ar-SA"/>
        </w:rPr>
        <w:t>4.1  监造</w:t>
      </w:r>
      <w:bookmarkEnd w:id="623"/>
      <w:bookmarkEnd w:id="624"/>
      <w:bookmarkEnd w:id="625"/>
    </w:p>
    <w:p w14:paraId="34E3DB42">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专用合同条款约定买方对合同设备进行监造的，双方应按本款及专用合同条款约定履行。</w:t>
      </w:r>
    </w:p>
    <w:p w14:paraId="30022391">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4.1.1 在合同设备的制造过程中，买方可派出监造人员，对合同设备的生产制造进行监造，监督合同设备制造、检验等情况。监造的范围、方式等应符合专用合同条款和（或）供货要求等合同文件的约定。</w:t>
      </w:r>
    </w:p>
    <w:p w14:paraId="6AC7BAB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4.1.2 </w:t>
      </w:r>
      <w:r>
        <w:rPr>
          <w:rFonts w:hint="eastAsia" w:ascii="宋体" w:hAnsi="宋体" w:eastAsia="宋体" w:cs="宋体"/>
          <w:spacing w:val="-4"/>
          <w:kern w:val="2"/>
          <w:sz w:val="21"/>
          <w:szCs w:val="21"/>
          <w:highlight w:val="none"/>
          <w:lang w:val="en-US" w:eastAsia="zh-CN" w:bidi="ar-SA"/>
        </w:rPr>
        <w:t>除专用合同条款和（或）供货要求等合同文件另有约定外，买方监造人员可到合同设</w:t>
      </w:r>
      <w:r>
        <w:rPr>
          <w:rFonts w:hint="eastAsia" w:ascii="宋体" w:hAnsi="宋体" w:eastAsia="宋体" w:cs="宋体"/>
          <w:spacing w:val="-1"/>
          <w:kern w:val="2"/>
          <w:sz w:val="21"/>
          <w:szCs w:val="21"/>
          <w:highlight w:val="none"/>
          <w:lang w:val="en-US" w:eastAsia="zh-CN" w:bidi="ar-SA"/>
        </w:rPr>
        <w:t>备及其关键部件的生产制造现场进行监造，卖方应予配合。卖方应免费为买方监造人员提供工作条件及便利，包括但不限于必要的办公场所、技术资料、检测工具及出入许可等。除专用合</w:t>
      </w:r>
      <w:r>
        <w:rPr>
          <w:rFonts w:hint="eastAsia" w:ascii="宋体" w:hAnsi="宋体" w:eastAsia="宋体" w:cs="宋体"/>
          <w:kern w:val="2"/>
          <w:sz w:val="21"/>
          <w:szCs w:val="21"/>
          <w:highlight w:val="none"/>
          <w:lang w:val="en-US" w:eastAsia="zh-CN" w:bidi="ar-SA"/>
        </w:rPr>
        <w:t>同条款另有约定外，买方监造人员的交通、食宿费用由买方承担。</w:t>
      </w:r>
    </w:p>
    <w:p w14:paraId="0A2F2D3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4.1.3 </w:t>
      </w:r>
      <w:r>
        <w:rPr>
          <w:rFonts w:hint="eastAsia" w:ascii="宋体" w:hAnsi="宋体" w:eastAsia="宋体" w:cs="宋体"/>
          <w:spacing w:val="-4"/>
          <w:kern w:val="2"/>
          <w:sz w:val="21"/>
          <w:szCs w:val="21"/>
          <w:highlight w:val="none"/>
          <w:lang w:val="en-US" w:eastAsia="zh-CN" w:bidi="ar-SA"/>
        </w:rPr>
        <w:t>卖方制订生产制造合同设备的进度计划时，应将买方监造纳入计划安排，并提前通知</w:t>
      </w:r>
      <w:r>
        <w:rPr>
          <w:rFonts w:hint="eastAsia" w:ascii="宋体" w:hAnsi="宋体" w:eastAsia="宋体" w:cs="宋体"/>
          <w:spacing w:val="-1"/>
          <w:kern w:val="2"/>
          <w:sz w:val="21"/>
          <w:szCs w:val="21"/>
          <w:highlight w:val="none"/>
          <w:lang w:val="en-US" w:eastAsia="zh-CN" w:bidi="ar-SA"/>
        </w:rPr>
        <w:t>买方；买方进行监造不应影响合同设备的正常生产。除专用合同条款和（或）供货要求等合同</w:t>
      </w:r>
      <w:r>
        <w:rPr>
          <w:rFonts w:hint="eastAsia" w:ascii="宋体" w:hAnsi="宋体" w:eastAsia="宋体" w:cs="宋体"/>
          <w:kern w:val="2"/>
          <w:sz w:val="21"/>
          <w:szCs w:val="21"/>
          <w:highlight w:val="none"/>
          <w:lang w:val="en-US" w:eastAsia="zh-CN" w:bidi="ar-SA"/>
        </w:rPr>
        <w:t>文件另有约定外，卖方应提前7</w:t>
      </w:r>
      <w:r>
        <w:rPr>
          <w:rFonts w:hint="eastAsia" w:ascii="宋体" w:hAnsi="宋体" w:eastAsia="宋体" w:cs="宋体"/>
          <w:spacing w:val="-29"/>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日将需要买方监造人员现场监造事项通知买方；如买方监造人员未</w:t>
      </w:r>
      <w:r>
        <w:rPr>
          <w:rFonts w:hint="eastAsia" w:ascii="宋体" w:hAnsi="宋体" w:eastAsia="宋体" w:cs="宋体"/>
          <w:spacing w:val="-3"/>
          <w:kern w:val="2"/>
          <w:sz w:val="21"/>
          <w:szCs w:val="21"/>
          <w:highlight w:val="none"/>
          <w:lang w:val="en-US" w:eastAsia="zh-CN" w:bidi="ar-SA"/>
        </w:rPr>
        <w:t>按</w:t>
      </w:r>
      <w:r>
        <w:rPr>
          <w:rFonts w:hint="eastAsia" w:ascii="宋体" w:hAnsi="宋体" w:eastAsia="宋体" w:cs="宋体"/>
          <w:kern w:val="2"/>
          <w:sz w:val="21"/>
          <w:szCs w:val="21"/>
          <w:highlight w:val="none"/>
          <w:lang w:val="en-US" w:eastAsia="zh-CN" w:bidi="ar-SA"/>
        </w:rPr>
        <w:t>通</w:t>
      </w:r>
      <w:r>
        <w:rPr>
          <w:rFonts w:hint="eastAsia" w:ascii="宋体" w:hAnsi="宋体" w:eastAsia="宋体" w:cs="宋体"/>
          <w:spacing w:val="-3"/>
          <w:kern w:val="2"/>
          <w:sz w:val="21"/>
          <w:szCs w:val="21"/>
          <w:highlight w:val="none"/>
          <w:lang w:val="en-US" w:eastAsia="zh-CN" w:bidi="ar-SA"/>
        </w:rPr>
        <w:t>知</w:t>
      </w:r>
      <w:r>
        <w:rPr>
          <w:rFonts w:hint="eastAsia" w:ascii="宋体" w:hAnsi="宋体" w:eastAsia="宋体" w:cs="宋体"/>
          <w:kern w:val="2"/>
          <w:sz w:val="21"/>
          <w:szCs w:val="21"/>
          <w:highlight w:val="none"/>
          <w:lang w:val="en-US" w:eastAsia="zh-CN" w:bidi="ar-SA"/>
        </w:rPr>
        <w:t>出席</w:t>
      </w:r>
      <w:r>
        <w:rPr>
          <w:rFonts w:hint="eastAsia" w:ascii="宋体" w:hAnsi="宋体" w:eastAsia="宋体" w:cs="宋体"/>
          <w:spacing w:val="-9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不</w:t>
      </w:r>
      <w:r>
        <w:rPr>
          <w:rFonts w:hint="eastAsia" w:ascii="宋体" w:hAnsi="宋体" w:eastAsia="宋体" w:cs="宋体"/>
          <w:spacing w:val="-3"/>
          <w:kern w:val="2"/>
          <w:sz w:val="21"/>
          <w:szCs w:val="21"/>
          <w:highlight w:val="none"/>
          <w:lang w:val="en-US" w:eastAsia="zh-CN" w:bidi="ar-SA"/>
        </w:rPr>
        <w:t>影</w:t>
      </w:r>
      <w:r>
        <w:rPr>
          <w:rFonts w:hint="eastAsia" w:ascii="宋体" w:hAnsi="宋体" w:eastAsia="宋体" w:cs="宋体"/>
          <w:kern w:val="2"/>
          <w:sz w:val="21"/>
          <w:szCs w:val="21"/>
          <w:highlight w:val="none"/>
          <w:lang w:val="en-US" w:eastAsia="zh-CN" w:bidi="ar-SA"/>
        </w:rPr>
        <w:t>响</w:t>
      </w:r>
      <w:r>
        <w:rPr>
          <w:rFonts w:hint="eastAsia" w:ascii="宋体" w:hAnsi="宋体" w:eastAsia="宋体" w:cs="宋体"/>
          <w:spacing w:val="-3"/>
          <w:kern w:val="2"/>
          <w:sz w:val="21"/>
          <w:szCs w:val="21"/>
          <w:highlight w:val="none"/>
          <w:lang w:val="en-US" w:eastAsia="zh-CN" w:bidi="ar-SA"/>
        </w:rPr>
        <w:t>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及</w:t>
      </w:r>
      <w:r>
        <w:rPr>
          <w:rFonts w:hint="eastAsia" w:ascii="宋体" w:hAnsi="宋体" w:eastAsia="宋体" w:cs="宋体"/>
          <w:spacing w:val="-3"/>
          <w:kern w:val="2"/>
          <w:sz w:val="21"/>
          <w:szCs w:val="21"/>
          <w:highlight w:val="none"/>
          <w:lang w:val="en-US" w:eastAsia="zh-CN" w:bidi="ar-SA"/>
        </w:rPr>
        <w:t>其</w:t>
      </w:r>
      <w:r>
        <w:rPr>
          <w:rFonts w:hint="eastAsia" w:ascii="宋体" w:hAnsi="宋体" w:eastAsia="宋体" w:cs="宋体"/>
          <w:kern w:val="2"/>
          <w:sz w:val="21"/>
          <w:szCs w:val="21"/>
          <w:highlight w:val="none"/>
          <w:lang w:val="en-US" w:eastAsia="zh-CN" w:bidi="ar-SA"/>
        </w:rPr>
        <w:t>关</w:t>
      </w:r>
      <w:r>
        <w:rPr>
          <w:rFonts w:hint="eastAsia" w:ascii="宋体" w:hAnsi="宋体" w:eastAsia="宋体" w:cs="宋体"/>
          <w:spacing w:val="-3"/>
          <w:kern w:val="2"/>
          <w:sz w:val="21"/>
          <w:szCs w:val="21"/>
          <w:highlight w:val="none"/>
          <w:lang w:val="en-US" w:eastAsia="zh-CN" w:bidi="ar-SA"/>
        </w:rPr>
        <w:t>键</w:t>
      </w:r>
      <w:r>
        <w:rPr>
          <w:rFonts w:hint="eastAsia" w:ascii="宋体" w:hAnsi="宋体" w:eastAsia="宋体" w:cs="宋体"/>
          <w:kern w:val="2"/>
          <w:sz w:val="21"/>
          <w:szCs w:val="21"/>
          <w:highlight w:val="none"/>
          <w:lang w:val="en-US" w:eastAsia="zh-CN" w:bidi="ar-SA"/>
        </w:rPr>
        <w:t>部</w:t>
      </w:r>
      <w:r>
        <w:rPr>
          <w:rFonts w:hint="eastAsia" w:ascii="宋体" w:hAnsi="宋体" w:eastAsia="宋体" w:cs="宋体"/>
          <w:spacing w:val="-3"/>
          <w:kern w:val="2"/>
          <w:sz w:val="21"/>
          <w:szCs w:val="21"/>
          <w:highlight w:val="none"/>
          <w:lang w:val="en-US" w:eastAsia="zh-CN" w:bidi="ar-SA"/>
        </w:rPr>
        <w:t>件</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制</w:t>
      </w:r>
      <w:r>
        <w:rPr>
          <w:rFonts w:hint="eastAsia" w:ascii="宋体" w:hAnsi="宋体" w:eastAsia="宋体" w:cs="宋体"/>
          <w:kern w:val="2"/>
          <w:sz w:val="21"/>
          <w:szCs w:val="21"/>
          <w:highlight w:val="none"/>
          <w:lang w:val="en-US" w:eastAsia="zh-CN" w:bidi="ar-SA"/>
        </w:rPr>
        <w:t>造或</w:t>
      </w:r>
      <w:r>
        <w:rPr>
          <w:rFonts w:hint="eastAsia" w:ascii="宋体" w:hAnsi="宋体" w:eastAsia="宋体" w:cs="宋体"/>
          <w:spacing w:val="-3"/>
          <w:kern w:val="2"/>
          <w:sz w:val="21"/>
          <w:szCs w:val="21"/>
          <w:highlight w:val="none"/>
          <w:lang w:val="en-US" w:eastAsia="zh-CN" w:bidi="ar-SA"/>
        </w:rPr>
        <w:t>检</w:t>
      </w:r>
      <w:r>
        <w:rPr>
          <w:rFonts w:hint="eastAsia" w:ascii="宋体" w:hAnsi="宋体" w:eastAsia="宋体" w:cs="宋体"/>
          <w:kern w:val="2"/>
          <w:sz w:val="21"/>
          <w:szCs w:val="21"/>
          <w:highlight w:val="none"/>
          <w:lang w:val="en-US" w:eastAsia="zh-CN" w:bidi="ar-SA"/>
        </w:rPr>
        <w:t>验</w:t>
      </w:r>
      <w:r>
        <w:rPr>
          <w:rFonts w:hint="eastAsia" w:ascii="宋体" w:hAnsi="宋体" w:eastAsia="宋体" w:cs="宋体"/>
          <w:spacing w:val="-92"/>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但</w:t>
      </w:r>
      <w:r>
        <w:rPr>
          <w:rFonts w:hint="eastAsia" w:ascii="宋体" w:hAnsi="宋体" w:eastAsia="宋体" w:cs="宋体"/>
          <w:kern w:val="2"/>
          <w:sz w:val="21"/>
          <w:szCs w:val="21"/>
          <w:highlight w:val="none"/>
          <w:lang w:val="en-US" w:eastAsia="zh-CN" w:bidi="ar-SA"/>
        </w:rPr>
        <w:t>买</w:t>
      </w:r>
      <w:r>
        <w:rPr>
          <w:rFonts w:hint="eastAsia" w:ascii="宋体" w:hAnsi="宋体" w:eastAsia="宋体" w:cs="宋体"/>
          <w:spacing w:val="-3"/>
          <w:kern w:val="2"/>
          <w:sz w:val="21"/>
          <w:szCs w:val="21"/>
          <w:highlight w:val="none"/>
          <w:lang w:val="en-US" w:eastAsia="zh-CN" w:bidi="ar-SA"/>
        </w:rPr>
        <w:t>方</w:t>
      </w:r>
      <w:r>
        <w:rPr>
          <w:rFonts w:hint="eastAsia" w:ascii="宋体" w:hAnsi="宋体" w:eastAsia="宋体" w:cs="宋体"/>
          <w:kern w:val="2"/>
          <w:sz w:val="21"/>
          <w:szCs w:val="21"/>
          <w:highlight w:val="none"/>
          <w:lang w:val="en-US" w:eastAsia="zh-CN" w:bidi="ar-SA"/>
        </w:rPr>
        <w:t>监</w:t>
      </w:r>
      <w:r>
        <w:rPr>
          <w:rFonts w:hint="eastAsia" w:ascii="宋体" w:hAnsi="宋体" w:eastAsia="宋体" w:cs="宋体"/>
          <w:spacing w:val="-3"/>
          <w:kern w:val="2"/>
          <w:sz w:val="21"/>
          <w:szCs w:val="21"/>
          <w:highlight w:val="none"/>
          <w:lang w:val="en-US" w:eastAsia="zh-CN" w:bidi="ar-SA"/>
        </w:rPr>
        <w:t>造</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员</w:t>
      </w:r>
      <w:r>
        <w:rPr>
          <w:rFonts w:hint="eastAsia" w:ascii="宋体" w:hAnsi="宋体" w:eastAsia="宋体" w:cs="宋体"/>
          <w:kern w:val="2"/>
          <w:sz w:val="21"/>
          <w:szCs w:val="21"/>
          <w:highlight w:val="none"/>
          <w:lang w:val="en-US" w:eastAsia="zh-CN" w:bidi="ar-SA"/>
        </w:rPr>
        <w:t>有权</w:t>
      </w:r>
      <w:r>
        <w:rPr>
          <w:rFonts w:hint="eastAsia" w:ascii="宋体" w:hAnsi="宋体" w:eastAsia="宋体" w:cs="宋体"/>
          <w:spacing w:val="-3"/>
          <w:kern w:val="2"/>
          <w:sz w:val="21"/>
          <w:szCs w:val="21"/>
          <w:highlight w:val="none"/>
          <w:lang w:val="en-US" w:eastAsia="zh-CN" w:bidi="ar-SA"/>
        </w:rPr>
        <w:t>事</w:t>
      </w:r>
      <w:r>
        <w:rPr>
          <w:rFonts w:hint="eastAsia" w:ascii="宋体" w:hAnsi="宋体" w:eastAsia="宋体" w:cs="宋体"/>
          <w:kern w:val="2"/>
          <w:sz w:val="21"/>
          <w:szCs w:val="21"/>
          <w:highlight w:val="none"/>
          <w:lang w:val="en-US" w:eastAsia="zh-CN" w:bidi="ar-SA"/>
        </w:rPr>
        <w:t>后</w:t>
      </w:r>
      <w:r>
        <w:rPr>
          <w:rFonts w:hint="eastAsia" w:ascii="宋体" w:hAnsi="宋体" w:eastAsia="宋体" w:cs="宋体"/>
          <w:spacing w:val="-3"/>
          <w:kern w:val="2"/>
          <w:sz w:val="21"/>
          <w:szCs w:val="21"/>
          <w:highlight w:val="none"/>
          <w:lang w:val="en-US" w:eastAsia="zh-CN" w:bidi="ar-SA"/>
        </w:rPr>
        <w:t>了解</w:t>
      </w:r>
      <w:r>
        <w:rPr>
          <w:rFonts w:hint="eastAsia" w:ascii="宋体" w:hAnsi="宋体" w:eastAsia="宋体" w:cs="宋体"/>
          <w:kern w:val="2"/>
          <w:sz w:val="21"/>
          <w:szCs w:val="21"/>
          <w:highlight w:val="none"/>
          <w:lang w:val="en-US" w:eastAsia="zh-CN" w:bidi="ar-SA"/>
        </w:rPr>
        <w:t>、查阅、复制相关制造或检验记录。</w:t>
      </w:r>
    </w:p>
    <w:p w14:paraId="1B9D562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4.1.4 </w:t>
      </w:r>
      <w:r>
        <w:rPr>
          <w:rFonts w:hint="eastAsia" w:ascii="宋体" w:hAnsi="宋体" w:eastAsia="宋体" w:cs="宋体"/>
          <w:spacing w:val="-4"/>
          <w:kern w:val="2"/>
          <w:sz w:val="21"/>
          <w:szCs w:val="21"/>
          <w:highlight w:val="none"/>
          <w:lang w:val="en-US" w:eastAsia="zh-CN" w:bidi="ar-SA"/>
        </w:rPr>
        <w:t>买方监造人员在监造中如发现合同设备及其关键部件不符合合同约定的标准，则有权</w:t>
      </w:r>
      <w:r>
        <w:rPr>
          <w:rFonts w:hint="eastAsia" w:ascii="宋体" w:hAnsi="宋体" w:eastAsia="宋体" w:cs="宋体"/>
          <w:spacing w:val="-1"/>
          <w:kern w:val="2"/>
          <w:sz w:val="21"/>
          <w:szCs w:val="21"/>
          <w:highlight w:val="none"/>
          <w:lang w:val="en-US" w:eastAsia="zh-CN" w:bidi="ar-SA"/>
        </w:rPr>
        <w:t>提出意见和建议。卖方应采取必要措施消除合同设备的不符，由此增加的费用和（或）造成的</w:t>
      </w:r>
      <w:r>
        <w:rPr>
          <w:rFonts w:hint="eastAsia" w:ascii="宋体" w:hAnsi="宋体" w:eastAsia="宋体" w:cs="宋体"/>
          <w:kern w:val="2"/>
          <w:sz w:val="21"/>
          <w:szCs w:val="21"/>
          <w:highlight w:val="none"/>
          <w:lang w:val="en-US" w:eastAsia="zh-CN" w:bidi="ar-SA"/>
        </w:rPr>
        <w:t>延误由卖方负责。</w:t>
      </w:r>
    </w:p>
    <w:p w14:paraId="1D25DC1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4.1.5 </w:t>
      </w:r>
      <w:r>
        <w:rPr>
          <w:rFonts w:hint="eastAsia" w:ascii="宋体" w:hAnsi="宋体" w:eastAsia="宋体" w:cs="宋体"/>
          <w:spacing w:val="-4"/>
          <w:kern w:val="2"/>
          <w:sz w:val="21"/>
          <w:szCs w:val="21"/>
          <w:highlight w:val="none"/>
          <w:lang w:val="en-US" w:eastAsia="zh-CN" w:bidi="ar-SA"/>
        </w:rPr>
        <w:t>买方监造人员对合同设备的监造，不视为对合同设备质量的确认，不影响卖方交货后</w:t>
      </w:r>
      <w:r>
        <w:rPr>
          <w:rFonts w:hint="eastAsia" w:ascii="宋体" w:hAnsi="宋体" w:eastAsia="宋体" w:cs="宋体"/>
          <w:spacing w:val="-1"/>
          <w:kern w:val="2"/>
          <w:sz w:val="21"/>
          <w:szCs w:val="21"/>
          <w:highlight w:val="none"/>
          <w:lang w:val="en-US" w:eastAsia="zh-CN" w:bidi="ar-SA"/>
        </w:rPr>
        <w:t>买方依照合同约定对合同设备提出质量异议和（或）退货的权利，也不免除卖方依照合同约定</w:t>
      </w:r>
      <w:r>
        <w:rPr>
          <w:rFonts w:hint="eastAsia" w:ascii="宋体" w:hAnsi="宋体" w:eastAsia="宋体" w:cs="宋体"/>
          <w:kern w:val="2"/>
          <w:sz w:val="21"/>
          <w:szCs w:val="21"/>
          <w:highlight w:val="none"/>
          <w:lang w:val="en-US" w:eastAsia="zh-CN" w:bidi="ar-SA"/>
        </w:rPr>
        <w:t>对合同设备所应承担的任何义务或责任。</w:t>
      </w:r>
    </w:p>
    <w:p w14:paraId="2FDF0CB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26" w:name="_bookmark120"/>
      <w:bookmarkEnd w:id="626"/>
      <w:bookmarkStart w:id="627" w:name="_Toc27516"/>
      <w:bookmarkStart w:id="628" w:name="_Toc20163"/>
      <w:bookmarkStart w:id="629" w:name="_Toc16235"/>
      <w:r>
        <w:rPr>
          <w:rFonts w:hint="eastAsia" w:ascii="宋体" w:hAnsi="宋体" w:eastAsia="宋体" w:cs="宋体"/>
          <w:kern w:val="0"/>
          <w:sz w:val="21"/>
          <w:szCs w:val="21"/>
          <w:highlight w:val="none"/>
          <w:lang w:val="en-US" w:eastAsia="zh-CN" w:bidi="ar-SA"/>
        </w:rPr>
        <w:t>4.2  交货前检验</w:t>
      </w:r>
      <w:bookmarkEnd w:id="627"/>
      <w:bookmarkEnd w:id="628"/>
      <w:bookmarkEnd w:id="629"/>
    </w:p>
    <w:p w14:paraId="61D24F7D">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专用合同条款约定买方参与交货前检验的，双方应按本款及专用合同条款约定履行。</w:t>
      </w:r>
    </w:p>
    <w:p w14:paraId="0D5251E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4.2.1 </w:t>
      </w:r>
      <w:r>
        <w:rPr>
          <w:rFonts w:hint="eastAsia" w:ascii="宋体" w:hAnsi="宋体" w:eastAsia="宋体" w:cs="宋体"/>
          <w:spacing w:val="-4"/>
          <w:kern w:val="2"/>
          <w:sz w:val="21"/>
          <w:szCs w:val="21"/>
          <w:highlight w:val="none"/>
          <w:lang w:val="en-US" w:eastAsia="zh-CN" w:bidi="ar-SA"/>
        </w:rPr>
        <w:t>合同设备交货前，卖方应会同买方代表根据合同约定对合同设备进行交货前检验并出</w:t>
      </w:r>
      <w:r>
        <w:rPr>
          <w:rFonts w:hint="eastAsia" w:ascii="宋体" w:hAnsi="宋体" w:eastAsia="宋体" w:cs="宋体"/>
          <w:spacing w:val="-1"/>
          <w:kern w:val="2"/>
          <w:sz w:val="21"/>
          <w:szCs w:val="21"/>
          <w:highlight w:val="none"/>
          <w:lang w:val="en-US" w:eastAsia="zh-CN" w:bidi="ar-SA"/>
        </w:rPr>
        <w:t>具交货前检验记录，有关费用由卖方承担。卖方应免费为买方代表提供工作条件及便利，包括但不限于必要的办公场所、技术资料、检测工具及出入许可等。除专用合同条款另有约定外，</w:t>
      </w:r>
      <w:r>
        <w:rPr>
          <w:rFonts w:hint="eastAsia" w:ascii="宋体" w:hAnsi="宋体" w:eastAsia="宋体" w:cs="宋体"/>
          <w:kern w:val="2"/>
          <w:sz w:val="21"/>
          <w:szCs w:val="21"/>
          <w:highlight w:val="none"/>
          <w:lang w:val="en-US" w:eastAsia="zh-CN" w:bidi="ar-SA"/>
        </w:rPr>
        <w:t>买方代表的交通、食宿费用由买方承担。</w:t>
      </w:r>
    </w:p>
    <w:p w14:paraId="64B7454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4.2.2 </w:t>
      </w:r>
      <w:r>
        <w:rPr>
          <w:rFonts w:hint="eastAsia" w:ascii="宋体" w:hAnsi="宋体" w:eastAsia="宋体" w:cs="宋体"/>
          <w:spacing w:val="-4"/>
          <w:kern w:val="2"/>
          <w:sz w:val="21"/>
          <w:szCs w:val="21"/>
          <w:highlight w:val="none"/>
          <w:lang w:val="en-US" w:eastAsia="zh-CN" w:bidi="ar-SA"/>
        </w:rPr>
        <w:t>除专用合同条款和（或）供货要求等合同文件另有约定外，卖方应提前</w:t>
      </w:r>
      <w:r>
        <w:rPr>
          <w:rFonts w:hint="eastAsia" w:ascii="宋体" w:hAnsi="宋体" w:eastAsia="宋体" w:cs="宋体"/>
          <w:kern w:val="2"/>
          <w:sz w:val="21"/>
          <w:szCs w:val="21"/>
          <w:highlight w:val="none"/>
          <w:lang w:val="en-US" w:eastAsia="zh-CN" w:bidi="ar-SA"/>
        </w:rPr>
        <w:t>7日将需要买</w:t>
      </w:r>
      <w:r>
        <w:rPr>
          <w:rFonts w:hint="eastAsia" w:ascii="宋体" w:hAnsi="宋体" w:eastAsia="宋体" w:cs="宋体"/>
          <w:spacing w:val="-1"/>
          <w:kern w:val="2"/>
          <w:sz w:val="21"/>
          <w:szCs w:val="21"/>
          <w:highlight w:val="none"/>
          <w:lang w:val="en-US" w:eastAsia="zh-CN" w:bidi="ar-SA"/>
        </w:rPr>
        <w:t>方代表检验事项通知买方；如买方代表未按通知出席，不影响合同设备的检验。若卖方未依照合同约定提前通知买方而自行检验，则买方有权要求卖方暂停发货并重新进行检验，由此增加</w:t>
      </w:r>
      <w:r>
        <w:rPr>
          <w:rFonts w:hint="eastAsia" w:ascii="宋体" w:hAnsi="宋体" w:eastAsia="宋体" w:cs="宋体"/>
          <w:kern w:val="2"/>
          <w:sz w:val="21"/>
          <w:szCs w:val="21"/>
          <w:highlight w:val="none"/>
          <w:lang w:val="en-US" w:eastAsia="zh-CN" w:bidi="ar-SA"/>
        </w:rPr>
        <w:t>的费用和（或）造成的延误由卖方负责。</w:t>
      </w:r>
    </w:p>
    <w:p w14:paraId="7F82E00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4.2.3 </w:t>
      </w:r>
      <w:r>
        <w:rPr>
          <w:rFonts w:hint="eastAsia" w:ascii="宋体" w:hAnsi="宋体" w:eastAsia="宋体" w:cs="宋体"/>
          <w:spacing w:val="-4"/>
          <w:kern w:val="2"/>
          <w:sz w:val="21"/>
          <w:szCs w:val="21"/>
          <w:highlight w:val="none"/>
          <w:lang w:val="en-US" w:eastAsia="zh-CN" w:bidi="ar-SA"/>
        </w:rPr>
        <w:t>买方代表在检验中如发现合同设备不符合合同约定的标准，则有权提出异议。卖方应</w:t>
      </w:r>
      <w:r>
        <w:rPr>
          <w:rFonts w:hint="eastAsia" w:ascii="宋体" w:hAnsi="宋体" w:eastAsia="宋体" w:cs="宋体"/>
          <w:kern w:val="2"/>
          <w:sz w:val="21"/>
          <w:szCs w:val="21"/>
          <w:highlight w:val="none"/>
          <w:lang w:val="en-US" w:eastAsia="zh-CN" w:bidi="ar-SA"/>
        </w:rPr>
        <w:t>采取必要措施消除合同设备的不符，由此增加的费用和（或）造成的延误由卖方负责。</w:t>
      </w:r>
    </w:p>
    <w:p w14:paraId="631E4F5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4.2.4 </w:t>
      </w:r>
      <w:r>
        <w:rPr>
          <w:rFonts w:hint="eastAsia" w:ascii="宋体" w:hAnsi="宋体" w:eastAsia="宋体" w:cs="宋体"/>
          <w:spacing w:val="-4"/>
          <w:kern w:val="2"/>
          <w:sz w:val="21"/>
          <w:szCs w:val="21"/>
          <w:highlight w:val="none"/>
          <w:lang w:val="en-US" w:eastAsia="zh-CN" w:bidi="ar-SA"/>
        </w:rPr>
        <w:t>买方代表参与交货前检验及签署交货前检验记录的行为，不视为对合同设备质量的确</w:t>
      </w:r>
      <w:r>
        <w:rPr>
          <w:rFonts w:hint="eastAsia" w:ascii="宋体" w:hAnsi="宋体" w:eastAsia="宋体" w:cs="宋体"/>
          <w:spacing w:val="-1"/>
          <w:kern w:val="2"/>
          <w:sz w:val="21"/>
          <w:szCs w:val="21"/>
          <w:highlight w:val="none"/>
          <w:lang w:val="en-US" w:eastAsia="zh-CN" w:bidi="ar-SA"/>
        </w:rPr>
        <w:t>认，不影响卖方交货后买方依照合同约定对合同设备提出质量异议和（或）退货的权利，也不</w:t>
      </w:r>
      <w:r>
        <w:rPr>
          <w:rFonts w:hint="eastAsia" w:ascii="宋体" w:hAnsi="宋体" w:eastAsia="宋体" w:cs="宋体"/>
          <w:kern w:val="2"/>
          <w:sz w:val="21"/>
          <w:szCs w:val="21"/>
          <w:highlight w:val="none"/>
          <w:lang w:val="en-US" w:eastAsia="zh-CN" w:bidi="ar-SA"/>
        </w:rPr>
        <w:t>免除卖方依照合同约定对合同设备所应承担的任何义务或责任。</w:t>
      </w:r>
    </w:p>
    <w:p w14:paraId="52E56EB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30" w:name="_bookmark121"/>
      <w:bookmarkEnd w:id="630"/>
      <w:bookmarkStart w:id="631" w:name="_Toc62034475"/>
      <w:bookmarkStart w:id="632" w:name="_Toc802"/>
      <w:bookmarkStart w:id="633" w:name="_Toc18249"/>
      <w:bookmarkStart w:id="634" w:name="_Toc91344945"/>
      <w:bookmarkStart w:id="635" w:name="_Toc534572289"/>
      <w:bookmarkStart w:id="636" w:name="_Toc54550757"/>
      <w:bookmarkStart w:id="637" w:name="_Toc19401"/>
      <w:bookmarkStart w:id="638" w:name="_Toc28090"/>
      <w:r>
        <w:rPr>
          <w:rFonts w:hint="eastAsia" w:ascii="宋体" w:hAnsi="宋体" w:eastAsia="宋体" w:cs="宋体"/>
          <w:b/>
          <w:bCs/>
          <w:kern w:val="0"/>
          <w:sz w:val="21"/>
          <w:szCs w:val="21"/>
          <w:highlight w:val="none"/>
          <w:lang w:val="en-US" w:eastAsia="zh-CN" w:bidi="ar-SA"/>
        </w:rPr>
        <w:t>5.包装、标记、运输和交付</w:t>
      </w:r>
      <w:bookmarkEnd w:id="631"/>
      <w:bookmarkEnd w:id="632"/>
      <w:bookmarkEnd w:id="633"/>
      <w:bookmarkEnd w:id="634"/>
      <w:bookmarkEnd w:id="635"/>
      <w:bookmarkEnd w:id="636"/>
      <w:bookmarkEnd w:id="637"/>
      <w:bookmarkEnd w:id="638"/>
    </w:p>
    <w:p w14:paraId="311C8EC2">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39" w:name="_bookmark122"/>
      <w:bookmarkEnd w:id="639"/>
      <w:bookmarkStart w:id="640" w:name="_Toc10180"/>
      <w:bookmarkStart w:id="641" w:name="_Toc23238"/>
      <w:bookmarkStart w:id="642" w:name="_Toc23966"/>
      <w:r>
        <w:rPr>
          <w:rFonts w:hint="eastAsia" w:ascii="宋体" w:hAnsi="宋体" w:eastAsia="宋体" w:cs="宋体"/>
          <w:kern w:val="0"/>
          <w:sz w:val="21"/>
          <w:szCs w:val="21"/>
          <w:highlight w:val="none"/>
          <w:lang w:val="en-US" w:eastAsia="zh-CN" w:bidi="ar-SA"/>
        </w:rPr>
        <w:t>5.1  包装</w:t>
      </w:r>
      <w:bookmarkEnd w:id="640"/>
      <w:bookmarkEnd w:id="641"/>
      <w:bookmarkEnd w:id="642"/>
    </w:p>
    <w:p w14:paraId="41FF8CD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5.1.1 卖方应对合同设备进行妥善包装，以满足合同设备运至施工场地及在施工场地保管的 需要。包装应采取防潮、防晒、防锈、防腐蚀、防震动及防止其它损坏的必要保护措施，从而保护合同设备能够经受多次搬运、装卸、长途运输并适宜保管。</w:t>
      </w:r>
    </w:p>
    <w:p w14:paraId="01145FFD">
      <w:pPr>
        <w:widowControl w:val="0"/>
        <w:spacing w:beforeLines="0" w:after="0" w:afterLines="0" w:line="360" w:lineRule="auto"/>
        <w:ind w:left="0" w:right="0"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5.1.2 </w:t>
      </w:r>
      <w:r>
        <w:rPr>
          <w:rFonts w:hint="eastAsia" w:ascii="宋体" w:hAnsi="宋体" w:eastAsia="宋体" w:cs="宋体"/>
          <w:spacing w:val="-6"/>
          <w:kern w:val="2"/>
          <w:sz w:val="21"/>
          <w:szCs w:val="21"/>
          <w:highlight w:val="none"/>
          <w:lang w:val="en-US" w:eastAsia="zh-CN" w:bidi="ar-SA"/>
        </w:rPr>
        <w:t>每个独立包装箱内应附装箱清单、质量合格证、装配图、说明书、操作指南等资料。</w:t>
      </w:r>
    </w:p>
    <w:p w14:paraId="63E856CE">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5.1.3 除专用合同条款另有约定外，买方无需将包装物退还给卖方。</w:t>
      </w:r>
    </w:p>
    <w:p w14:paraId="2580FA8C">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43" w:name="_bookmark123"/>
      <w:bookmarkEnd w:id="643"/>
      <w:bookmarkStart w:id="644" w:name="_Toc29449"/>
      <w:bookmarkStart w:id="645" w:name="_Toc25405"/>
      <w:bookmarkStart w:id="646" w:name="_Toc27933"/>
      <w:r>
        <w:rPr>
          <w:rFonts w:hint="eastAsia" w:ascii="宋体" w:hAnsi="宋体" w:eastAsia="宋体" w:cs="宋体"/>
          <w:kern w:val="0"/>
          <w:sz w:val="21"/>
          <w:szCs w:val="21"/>
          <w:highlight w:val="none"/>
          <w:lang w:val="en-US" w:eastAsia="zh-CN" w:bidi="ar-SA"/>
        </w:rPr>
        <w:t>5.2  标记</w:t>
      </w:r>
      <w:bookmarkEnd w:id="644"/>
      <w:bookmarkEnd w:id="645"/>
      <w:bookmarkEnd w:id="646"/>
    </w:p>
    <w:p w14:paraId="4177024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5.2.1 </w:t>
      </w:r>
      <w:r>
        <w:rPr>
          <w:rFonts w:hint="eastAsia" w:ascii="宋体" w:hAnsi="宋体" w:eastAsia="宋体" w:cs="宋体"/>
          <w:spacing w:val="-4"/>
          <w:kern w:val="2"/>
          <w:sz w:val="21"/>
          <w:szCs w:val="21"/>
          <w:highlight w:val="none"/>
          <w:lang w:val="en-US" w:eastAsia="zh-CN" w:bidi="ar-SA"/>
        </w:rPr>
        <w:t>除专用合同条款另有约定外，卖方应在每一包装箱相邻的四个侧面以不可擦除的、明</w:t>
      </w:r>
      <w:r>
        <w:rPr>
          <w:rFonts w:hint="eastAsia" w:ascii="宋体" w:hAnsi="宋体" w:eastAsia="宋体" w:cs="宋体"/>
          <w:kern w:val="2"/>
          <w:sz w:val="21"/>
          <w:szCs w:val="21"/>
          <w:highlight w:val="none"/>
          <w:lang w:val="en-US" w:eastAsia="zh-CN" w:bidi="ar-SA"/>
        </w:rPr>
        <w:t>显的方式标记必要的装运信息和标记，以满足合同设备运输和保管的需要。</w:t>
      </w:r>
    </w:p>
    <w:p w14:paraId="6820B5F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5.2.2 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w:t>
      </w:r>
    </w:p>
    <w:p w14:paraId="2D934E5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47" w:name="_bookmark124"/>
      <w:bookmarkEnd w:id="647"/>
      <w:bookmarkStart w:id="648" w:name="_Toc26803"/>
      <w:bookmarkStart w:id="649" w:name="_Toc23011"/>
      <w:bookmarkStart w:id="650" w:name="_Toc9715"/>
      <w:r>
        <w:rPr>
          <w:rFonts w:hint="eastAsia" w:ascii="宋体" w:hAnsi="宋体" w:eastAsia="宋体" w:cs="宋体"/>
          <w:kern w:val="0"/>
          <w:sz w:val="21"/>
          <w:szCs w:val="21"/>
          <w:highlight w:val="none"/>
          <w:lang w:val="en-US" w:eastAsia="zh-CN" w:bidi="ar-SA"/>
        </w:rPr>
        <w:t>5.3  运输</w:t>
      </w:r>
      <w:bookmarkEnd w:id="648"/>
      <w:bookmarkEnd w:id="649"/>
      <w:bookmarkEnd w:id="650"/>
    </w:p>
    <w:p w14:paraId="4369F5CA">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5.3.1 卖方应自行选择适宜的运输工具及线路安排合同设备运输。</w:t>
      </w:r>
    </w:p>
    <w:p w14:paraId="05DE85B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5.3.2 </w:t>
      </w:r>
      <w:r>
        <w:rPr>
          <w:rFonts w:hint="eastAsia" w:ascii="宋体" w:hAnsi="宋体" w:eastAsia="宋体" w:cs="宋体"/>
          <w:spacing w:val="-4"/>
          <w:kern w:val="2"/>
          <w:sz w:val="21"/>
          <w:szCs w:val="21"/>
          <w:highlight w:val="none"/>
          <w:lang w:val="en-US" w:eastAsia="zh-CN" w:bidi="ar-SA"/>
        </w:rPr>
        <w:t>除专用合同条款另有约定外，每件能够独立运行的设备应整套装运。该设备安装、调</w:t>
      </w:r>
      <w:r>
        <w:rPr>
          <w:rFonts w:hint="eastAsia" w:ascii="宋体" w:hAnsi="宋体" w:eastAsia="宋体" w:cs="宋体"/>
          <w:kern w:val="2"/>
          <w:sz w:val="21"/>
          <w:szCs w:val="21"/>
          <w:highlight w:val="none"/>
          <w:lang w:val="en-US" w:eastAsia="zh-CN" w:bidi="ar-SA"/>
        </w:rPr>
        <w:t>试、考核和运行所使用的备品、备件、易损易耗件等应随相关的主机一起装运。</w:t>
      </w:r>
    </w:p>
    <w:p w14:paraId="7BDB082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5.3.3 除专用合同条款另有约定外，卖方应在合同设备预计启运 7 日前，将合同设备名称、数量</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箱</w:t>
      </w:r>
      <w:r>
        <w:rPr>
          <w:rFonts w:hint="eastAsia" w:ascii="宋体" w:hAnsi="宋体" w:eastAsia="宋体" w:cs="宋体"/>
          <w:spacing w:val="-3"/>
          <w:kern w:val="2"/>
          <w:sz w:val="21"/>
          <w:szCs w:val="21"/>
          <w:highlight w:val="none"/>
          <w:lang w:val="en-US" w:eastAsia="zh-CN" w:bidi="ar-SA"/>
        </w:rPr>
        <w:t>数</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毛重</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体积</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用</w:t>
      </w:r>
      <w:r>
        <w:rPr>
          <w:rFonts w:hint="eastAsia" w:ascii="宋体" w:hAnsi="宋体" w:eastAsia="宋体" w:cs="宋体"/>
          <w:spacing w:val="-4"/>
          <w:kern w:val="2"/>
          <w:sz w:val="21"/>
          <w:szCs w:val="21"/>
          <w:highlight w:val="none"/>
          <w:lang w:val="en-US" w:eastAsia="zh-CN" w:bidi="ar-SA"/>
        </w:rPr>
        <w:t>m³</w:t>
      </w:r>
      <w:r>
        <w:rPr>
          <w:rFonts w:hint="eastAsia" w:ascii="宋体" w:hAnsi="宋体" w:eastAsia="宋体" w:cs="宋体"/>
          <w:kern w:val="2"/>
          <w:sz w:val="21"/>
          <w:szCs w:val="21"/>
          <w:highlight w:val="none"/>
          <w:lang w:val="en-US" w:eastAsia="zh-CN" w:bidi="ar-SA"/>
        </w:rPr>
        <w:t>表示）、</w:t>
      </w:r>
      <w:r>
        <w:rPr>
          <w:rFonts w:hint="eastAsia" w:ascii="宋体" w:hAnsi="宋体" w:eastAsia="宋体" w:cs="宋体"/>
          <w:spacing w:val="-3"/>
          <w:kern w:val="2"/>
          <w:sz w:val="21"/>
          <w:szCs w:val="21"/>
          <w:highlight w:val="none"/>
          <w:lang w:val="en-US" w:eastAsia="zh-CN" w:bidi="ar-SA"/>
        </w:rPr>
        <w:t>每箱</w:t>
      </w:r>
      <w:r>
        <w:rPr>
          <w:rFonts w:hint="eastAsia" w:ascii="宋体" w:hAnsi="宋体" w:eastAsia="宋体" w:cs="宋体"/>
          <w:kern w:val="2"/>
          <w:sz w:val="21"/>
          <w:szCs w:val="21"/>
          <w:highlight w:val="none"/>
          <w:lang w:val="en-US" w:eastAsia="zh-CN" w:bidi="ar-SA"/>
        </w:rPr>
        <w:t>尺寸（</w:t>
      </w:r>
      <w:r>
        <w:rPr>
          <w:rFonts w:hint="eastAsia" w:ascii="宋体" w:hAnsi="宋体" w:eastAsia="宋体" w:cs="宋体"/>
          <w:spacing w:val="2"/>
          <w:kern w:val="2"/>
          <w:sz w:val="21"/>
          <w:szCs w:val="21"/>
          <w:highlight w:val="none"/>
          <w:lang w:val="en-US" w:eastAsia="zh-CN" w:bidi="ar-SA"/>
        </w:rPr>
        <w:t>长</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spacing w:val="2"/>
          <w:kern w:val="2"/>
          <w:sz w:val="21"/>
          <w:szCs w:val="21"/>
          <w:highlight w:val="none"/>
          <w:lang w:val="en-US" w:eastAsia="zh-CN" w:bidi="ar-SA"/>
        </w:rPr>
        <w:t>宽</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高）</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装</w:t>
      </w:r>
      <w:r>
        <w:rPr>
          <w:rFonts w:hint="eastAsia" w:ascii="宋体" w:hAnsi="宋体" w:eastAsia="宋体" w:cs="宋体"/>
          <w:spacing w:val="-3"/>
          <w:kern w:val="2"/>
          <w:sz w:val="21"/>
          <w:szCs w:val="21"/>
          <w:highlight w:val="none"/>
          <w:lang w:val="en-US" w:eastAsia="zh-CN" w:bidi="ar-SA"/>
        </w:rPr>
        <w:t>运合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总</w:t>
      </w:r>
      <w:r>
        <w:rPr>
          <w:rFonts w:hint="eastAsia" w:ascii="宋体" w:hAnsi="宋体" w:eastAsia="宋体" w:cs="宋体"/>
          <w:spacing w:val="-3"/>
          <w:kern w:val="2"/>
          <w:sz w:val="21"/>
          <w:szCs w:val="21"/>
          <w:highlight w:val="none"/>
          <w:lang w:val="en-US" w:eastAsia="zh-CN" w:bidi="ar-SA"/>
        </w:rPr>
        <w:t>金</w:t>
      </w:r>
      <w:r>
        <w:rPr>
          <w:rFonts w:hint="eastAsia" w:ascii="宋体" w:hAnsi="宋体" w:eastAsia="宋体" w:cs="宋体"/>
          <w:kern w:val="2"/>
          <w:sz w:val="21"/>
          <w:szCs w:val="21"/>
          <w:highlight w:val="none"/>
          <w:lang w:val="en-US" w:eastAsia="zh-CN" w:bidi="ar-SA"/>
        </w:rPr>
        <w:t>额、运输方式、预计交付日期和合同设备在运输、装卸、保管中的注意事项等预通知买方，并在合同设备启运后</w:t>
      </w:r>
      <w:r>
        <w:rPr>
          <w:rFonts w:hint="eastAsia" w:ascii="宋体" w:hAnsi="宋体" w:eastAsia="宋体" w:cs="宋体"/>
          <w:spacing w:val="-56"/>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24小时之内正式通知买方。</w:t>
      </w:r>
    </w:p>
    <w:p w14:paraId="237036D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5.3.4 卖方在根据第5.3.3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579876E5">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51" w:name="_Toc18833"/>
      <w:bookmarkStart w:id="652" w:name="_Toc30312"/>
      <w:bookmarkStart w:id="653" w:name="_Toc18034"/>
      <w:r>
        <w:rPr>
          <w:rFonts w:hint="eastAsia" w:ascii="宋体" w:hAnsi="宋体" w:eastAsia="宋体" w:cs="宋体"/>
          <w:kern w:val="0"/>
          <w:sz w:val="21"/>
          <w:szCs w:val="21"/>
          <w:highlight w:val="none"/>
          <w:lang w:val="en-US" w:eastAsia="zh-CN" w:bidi="ar-SA"/>
        </w:rPr>
        <w:t>5.4  交付</w:t>
      </w:r>
      <w:bookmarkEnd w:id="651"/>
      <w:bookmarkEnd w:id="652"/>
      <w:bookmarkEnd w:id="653"/>
    </w:p>
    <w:p w14:paraId="492FF5A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除专用合同条款另有约定外，卖方应根据合同约定的交付时间和批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和验收。</w:t>
      </w:r>
    </w:p>
    <w:p w14:paraId="2F5E5A5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5.4.2 合同设备的所有权和风险自交付时起由卖方转移至买方，合同设备交付给买方之前包括运输在内的所有风险均由卖方承担。</w:t>
      </w:r>
    </w:p>
    <w:p w14:paraId="07FA0DE1">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5.4.3 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05FD9415">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54" w:name="_bookmark126"/>
      <w:bookmarkEnd w:id="654"/>
      <w:bookmarkStart w:id="655" w:name="_Toc91344946"/>
      <w:bookmarkStart w:id="656" w:name="_Toc62034476"/>
      <w:bookmarkStart w:id="657" w:name="_Toc21307"/>
      <w:bookmarkStart w:id="658" w:name="_Toc4062"/>
      <w:bookmarkStart w:id="659" w:name="_Toc26149"/>
      <w:bookmarkStart w:id="660" w:name="_Toc534572290"/>
      <w:bookmarkStart w:id="661" w:name="_Toc54550758"/>
      <w:bookmarkStart w:id="662" w:name="_Toc10708"/>
      <w:r>
        <w:rPr>
          <w:rFonts w:hint="eastAsia" w:ascii="宋体" w:hAnsi="宋体" w:eastAsia="宋体" w:cs="宋体"/>
          <w:b/>
          <w:bCs/>
          <w:kern w:val="0"/>
          <w:sz w:val="21"/>
          <w:szCs w:val="21"/>
          <w:highlight w:val="none"/>
          <w:lang w:val="en-US" w:eastAsia="zh-CN" w:bidi="ar-SA"/>
        </w:rPr>
        <w:t>6.开箱检验、安装、调试、考核、验收</w:t>
      </w:r>
      <w:bookmarkEnd w:id="655"/>
      <w:bookmarkEnd w:id="656"/>
      <w:bookmarkEnd w:id="657"/>
      <w:bookmarkEnd w:id="658"/>
      <w:bookmarkEnd w:id="659"/>
      <w:bookmarkEnd w:id="660"/>
      <w:bookmarkEnd w:id="661"/>
      <w:bookmarkEnd w:id="662"/>
    </w:p>
    <w:p w14:paraId="21319B7C">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3" w:name="_bookmark127"/>
      <w:bookmarkEnd w:id="663"/>
      <w:r>
        <w:rPr>
          <w:rFonts w:hint="eastAsia" w:ascii="宋体" w:hAnsi="宋体" w:eastAsia="宋体" w:cs="宋体"/>
          <w:kern w:val="0"/>
          <w:sz w:val="21"/>
          <w:szCs w:val="21"/>
          <w:highlight w:val="none"/>
          <w:lang w:val="en-US" w:eastAsia="zh-CN" w:bidi="ar-SA"/>
        </w:rPr>
        <w:t>6.1  开箱检验</w:t>
      </w:r>
    </w:p>
    <w:p w14:paraId="75B0A6B6">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合同设备交付后应进行开箱检验，即合同设备数量及外观检验。开箱检验在专用合同条款约定的下列任一种时间进行：</w:t>
      </w:r>
    </w:p>
    <w:p w14:paraId="7C7F8E3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2A2E7FA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（2）合同设备交付后的一定期限内。如开箱检验不在合同设备交付时进行，买方应在开箱检验3日前将开箱检验的时间和地点通知卖方。</w:t>
      </w:r>
    </w:p>
    <w:p w14:paraId="27ABAF1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6.1.2 除专用合同条款另有约定外，合同设备的开箱检验应在施工场地进行。</w:t>
      </w:r>
    </w:p>
    <w:p w14:paraId="7DFAF75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6.1.3 开箱检验由买卖双方共同进行，卖方应自负费用派遣代表到场参加开箱检验。</w:t>
      </w:r>
    </w:p>
    <w:p w14:paraId="34B710E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6.1.4 在开箱检验中，买方和卖方应共同签署数量、外观检验报告，报告应列明检验结果，包括检验合格或发现的任何短缺、损坏或其它与合同约定不符的情形。</w:t>
      </w:r>
    </w:p>
    <w:p w14:paraId="2B40000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6.1.5 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52F0E82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6.1.6 如开箱检验不在合同设备交付时进行，则合同设备交付以后到开箱检验之前，应由买方负责按交货时外包装原样对合同设备进行妥善保管。除专用合同条款另有约定外，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3AA2AEC2">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6.1.7 如双方在专用合同条款和（或）供货要求等合同文件中约定由第三方检测机构对合同设备进行开箱检验或在开箱检验过程中另行约定由第三方检验的，则第三方检测机构的检验结果对双方均具有约束力。</w:t>
      </w:r>
    </w:p>
    <w:p w14:paraId="12D828B5">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6.1.8 开箱检验的检验结果不能对抗在合同设备的安装、调试、考核、验收中及质量保证期内发现的合同设备质量问题，也不能免除或影响卖方依照合同约定对买方负有的包括合同设备质量在内的任何义务或责任。</w:t>
      </w:r>
    </w:p>
    <w:p w14:paraId="781EB689">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4" w:name="_bookmark128"/>
      <w:bookmarkEnd w:id="664"/>
      <w:r>
        <w:rPr>
          <w:rFonts w:hint="eastAsia" w:ascii="宋体" w:hAnsi="宋体" w:eastAsia="宋体" w:cs="宋体"/>
          <w:kern w:val="0"/>
          <w:sz w:val="21"/>
          <w:szCs w:val="21"/>
          <w:highlight w:val="none"/>
          <w:lang w:val="en-US" w:eastAsia="zh-CN" w:bidi="ar-SA"/>
        </w:rPr>
        <w:t>6.2  安装、调试</w:t>
      </w:r>
    </w:p>
    <w:p w14:paraId="1E2B279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6.2.1 </w:t>
      </w:r>
      <w:r>
        <w:rPr>
          <w:rFonts w:hint="eastAsia" w:ascii="宋体" w:hAnsi="宋体" w:eastAsia="宋体" w:cs="宋体"/>
          <w:spacing w:val="-9"/>
          <w:kern w:val="2"/>
          <w:sz w:val="21"/>
          <w:szCs w:val="21"/>
          <w:highlight w:val="none"/>
          <w:lang w:val="en-US" w:eastAsia="zh-CN" w:bidi="ar-SA"/>
        </w:rPr>
        <w:t>开箱检验完成后，双方应对合同设备进行安装、调试，以使其具备考核的状态。安装、</w:t>
      </w:r>
      <w:r>
        <w:rPr>
          <w:rFonts w:hint="eastAsia" w:ascii="宋体" w:hAnsi="宋体" w:eastAsia="宋体" w:cs="宋体"/>
          <w:kern w:val="2"/>
          <w:sz w:val="21"/>
          <w:szCs w:val="21"/>
          <w:highlight w:val="none"/>
          <w:lang w:val="en-US" w:eastAsia="zh-CN" w:bidi="ar-SA"/>
        </w:rPr>
        <w:t>调试应按照专用合同条款约定的下列任一种方式进行：</w:t>
      </w:r>
    </w:p>
    <w:p w14:paraId="3278461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07F5A09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（2）买方或买方安排第三方负责合同设备的安装、调试工作，卖方提供技术服务。 </w:t>
      </w:r>
    </w:p>
    <w:p w14:paraId="22B4DFDA">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p>
    <w:p w14:paraId="06D61D7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6.2.2 </w:t>
      </w:r>
      <w:r>
        <w:rPr>
          <w:rFonts w:hint="eastAsia" w:ascii="宋体" w:hAnsi="宋体" w:eastAsia="宋体" w:cs="宋体"/>
          <w:spacing w:val="-4"/>
          <w:kern w:val="2"/>
          <w:sz w:val="21"/>
          <w:szCs w:val="21"/>
          <w:highlight w:val="none"/>
          <w:lang w:val="en-US" w:eastAsia="zh-CN" w:bidi="ar-SA"/>
        </w:rPr>
        <w:t>除专用合同条款另有约定外，安装、调试中合同设备运行需要的用水、用电、其他动</w:t>
      </w:r>
      <w:r>
        <w:rPr>
          <w:rFonts w:hint="eastAsia" w:ascii="宋体" w:hAnsi="宋体" w:eastAsia="宋体" w:cs="宋体"/>
          <w:kern w:val="2"/>
          <w:sz w:val="21"/>
          <w:szCs w:val="21"/>
          <w:highlight w:val="none"/>
          <w:lang w:val="en-US" w:eastAsia="zh-CN" w:bidi="ar-SA"/>
        </w:rPr>
        <w:t>力和原材料（如需要）等均由买方承担。</w:t>
      </w:r>
    </w:p>
    <w:p w14:paraId="6A307E91">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6.2.3 双方应对合同设备的安装、调试情况共同及时进行记录。</w:t>
      </w:r>
    </w:p>
    <w:p w14:paraId="683F71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5" w:name="_bookmark129"/>
      <w:bookmarkEnd w:id="665"/>
      <w:r>
        <w:rPr>
          <w:rFonts w:hint="eastAsia" w:ascii="宋体" w:hAnsi="宋体" w:eastAsia="宋体" w:cs="宋体"/>
          <w:kern w:val="0"/>
          <w:sz w:val="21"/>
          <w:szCs w:val="21"/>
          <w:highlight w:val="none"/>
          <w:lang w:val="en-US" w:eastAsia="zh-CN" w:bidi="ar-SA"/>
        </w:rPr>
        <w:t>6.3  考核</w:t>
      </w:r>
    </w:p>
    <w:p w14:paraId="0E05B25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6.3.1 </w:t>
      </w:r>
      <w:r>
        <w:rPr>
          <w:rFonts w:hint="eastAsia" w:ascii="宋体" w:hAnsi="宋体" w:eastAsia="宋体" w:cs="宋体"/>
          <w:spacing w:val="-4"/>
          <w:kern w:val="2"/>
          <w:sz w:val="21"/>
          <w:szCs w:val="21"/>
          <w:highlight w:val="none"/>
          <w:lang w:val="en-US" w:eastAsia="zh-CN" w:bidi="ar-SA"/>
        </w:rPr>
        <w:t>安装、调试完成后，双方应对合同设备进行考核，以确定合同设备是否达到合同约定</w:t>
      </w:r>
      <w:r>
        <w:rPr>
          <w:rFonts w:hint="eastAsia" w:ascii="宋体" w:hAnsi="宋体" w:eastAsia="宋体" w:cs="宋体"/>
          <w:spacing w:val="-1"/>
          <w:kern w:val="2"/>
          <w:sz w:val="21"/>
          <w:szCs w:val="21"/>
          <w:highlight w:val="none"/>
          <w:lang w:val="en-US" w:eastAsia="zh-CN" w:bidi="ar-SA"/>
        </w:rPr>
        <w:t>的技术性能考核指标。除专用合同条款另有约定外，考核中合同设备运行需要的用水、用电、</w:t>
      </w:r>
      <w:r>
        <w:rPr>
          <w:rFonts w:hint="eastAsia" w:ascii="宋体" w:hAnsi="宋体" w:eastAsia="宋体" w:cs="宋体"/>
          <w:kern w:val="2"/>
          <w:sz w:val="21"/>
          <w:szCs w:val="21"/>
          <w:highlight w:val="none"/>
          <w:lang w:val="en-US" w:eastAsia="zh-CN" w:bidi="ar-SA"/>
        </w:rPr>
        <w:t>其他动力和原材料（如需要）等均由买方承担。</w:t>
      </w:r>
    </w:p>
    <w:p w14:paraId="6DB68A2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6.3.2 </w:t>
      </w:r>
      <w:r>
        <w:rPr>
          <w:rFonts w:hint="eastAsia" w:ascii="宋体" w:hAnsi="宋体" w:eastAsia="宋体" w:cs="宋体"/>
          <w:spacing w:val="-4"/>
          <w:kern w:val="2"/>
          <w:sz w:val="21"/>
          <w:szCs w:val="21"/>
          <w:highlight w:val="none"/>
          <w:lang w:val="en-US" w:eastAsia="zh-CN" w:bidi="ar-SA"/>
        </w:rPr>
        <w:t>如由于卖方原因合同设备在考核中未能达到合同约定的技术性能考核指标，则卖方应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在双方同意的期限内采取措施消除合同设备中存在的缺陷，并在缺陷消除以后，尽快进行再次</w:t>
      </w:r>
      <w:r>
        <w:rPr>
          <w:rFonts w:hint="eastAsia" w:ascii="宋体" w:hAnsi="宋体" w:eastAsia="宋体" w:cs="宋体"/>
          <w:kern w:val="2"/>
          <w:sz w:val="21"/>
          <w:szCs w:val="21"/>
          <w:highlight w:val="none"/>
          <w:lang w:val="en-US" w:eastAsia="zh-CN" w:bidi="ar-SA"/>
        </w:rPr>
        <w:t>考核。</w:t>
      </w:r>
    </w:p>
    <w:p w14:paraId="520ADB2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6.3.3 </w:t>
      </w:r>
      <w:r>
        <w:rPr>
          <w:rFonts w:hint="eastAsia" w:ascii="宋体" w:hAnsi="宋体" w:eastAsia="宋体" w:cs="宋体"/>
          <w:spacing w:val="-3"/>
          <w:kern w:val="2"/>
          <w:sz w:val="21"/>
          <w:szCs w:val="21"/>
          <w:highlight w:val="none"/>
          <w:lang w:val="en-US" w:eastAsia="zh-CN" w:bidi="ar-SA"/>
        </w:rPr>
        <w:t>由于卖方原因未能达到技术性能考核指标时，为卖方进行考核的机会不超过三次。如</w:t>
      </w:r>
      <w:r>
        <w:rPr>
          <w:rFonts w:hint="eastAsia" w:ascii="宋体" w:hAnsi="宋体" w:eastAsia="宋体" w:cs="宋体"/>
          <w:spacing w:val="-1"/>
          <w:kern w:val="2"/>
          <w:sz w:val="21"/>
          <w:szCs w:val="21"/>
          <w:highlight w:val="none"/>
          <w:lang w:val="en-US" w:eastAsia="zh-CN" w:bidi="ar-SA"/>
        </w:rPr>
        <w:t>果由于卖方原因，三次考核均未能达到合同约定的技术性能考核指标，则买卖双方应就合同的后续履行进行协商，协商不成的，买方有权解除合同。但如合同中约定了或双方在考核中另行 达成了合同设备的最低技术性能考核指标，且合同设备达到了最低技术性能考核指标的，视为合同设备已达到技术性能考核指标，买方无权解除合同，且应接受合同设备，但卖方应按专用</w:t>
      </w:r>
      <w:r>
        <w:rPr>
          <w:rFonts w:hint="eastAsia" w:ascii="宋体" w:hAnsi="宋体" w:eastAsia="宋体" w:cs="宋体"/>
          <w:kern w:val="2"/>
          <w:sz w:val="21"/>
          <w:szCs w:val="21"/>
          <w:highlight w:val="none"/>
          <w:lang w:val="en-US" w:eastAsia="zh-CN" w:bidi="ar-SA"/>
        </w:rPr>
        <w:t>合同条款的约定进行减价或向买方支付补偿金。</w:t>
      </w:r>
    </w:p>
    <w:p w14:paraId="1BD7819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6.3.4 </w:t>
      </w:r>
      <w:r>
        <w:rPr>
          <w:rFonts w:hint="eastAsia" w:ascii="宋体" w:hAnsi="宋体" w:eastAsia="宋体" w:cs="宋体"/>
          <w:spacing w:val="-4"/>
          <w:kern w:val="2"/>
          <w:sz w:val="21"/>
          <w:szCs w:val="21"/>
          <w:highlight w:val="none"/>
          <w:lang w:val="en-US" w:eastAsia="zh-CN" w:bidi="ar-SA"/>
        </w:rPr>
        <w:t>如由于买方原因合同设备在考核中未能达到合同约定的技术性能考核指标，则卖方应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协助买方安排再次考核。由于买方原因未能达到技术性能考核指标时，为买方进行考核的机会</w:t>
      </w:r>
      <w:r>
        <w:rPr>
          <w:rFonts w:hint="eastAsia" w:ascii="宋体" w:hAnsi="宋体" w:eastAsia="宋体" w:cs="宋体"/>
          <w:kern w:val="2"/>
          <w:sz w:val="21"/>
          <w:szCs w:val="21"/>
          <w:highlight w:val="none"/>
          <w:lang w:val="en-US" w:eastAsia="zh-CN" w:bidi="ar-SA"/>
        </w:rPr>
        <w:t>不超过三次。</w:t>
      </w:r>
    </w:p>
    <w:p w14:paraId="6F85690C">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6.3.5 考核期间，双方应及时共同记录合同设备的用水、用电、其他动力和原材料（如有）的使用及设备考核情况。对于未达到技术性能考核指标的，应如实记录设备表现、可能原因及处理情况等。</w:t>
      </w:r>
    </w:p>
    <w:p w14:paraId="60F9D934">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666" w:name="_bookmark130"/>
      <w:bookmarkEnd w:id="666"/>
      <w:r>
        <w:rPr>
          <w:rFonts w:hint="eastAsia" w:ascii="宋体" w:hAnsi="宋体" w:eastAsia="宋体" w:cs="宋体"/>
          <w:kern w:val="0"/>
          <w:sz w:val="21"/>
          <w:szCs w:val="21"/>
          <w:highlight w:val="none"/>
          <w:lang w:val="en-US" w:eastAsia="zh-CN" w:bidi="ar-SA"/>
        </w:rPr>
        <w:t>6.4  验收</w:t>
      </w:r>
    </w:p>
    <w:p w14:paraId="5F8AFC9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6.4.1如合同设备在考核中达到或视为达到技术性能考核指标，则买卖双方应在考核完成后7日内或专用合同条款另行约定的时间内签署合同设备验收证书一式二份，双方各持一份。验收日期应为合同设备达到或视为达到技术性能考核指标的日期。</w:t>
      </w:r>
    </w:p>
    <w:p w14:paraId="01AEC85E">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6.4.2 如由于买方原因合同设备在三次考核中均未能达到技术性能考核指标，买卖双方应在考核结束后7日内或专用合同条款另行约定的时间内签署验收款支付函。</w:t>
      </w:r>
    </w:p>
    <w:p w14:paraId="1776283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除专用合同条款另有约定外，卖方有义务在验收款支付函签署后12个月内应买方要求提供相关技术服务，协助买方采取一切必要措施使合同设备达到技术性能考核指标。买方应承担卖方因此产生的全部费用。</w:t>
      </w:r>
    </w:p>
    <w:p w14:paraId="493C427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在上述12个月的期限内，如合同设备经过考核达到或视为达到技术性能考核指标，则买卖双方应按照第6.4.1项的约定签署合同设备验收证书。</w:t>
      </w:r>
    </w:p>
    <w:p w14:paraId="7C2EE8BD">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6.4.3除专用合同条款另有约定外，如由于买方原因在最后一批合同设备交货后 6个月内未能开始考核，则买卖双方应在上述期限届满后7日内或专用合同条款另行约定的时间内签署验收款支付函。</w:t>
      </w:r>
    </w:p>
    <w:p w14:paraId="1060397C">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6个月内应买方要求提供不超出合同范围的技术服务，协助买方采取一切必要措施使合同设备达到技术性能考核指标，且买方无需因此向卖方支付费用。</w:t>
      </w:r>
    </w:p>
    <w:p w14:paraId="10A6D62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在上述6个月的期限内，如合同设备经过考核达到或视为达到技术性能考核指标，则买卖双方应按照第6.4.1项的约定签署合同设备验收证书。</w:t>
      </w:r>
    </w:p>
    <w:p w14:paraId="2654E73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6.4.4 在第6.4.2项和第6.4.3项情形下，卖方也可单方签署验收款支付函提交买方，如果买方在收到卖方签署的验收款支付函后14日内未向卖方提出书面异议，则验收款支付函自签署之日起生效。</w:t>
      </w:r>
    </w:p>
    <w:p w14:paraId="31D9CCD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6.4.5 合同设备验收证书的签署不能免除卖方在质量保证期内对合同设备应承担的保证责任。</w:t>
      </w:r>
    </w:p>
    <w:p w14:paraId="4862820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67" w:name="_bookmark131"/>
      <w:bookmarkEnd w:id="667"/>
      <w:bookmarkStart w:id="668" w:name="_Toc29762"/>
      <w:bookmarkStart w:id="669" w:name="_Toc54550759"/>
      <w:bookmarkStart w:id="670" w:name="_Toc29433"/>
      <w:bookmarkStart w:id="671" w:name="_Toc534572291"/>
      <w:bookmarkStart w:id="672" w:name="_Toc4015"/>
      <w:bookmarkStart w:id="673" w:name="_Toc31763"/>
      <w:bookmarkStart w:id="674" w:name="_Toc1119"/>
      <w:bookmarkStart w:id="675" w:name="_Toc62034477"/>
      <w:bookmarkStart w:id="676" w:name="_Toc91344947"/>
      <w:r>
        <w:rPr>
          <w:rFonts w:hint="eastAsia" w:ascii="宋体" w:hAnsi="宋体" w:eastAsia="宋体" w:cs="宋体"/>
          <w:b/>
          <w:bCs/>
          <w:kern w:val="0"/>
          <w:sz w:val="21"/>
          <w:szCs w:val="21"/>
          <w:highlight w:val="none"/>
          <w:lang w:val="en-US" w:eastAsia="zh-CN" w:bidi="ar-SA"/>
        </w:rPr>
        <w:t>7.技术服务</w:t>
      </w:r>
      <w:bookmarkEnd w:id="668"/>
      <w:bookmarkEnd w:id="669"/>
      <w:bookmarkEnd w:id="670"/>
      <w:bookmarkEnd w:id="671"/>
      <w:bookmarkEnd w:id="672"/>
      <w:bookmarkEnd w:id="673"/>
      <w:bookmarkEnd w:id="674"/>
      <w:bookmarkEnd w:id="675"/>
      <w:bookmarkEnd w:id="676"/>
    </w:p>
    <w:p w14:paraId="0AB553B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7.1 卖方应派遣技术熟练、称职的技术人员到施工场地为买方提供技术服务。卖方的技术服务应符合合同的约定。</w:t>
      </w:r>
    </w:p>
    <w:p w14:paraId="3351FD0A">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7.2 买方应免费为卖方技术人员提供工作条件及便利，包括但不限于必要的办公场所、技术资料及出入许可等。除专用合同条款另有约定外，卖方技术人员的交通、食宿费用由卖方承担。</w:t>
      </w:r>
    </w:p>
    <w:p w14:paraId="796A983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7.3 卖方技术人员应遵守买方施工现场的各项规章制度和安全操作规程，并服从买方的现场管理。</w:t>
      </w:r>
    </w:p>
    <w:p w14:paraId="123ED0D4">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7.4 如果任何技术人员不合格，买方有权要求卖方撤换，因撤换而产生的费用应由卖方承担。在不影响技术服务并且征得买方同意的条件下，卖方也可自负费用更换其技术人员。</w:t>
      </w:r>
    </w:p>
    <w:p w14:paraId="374A46B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77" w:name="_bookmark132"/>
      <w:bookmarkEnd w:id="677"/>
      <w:bookmarkStart w:id="678" w:name="_Toc55"/>
      <w:bookmarkStart w:id="679" w:name="_Toc91344948"/>
      <w:bookmarkStart w:id="680" w:name="_Toc534572292"/>
      <w:bookmarkStart w:id="681" w:name="_Toc6006"/>
      <w:bookmarkStart w:id="682" w:name="_Toc54550760"/>
      <w:bookmarkStart w:id="683" w:name="_Toc268"/>
      <w:bookmarkStart w:id="684" w:name="_Toc62034478"/>
      <w:bookmarkStart w:id="685" w:name="_Toc12241"/>
      <w:r>
        <w:rPr>
          <w:rFonts w:hint="eastAsia" w:ascii="宋体" w:hAnsi="宋体" w:eastAsia="宋体" w:cs="宋体"/>
          <w:b/>
          <w:bCs/>
          <w:kern w:val="0"/>
          <w:sz w:val="21"/>
          <w:szCs w:val="21"/>
          <w:highlight w:val="none"/>
          <w:lang w:val="en-US" w:eastAsia="zh-CN" w:bidi="ar-SA"/>
        </w:rPr>
        <w:t>8.质量保证期</w:t>
      </w:r>
      <w:bookmarkEnd w:id="678"/>
      <w:bookmarkEnd w:id="679"/>
      <w:bookmarkEnd w:id="680"/>
      <w:bookmarkEnd w:id="681"/>
      <w:bookmarkEnd w:id="682"/>
      <w:bookmarkEnd w:id="683"/>
      <w:bookmarkEnd w:id="684"/>
      <w:bookmarkEnd w:id="685"/>
    </w:p>
    <w:p w14:paraId="36CD97C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8.1除专用合同条款和（或）供货要求等合同文件另有约定外，合同设备整体质量保证期为验收之日起12个月。如对合同设备中关键部件的质量保证期有特殊要求的，买卖双方可在专用合同条款中约定。在合同第6.4.2项情形下，无论合同设备何时验收，其质量保证期最长为签署验收款支付函后12个月。在合同第6.4.3 项情形下，无论合同设备何时验收，其质量保证期最长为签署验收款支付函后6个月。</w:t>
      </w:r>
    </w:p>
    <w:p w14:paraId="0688CBEA">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8.2 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p>
    <w:p w14:paraId="48F7D8AF">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8.3 质量保证期届满后，买方应在7日内或专用合同条款另行约定的时间内向卖方出具合同设备的质量保证期届满证书。</w:t>
      </w:r>
    </w:p>
    <w:p w14:paraId="679F28F9">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8.4在合同第6.4.2项情形下，如在验收款支付函签署后12个月内由于买方原因合同设备仍未能达到技术性能考核指标，则买卖双方应在该12个月届满后7日内或专用合同条款另行约定的时间内签署结清款支付函。</w:t>
      </w:r>
    </w:p>
    <w:p w14:paraId="6C37A1EA">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8.5 在合同第6.4.3项情形下，如在验收款支付函签署后6个月内由于买方原因合同设备仍未进行考核或仍未达到技术性能考核指标，则买卖双方应在该6个月届满后7日内或专用合同条款另行约定的时间内签署结清款支付函。</w:t>
      </w:r>
    </w:p>
    <w:p w14:paraId="47140906">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8.6 在第8.4款和第8.5款情形下，卖方也可单方签署结清款支付函提交买方，如果买方在收到卖方签署的结清款支付函后14日内未向卖方提出书面异议，则结清款支付函自签署之日起生效。</w:t>
      </w:r>
    </w:p>
    <w:p w14:paraId="648C7B4E">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86" w:name="_bookmark133"/>
      <w:bookmarkEnd w:id="686"/>
      <w:bookmarkStart w:id="687" w:name="_Toc54550761"/>
      <w:bookmarkStart w:id="688" w:name="_Toc18226"/>
      <w:bookmarkStart w:id="689" w:name="_Toc62034479"/>
      <w:bookmarkStart w:id="690" w:name="_Toc15751"/>
      <w:bookmarkStart w:id="691" w:name="_Toc91344949"/>
      <w:bookmarkStart w:id="692" w:name="_Toc9241"/>
      <w:bookmarkStart w:id="693" w:name="_Toc27909"/>
      <w:bookmarkStart w:id="694" w:name="_Toc534572293"/>
      <w:r>
        <w:rPr>
          <w:rFonts w:hint="eastAsia" w:ascii="宋体" w:hAnsi="宋体" w:eastAsia="宋体" w:cs="宋体"/>
          <w:b/>
          <w:bCs/>
          <w:kern w:val="0"/>
          <w:sz w:val="21"/>
          <w:szCs w:val="21"/>
          <w:highlight w:val="none"/>
          <w:lang w:val="en-US" w:eastAsia="zh-CN" w:bidi="ar-SA"/>
        </w:rPr>
        <w:t>9.质保期服务</w:t>
      </w:r>
      <w:bookmarkEnd w:id="687"/>
      <w:bookmarkEnd w:id="688"/>
      <w:bookmarkEnd w:id="689"/>
      <w:bookmarkEnd w:id="690"/>
      <w:bookmarkEnd w:id="691"/>
      <w:bookmarkEnd w:id="692"/>
      <w:bookmarkEnd w:id="693"/>
      <w:bookmarkEnd w:id="694"/>
    </w:p>
    <w:p w14:paraId="38280C51">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9.1卖方应为质保期服务配备充足的技术人员、工具和备件并保证提供的联系方式畅通。除专用合同条款和（或）供货要求等合同文件另有约定外，卖方应在收到买方通知后 24 小时内做出响应，如需卖方到合同设备现场，卖方应在收到买方通知后48小时内到达，并在到达后7日内解决合同设备的故障（重大故障除外）。如果卖方未在上述时间内作出响应，则买方有权自 行或委托他人解决相关问题或查找和解决合同设备的故障，卖方应承担由此发生的全部费用。 </w:t>
      </w:r>
    </w:p>
    <w:p w14:paraId="3B7A62EE">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9.2 如卖方技术人员需到合同设备现场进行质保期服务，则买方应免费为卖方技术人员提供工作条件及便利，包括但不限于必要的办公场所、技术资料及出入许可等。除专用合同条款 另有约定外，卖方技术人员的交通、食宿费用由卖方承担。卖方技术人员应遵守买方施工现场的各项规章制度和安全操作规程，并服从买方的现场管理。</w:t>
      </w:r>
    </w:p>
    <w:p w14:paraId="319B3EB8">
      <w:pPr>
        <w:widowControl w:val="0"/>
        <w:spacing w:beforeLines="0" w:after="0" w:afterLines="0" w:line="360" w:lineRule="auto"/>
        <w:ind w:firstLine="420"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9.3 </w:t>
      </w:r>
      <w:r>
        <w:rPr>
          <w:rFonts w:hint="eastAsia" w:ascii="宋体" w:hAnsi="宋体" w:eastAsia="宋体" w:cs="宋体"/>
          <w:spacing w:val="-6"/>
          <w:kern w:val="2"/>
          <w:sz w:val="21"/>
          <w:szCs w:val="21"/>
          <w:highlight w:val="none"/>
          <w:lang w:val="en-US" w:eastAsia="zh-CN" w:bidi="ar-SA"/>
        </w:rPr>
        <w:t>如果任何技术人员不合格，买方有权要求卖方撤换，因撤换而产生的费用应由卖方承担。在不影响质保期服务并且征得买方同意的条件下，卖方也可自负费用更换其技术人员。</w:t>
      </w:r>
    </w:p>
    <w:p w14:paraId="40F335E2">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9.4 除专用合同条款另有约定外，卖方应就在施工现场进行质保期服务的情况进行记录，记载合同设备故障发生的时间、原因及解决情况等，由买方签字确认，并在质量保证期结束后提交给买方。</w:t>
      </w:r>
    </w:p>
    <w:p w14:paraId="133BE36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95" w:name="_bookmark134"/>
      <w:bookmarkEnd w:id="695"/>
      <w:bookmarkStart w:id="696" w:name="_Toc54550762"/>
      <w:bookmarkStart w:id="697" w:name="_Toc30580"/>
      <w:bookmarkStart w:id="698" w:name="_Toc91344950"/>
      <w:bookmarkStart w:id="699" w:name="_Toc28393"/>
      <w:bookmarkStart w:id="700" w:name="_Toc10816"/>
      <w:bookmarkStart w:id="701" w:name="_Toc534572294"/>
      <w:bookmarkStart w:id="702" w:name="_Toc62034480"/>
      <w:bookmarkStart w:id="703" w:name="_Toc18871"/>
      <w:r>
        <w:rPr>
          <w:rFonts w:hint="eastAsia" w:ascii="宋体" w:hAnsi="宋体" w:eastAsia="宋体" w:cs="宋体"/>
          <w:b/>
          <w:bCs/>
          <w:kern w:val="0"/>
          <w:sz w:val="21"/>
          <w:szCs w:val="21"/>
          <w:highlight w:val="none"/>
          <w:lang w:val="en-US" w:eastAsia="zh-CN" w:bidi="ar-SA"/>
        </w:rPr>
        <w:t>10.履约保证金</w:t>
      </w:r>
      <w:bookmarkEnd w:id="696"/>
      <w:bookmarkEnd w:id="697"/>
      <w:bookmarkEnd w:id="698"/>
      <w:bookmarkEnd w:id="699"/>
      <w:bookmarkEnd w:id="700"/>
      <w:bookmarkEnd w:id="701"/>
      <w:bookmarkEnd w:id="702"/>
      <w:bookmarkEnd w:id="703"/>
    </w:p>
    <w:p w14:paraId="2DE461D2">
      <w:pPr>
        <w:widowControl w:val="0"/>
        <w:spacing w:beforeLines="0" w:after="0" w:afterLines="0" w:line="360" w:lineRule="auto"/>
        <w:ind w:left="0" w:right="0" w:firstLine="396" w:firstLineChars="200"/>
        <w:jc w:val="both"/>
        <w:outlineLvl w:val="9"/>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SA"/>
        </w:rPr>
        <w:t>除专用合同条款另有约定外，履约保证金自合同生效之日起生效，在合同设备验收证书或验收款支付函签署之日起28日后失效。如果卖方不履行合同约定的义务或其履行不符合合同的约定，买方有权扣划相应金额的履约保证金。</w:t>
      </w:r>
    </w:p>
    <w:p w14:paraId="7D10D664">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04" w:name="_bookmark135"/>
      <w:bookmarkEnd w:id="704"/>
      <w:bookmarkStart w:id="705" w:name="_Toc26226"/>
      <w:bookmarkStart w:id="706" w:name="_Toc8535"/>
      <w:bookmarkStart w:id="707" w:name="_Toc62034481"/>
      <w:bookmarkStart w:id="708" w:name="_Toc31305"/>
      <w:bookmarkStart w:id="709" w:name="_Toc54550763"/>
      <w:bookmarkStart w:id="710" w:name="_Toc1719"/>
      <w:bookmarkStart w:id="711" w:name="_Toc4235"/>
      <w:bookmarkStart w:id="712" w:name="_Toc91344951"/>
      <w:bookmarkStart w:id="713" w:name="_Toc534572295"/>
      <w:r>
        <w:rPr>
          <w:rFonts w:hint="eastAsia" w:ascii="宋体" w:hAnsi="宋体" w:eastAsia="宋体" w:cs="宋体"/>
          <w:b/>
          <w:bCs/>
          <w:kern w:val="0"/>
          <w:sz w:val="21"/>
          <w:szCs w:val="21"/>
          <w:highlight w:val="none"/>
          <w:lang w:val="en-US" w:eastAsia="zh-CN" w:bidi="ar-SA"/>
        </w:rPr>
        <w:t>11.保证</w:t>
      </w:r>
      <w:bookmarkEnd w:id="705"/>
      <w:bookmarkEnd w:id="706"/>
      <w:bookmarkEnd w:id="707"/>
      <w:bookmarkEnd w:id="708"/>
      <w:bookmarkEnd w:id="709"/>
      <w:bookmarkEnd w:id="710"/>
      <w:bookmarkEnd w:id="711"/>
      <w:bookmarkEnd w:id="712"/>
      <w:bookmarkEnd w:id="713"/>
    </w:p>
    <w:p w14:paraId="7F03E653">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 卖方保证其具有完全的能力履行本合同项下的全部义务。</w:t>
      </w:r>
    </w:p>
    <w:p w14:paraId="00E5B815">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 卖方保证其所提供的合同设备及对合同的履行符合所有应适用的法律、行政法规、地方性法规、自治条例和单行条例、规章及其他规范性文件的强制性规定。</w:t>
      </w:r>
    </w:p>
    <w:p w14:paraId="4AB607B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 卖方保证其对合同设备的销售不损害任何第三方的合法权益和社会公众利益。任何第三方不会因卖方原因而基于所有权、抵押权、留置权或其他任何权利或事由对合同设备主张权利。</w:t>
      </w:r>
    </w:p>
    <w:p w14:paraId="331CA82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卖方保证合同设备符合合同约定的规格、标准、技术性能考核指标等，能够安全和稳定地运行，且合同设备（包括全部部件）全新、完整、未使用过，除非专用合同条款和（或）供货要求等合同文件另有约定。</w:t>
      </w:r>
    </w:p>
    <w:p w14:paraId="3D0C40BB">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卖方保证，卖方所提供的技术资料完整、清晰、准确，符合合同约定并且能够满足合同设备的安装、调试、考核、操作以及维修和保养的需要。</w:t>
      </w:r>
    </w:p>
    <w:p w14:paraId="11570DA7">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卖方保证合同范围内提供的备品备件能够满足合同设备在质量保证期结束前正常运行及维修的需要，如在质量保证期结束前因卖方原因出现备品备件短缺影响合同设备正常运行的，卖方应免费提供。</w:t>
      </w:r>
    </w:p>
    <w:p w14:paraId="179CFF28">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除专用合同条款和（或）供货要求等合同文件另有约定外，如果在合同设备设计使用寿命期内发生合同项下备品备件停止生产的情况，卖方应事先将拟停止生产的计划通知买方， 使买方有足够的时间考虑备品备件的需求量。根据买方要求，卖方应：</w:t>
      </w:r>
    </w:p>
    <w:p w14:paraId="7FE63A29">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（1）以不高于同期市场价格或其向任何第三方销售同类产品的价格提供合同设备正常运行</w:t>
      </w:r>
      <w:r>
        <w:rPr>
          <w:rFonts w:hint="eastAsia" w:ascii="宋体" w:hAnsi="宋体" w:eastAsia="宋体" w:cs="宋体"/>
          <w:kern w:val="2"/>
          <w:sz w:val="21"/>
          <w:szCs w:val="21"/>
          <w:highlight w:val="none"/>
          <w:lang w:val="en-US" w:eastAsia="zh-CN" w:bidi="ar-SA"/>
        </w:rPr>
        <w:t>所需的全部备品备件。</w:t>
      </w:r>
    </w:p>
    <w:p w14:paraId="317C4868">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（2）免费提供可供买方或第三方制造停产备品备件所需的全部技术资料，以便买方持续获</w:t>
      </w:r>
      <w:r>
        <w:rPr>
          <w:rFonts w:hint="eastAsia" w:ascii="宋体" w:hAnsi="宋体" w:eastAsia="宋体" w:cs="宋体"/>
          <w:spacing w:val="-1"/>
          <w:kern w:val="2"/>
          <w:sz w:val="21"/>
          <w:szCs w:val="21"/>
          <w:highlight w:val="none"/>
          <w:lang w:val="en-US" w:eastAsia="zh-CN" w:bidi="ar-SA"/>
        </w:rPr>
        <w:t>得上述备品备件以满足合同设备在寿命期内正常运行的需要。卖方保证买方或买方委托的第三</w:t>
      </w:r>
      <w:r>
        <w:rPr>
          <w:rFonts w:hint="eastAsia" w:ascii="宋体" w:hAnsi="宋体" w:eastAsia="宋体" w:cs="宋体"/>
          <w:kern w:val="2"/>
          <w:sz w:val="21"/>
          <w:szCs w:val="21"/>
          <w:highlight w:val="none"/>
          <w:lang w:val="en-US" w:eastAsia="zh-CN" w:bidi="ar-SA"/>
        </w:rPr>
        <w:t>方制造及买方使用这些备品备件不侵犯任何人的知识产权。</w:t>
      </w:r>
    </w:p>
    <w:p w14:paraId="12BED10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卖方保证，在合同设备设计使用寿命期内，如果卖方发现合同设备由于设计、制造、标识等原因存在足以危及人身、财产安全的缺陷，卖方将及时通知买方并及时采取修正或者补 充标识、修理、更换等措施消除缺陷。</w:t>
      </w:r>
    </w:p>
    <w:p w14:paraId="2F0D1FB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14" w:name="_Toc54550764"/>
      <w:bookmarkStart w:id="715" w:name="_Toc91344952"/>
      <w:bookmarkStart w:id="716" w:name="_Toc534572296"/>
      <w:bookmarkStart w:id="717" w:name="_Toc62034482"/>
      <w:bookmarkStart w:id="718" w:name="_Toc24894"/>
      <w:bookmarkStart w:id="719" w:name="_Toc19223"/>
      <w:bookmarkStart w:id="720" w:name="_Toc24435"/>
      <w:bookmarkStart w:id="721" w:name="_Toc277"/>
      <w:r>
        <w:rPr>
          <w:rFonts w:hint="eastAsia" w:ascii="宋体" w:hAnsi="宋体" w:eastAsia="宋体" w:cs="宋体"/>
          <w:b/>
          <w:bCs/>
          <w:kern w:val="0"/>
          <w:sz w:val="21"/>
          <w:szCs w:val="21"/>
          <w:highlight w:val="none"/>
          <w:lang w:val="en-US" w:eastAsia="zh-CN" w:bidi="ar-SA"/>
        </w:rPr>
        <w:t>12.知识产权</w:t>
      </w:r>
      <w:bookmarkEnd w:id="714"/>
      <w:bookmarkEnd w:id="715"/>
      <w:bookmarkEnd w:id="716"/>
      <w:bookmarkEnd w:id="717"/>
      <w:bookmarkEnd w:id="718"/>
      <w:bookmarkEnd w:id="719"/>
      <w:bookmarkEnd w:id="720"/>
      <w:bookmarkEnd w:id="721"/>
    </w:p>
    <w:p w14:paraId="3E732072">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12.1 买方在履行合同过程中提供给卖方的全部图纸、文件和其他含有数据和信息的资料，其知识产权属于买方。</w:t>
      </w:r>
    </w:p>
    <w:p w14:paraId="1CC4C258">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12.2 除专用合同条款另有约定外，买方不因签署和履行合同而享有卖方在履行合同过程中提供给买方的图纸、文件、配套软件、电子辅助程序和其他含有数据和信息的资料的知识产权。      </w:t>
      </w:r>
    </w:p>
    <w:p w14:paraId="1EA0069F">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12.3如合同设备涉及知识产权，则卖方保证买方在使用合同设备过程中免于受到第三方提出的有关知识产权侵权的主张、索赔或诉讼的伤害。</w:t>
      </w:r>
    </w:p>
    <w:p w14:paraId="2C0C540C">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12.4 如果买方收到任何第三方有关知识产权的主张、索赔或诉讼，卖方在收到买方通知后，应以买方名义并在买方的协助下，自负费用处理与第三方的索赔或诉讼，并赔偿买方因此发生 的费用和遭受的损失。除专用合同条款另有约定外，如果卖方拒绝处理前述索赔或诉讼或在收 到买方通知后28日内未作表示，买方可以自己的名义进行这些索赔或诉讼，因此发生的费用和遭受的损失均应由卖方承担。</w:t>
      </w:r>
    </w:p>
    <w:p w14:paraId="0A7FC2D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22" w:name="_bookmark137"/>
      <w:bookmarkEnd w:id="722"/>
      <w:bookmarkStart w:id="723" w:name="_Toc7616"/>
      <w:bookmarkStart w:id="724" w:name="_Toc476"/>
      <w:bookmarkStart w:id="725" w:name="_Toc91344953"/>
      <w:bookmarkStart w:id="726" w:name="_Toc62034483"/>
      <w:bookmarkStart w:id="727" w:name="_Toc534572297"/>
      <w:bookmarkStart w:id="728" w:name="_Toc54550765"/>
      <w:bookmarkStart w:id="729" w:name="_Toc16263"/>
      <w:bookmarkStart w:id="730" w:name="_Toc6100"/>
      <w:r>
        <w:rPr>
          <w:rFonts w:hint="eastAsia" w:ascii="宋体" w:hAnsi="宋体" w:eastAsia="宋体" w:cs="宋体"/>
          <w:b/>
          <w:bCs/>
          <w:kern w:val="0"/>
          <w:sz w:val="21"/>
          <w:szCs w:val="21"/>
          <w:highlight w:val="none"/>
          <w:lang w:val="en-US" w:eastAsia="zh-CN" w:bidi="ar-SA"/>
        </w:rPr>
        <w:t>13.保密</w:t>
      </w:r>
      <w:bookmarkEnd w:id="723"/>
      <w:bookmarkEnd w:id="724"/>
      <w:bookmarkEnd w:id="725"/>
      <w:bookmarkEnd w:id="726"/>
      <w:bookmarkEnd w:id="727"/>
      <w:bookmarkEnd w:id="728"/>
      <w:bookmarkEnd w:id="729"/>
      <w:bookmarkEnd w:id="730"/>
    </w:p>
    <w:p w14:paraId="2F449A23">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合同双方应对因履行合同而取得的另一方当事人的信息、资料等予以保密。未经另一方当事人书面同意，任何一方均不得为与履行合同无关的目的使用或向第三方披露另一方当事人提供的信息、资料。</w:t>
      </w:r>
    </w:p>
    <w:p w14:paraId="1EA4E1A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合同当事人的保密义务不适用于下列信息：</w:t>
      </w:r>
    </w:p>
    <w:p w14:paraId="2836D5EA">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bookmarkStart w:id="731" w:name="_Toc7203"/>
      <w:bookmarkStart w:id="732" w:name="_Toc2362"/>
      <w:bookmarkStart w:id="733" w:name="_Toc13249"/>
      <w:r>
        <w:rPr>
          <w:rFonts w:hint="eastAsia" w:ascii="宋体" w:hAnsi="宋体" w:eastAsia="宋体" w:cs="宋体"/>
          <w:kern w:val="2"/>
          <w:sz w:val="21"/>
          <w:szCs w:val="21"/>
          <w:highlight w:val="none"/>
          <w:lang w:val="en-US" w:eastAsia="zh-CN" w:bidi="ar-SA"/>
        </w:rPr>
        <w:t>（1）非因接受信息一方的过失现在或以后进入公共领域的信息；</w:t>
      </w:r>
      <w:bookmarkEnd w:id="731"/>
      <w:bookmarkEnd w:id="732"/>
      <w:bookmarkEnd w:id="733"/>
    </w:p>
    <w:p w14:paraId="4A03BB1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（2）接受信息一方当事人合法地从第三方获得并且据其善意了解第三方也不对此承担保密义务的信息；</w:t>
      </w:r>
    </w:p>
    <w:p w14:paraId="70F55822">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（3）法律或法律的执行要求披露的信息。</w:t>
      </w:r>
    </w:p>
    <w:p w14:paraId="6026A0D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34" w:name="_bookmark138"/>
      <w:bookmarkEnd w:id="734"/>
      <w:bookmarkStart w:id="735" w:name="_Toc16407"/>
      <w:bookmarkStart w:id="736" w:name="_Toc534572298"/>
      <w:bookmarkStart w:id="737" w:name="_Toc24517"/>
      <w:bookmarkStart w:id="738" w:name="_Toc62034484"/>
      <w:bookmarkStart w:id="739" w:name="_Toc2940"/>
      <w:bookmarkStart w:id="740" w:name="_Toc54550766"/>
      <w:bookmarkStart w:id="741" w:name="_Toc3100"/>
      <w:bookmarkStart w:id="742" w:name="_Toc91344954"/>
      <w:bookmarkStart w:id="743" w:name="_Toc22465"/>
      <w:r>
        <w:rPr>
          <w:rFonts w:hint="eastAsia" w:ascii="宋体" w:hAnsi="宋体" w:eastAsia="宋体" w:cs="宋体"/>
          <w:b/>
          <w:bCs/>
          <w:kern w:val="0"/>
          <w:sz w:val="21"/>
          <w:szCs w:val="21"/>
          <w:highlight w:val="none"/>
          <w:lang w:val="en-US" w:eastAsia="zh-CN" w:bidi="ar-SA"/>
        </w:rPr>
        <w:t>14.违约责任</w:t>
      </w:r>
      <w:bookmarkEnd w:id="735"/>
      <w:bookmarkEnd w:id="736"/>
      <w:bookmarkEnd w:id="737"/>
      <w:bookmarkEnd w:id="738"/>
      <w:bookmarkEnd w:id="739"/>
      <w:bookmarkEnd w:id="740"/>
      <w:bookmarkEnd w:id="741"/>
      <w:bookmarkEnd w:id="742"/>
      <w:bookmarkEnd w:id="743"/>
    </w:p>
    <w:p w14:paraId="571B9BE8">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合同一方不履行合同义务、履行合同义务不符合约定或者违反合同项下所作保证的，应向对方承担继续履行、采取修理、更换、退货等补救措施或者赔偿损失等违约责任。</w:t>
      </w:r>
    </w:p>
    <w:p w14:paraId="442E58FA">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14.2 </w:t>
      </w:r>
      <w:r>
        <w:rPr>
          <w:rFonts w:hint="eastAsia" w:ascii="宋体" w:hAnsi="宋体" w:eastAsia="宋体" w:cs="宋体"/>
          <w:spacing w:val="-3"/>
          <w:kern w:val="2"/>
          <w:sz w:val="21"/>
          <w:szCs w:val="21"/>
          <w:highlight w:val="none"/>
          <w:lang w:val="en-US" w:eastAsia="zh-CN" w:bidi="ar-SA"/>
        </w:rPr>
        <w:t xml:space="preserve">卖方未能按时交付合同设备（包括仅迟延交付技术资料但足以导致合同设备安装、调 </w:t>
      </w:r>
      <w:r>
        <w:rPr>
          <w:rFonts w:hint="eastAsia" w:ascii="宋体" w:hAnsi="宋体" w:eastAsia="宋体" w:cs="宋体"/>
          <w:spacing w:val="-6"/>
          <w:kern w:val="2"/>
          <w:sz w:val="21"/>
          <w:szCs w:val="21"/>
          <w:highlight w:val="none"/>
          <w:lang w:val="en-US" w:eastAsia="zh-CN" w:bidi="ar-SA"/>
        </w:rPr>
        <w:t>试、考核、验收工作推迟的）的，应向买方支付迟延交付违约金。除专用合同条款另有约定外，</w:t>
      </w:r>
      <w:r>
        <w:rPr>
          <w:rFonts w:hint="eastAsia" w:ascii="宋体" w:hAnsi="宋体" w:eastAsia="宋体" w:cs="宋体"/>
          <w:kern w:val="2"/>
          <w:sz w:val="21"/>
          <w:szCs w:val="21"/>
          <w:highlight w:val="none"/>
          <w:lang w:val="en-US" w:eastAsia="zh-CN" w:bidi="ar-SA"/>
        </w:rPr>
        <w:t>迟延交付违约金的计算方法如下：</w:t>
      </w:r>
    </w:p>
    <w:p w14:paraId="218BACE2">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（1）从迟交的第一周到第四周，每周迟延交付违约金为迟交合同设备价格的 0.5%；</w:t>
      </w:r>
    </w:p>
    <w:p w14:paraId="1DBAE2EE">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（2）从迟交的第五周到第八周，每周迟延交付违约金为迟交合同设备价格的1%；</w:t>
      </w:r>
    </w:p>
    <w:p w14:paraId="01A946BC">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交第九周起，每周迟延交付违约金为迟交合同设备价格的1.5%。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56ED135F">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14.3 买方未能按合同约定支付合同价款的，应向卖方支付延迟付款违约金。除专用合同条款另有约定外，迟延付款违约金的计算方法如下：</w:t>
      </w:r>
    </w:p>
    <w:p w14:paraId="5ECFDB5B">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（1）从迟付的第一周到第四周，每周迟延付款违约金为迟延付款金额的0.5%；</w:t>
      </w:r>
    </w:p>
    <w:p w14:paraId="6F45D9B5">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（2）从迟付的第五周到第八周，每周迟延付款违约金为迟延付款金额的1%；</w:t>
      </w:r>
    </w:p>
    <w:p w14:paraId="37A36657">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（3）从迟付第九周起，每周迟延付款违约金为迟延付款金额的1.5%。 在计算迟延付款违约金时，迟付不足一周的按一周计算。迟延付款违约金的总额不得超过合同价格的10%。</w:t>
      </w:r>
    </w:p>
    <w:p w14:paraId="7AA59AC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44" w:name="_bookmark139"/>
      <w:bookmarkEnd w:id="744"/>
      <w:bookmarkStart w:id="745" w:name="_Toc31747"/>
      <w:bookmarkStart w:id="746" w:name="_Toc20746"/>
      <w:bookmarkStart w:id="747" w:name="_Toc24532"/>
      <w:bookmarkStart w:id="748" w:name="_Toc62034485"/>
      <w:bookmarkStart w:id="749" w:name="_Toc91344955"/>
      <w:bookmarkStart w:id="750" w:name="_Toc20516"/>
      <w:bookmarkStart w:id="751" w:name="_Toc54550767"/>
      <w:bookmarkStart w:id="752" w:name="_Toc21781"/>
      <w:bookmarkStart w:id="753" w:name="_Toc534572299"/>
      <w:r>
        <w:rPr>
          <w:rFonts w:hint="eastAsia" w:ascii="宋体" w:hAnsi="宋体" w:eastAsia="宋体" w:cs="宋体"/>
          <w:b/>
          <w:bCs/>
          <w:kern w:val="0"/>
          <w:sz w:val="21"/>
          <w:szCs w:val="21"/>
          <w:highlight w:val="none"/>
          <w:lang w:val="en-US" w:eastAsia="zh-CN" w:bidi="ar-SA"/>
        </w:rPr>
        <w:t>15.合同的解除</w:t>
      </w:r>
      <w:bookmarkEnd w:id="745"/>
      <w:bookmarkEnd w:id="746"/>
      <w:bookmarkEnd w:id="747"/>
      <w:bookmarkEnd w:id="748"/>
      <w:bookmarkEnd w:id="749"/>
      <w:bookmarkEnd w:id="750"/>
      <w:bookmarkEnd w:id="751"/>
      <w:bookmarkEnd w:id="752"/>
      <w:bookmarkEnd w:id="753"/>
    </w:p>
    <w:p w14:paraId="43C9A850">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除专用合同条款另有约定外，有下述情形之一，当事人可发出书面通知全部或部分地解除合同，合同自通知到达对方时全部或部分地解除：</w:t>
      </w:r>
    </w:p>
    <w:p w14:paraId="1802A2BE">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754" w:name="_Toc31440"/>
      <w:bookmarkStart w:id="755" w:name="_Toc2586"/>
      <w:bookmarkStart w:id="756" w:name="_Toc14534"/>
      <w:r>
        <w:rPr>
          <w:rFonts w:hint="eastAsia" w:ascii="宋体" w:hAnsi="宋体" w:eastAsia="宋体" w:cs="宋体"/>
          <w:kern w:val="2"/>
          <w:sz w:val="21"/>
          <w:szCs w:val="21"/>
          <w:highlight w:val="none"/>
          <w:lang w:val="en-US" w:eastAsia="zh-CN" w:bidi="ar-SA"/>
        </w:rPr>
        <w:t>（1）卖方迟延交付合同设备超过 3个月；</w:t>
      </w:r>
      <w:bookmarkEnd w:id="754"/>
      <w:bookmarkEnd w:id="755"/>
      <w:bookmarkEnd w:id="756"/>
    </w:p>
    <w:p w14:paraId="1D56F0AA">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（2）合同设备由于卖方原因三次考核均未能达到技术性能考核指标或在合同约定了或双方</w:t>
      </w:r>
      <w:r>
        <w:rPr>
          <w:rFonts w:hint="eastAsia" w:ascii="宋体" w:hAnsi="宋体" w:eastAsia="宋体" w:cs="宋体"/>
          <w:spacing w:val="-1"/>
          <w:kern w:val="2"/>
          <w:sz w:val="21"/>
          <w:szCs w:val="21"/>
          <w:highlight w:val="none"/>
          <w:lang w:val="en-US" w:eastAsia="zh-CN" w:bidi="ar-SA"/>
        </w:rPr>
        <w:t>在考核中另行达成了最低技术性能考核指标时均未能达到最低技术性能考核指标，且买卖双方</w:t>
      </w:r>
      <w:r>
        <w:rPr>
          <w:rFonts w:hint="eastAsia" w:ascii="宋体" w:hAnsi="宋体" w:eastAsia="宋体" w:cs="宋体"/>
          <w:kern w:val="2"/>
          <w:sz w:val="21"/>
          <w:szCs w:val="21"/>
          <w:highlight w:val="none"/>
          <w:lang w:val="en-US" w:eastAsia="zh-CN" w:bidi="ar-SA"/>
        </w:rPr>
        <w:t>未就合同的后续履行协商达成一致；</w:t>
      </w:r>
    </w:p>
    <w:p w14:paraId="790223C4">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757" w:name="_Toc12314"/>
      <w:bookmarkStart w:id="758" w:name="_Toc26047"/>
      <w:bookmarkStart w:id="759" w:name="_Toc12865"/>
      <w:r>
        <w:rPr>
          <w:rFonts w:hint="eastAsia" w:ascii="宋体" w:hAnsi="宋体" w:eastAsia="宋体" w:cs="宋体"/>
          <w:kern w:val="2"/>
          <w:sz w:val="21"/>
          <w:szCs w:val="21"/>
          <w:highlight w:val="none"/>
          <w:lang w:val="en-US" w:eastAsia="zh-CN" w:bidi="ar-SA"/>
        </w:rPr>
        <w:t>（3）买方迟延付款超过 3个月；</w:t>
      </w:r>
      <w:bookmarkEnd w:id="757"/>
      <w:bookmarkEnd w:id="758"/>
      <w:bookmarkEnd w:id="759"/>
    </w:p>
    <w:p w14:paraId="66264293">
      <w:pPr>
        <w:widowControl w:val="0"/>
        <w:spacing w:beforeLines="0" w:after="0" w:afterLines="0" w:line="360" w:lineRule="auto"/>
        <w:ind w:left="0"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（4）合同一方当事</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未</w:t>
      </w:r>
      <w:r>
        <w:rPr>
          <w:rFonts w:hint="eastAsia" w:ascii="宋体" w:hAnsi="宋体" w:eastAsia="宋体" w:cs="宋体"/>
          <w:spacing w:val="-3"/>
          <w:kern w:val="2"/>
          <w:sz w:val="21"/>
          <w:szCs w:val="21"/>
          <w:highlight w:val="none"/>
          <w:lang w:val="en-US" w:eastAsia="zh-CN" w:bidi="ar-SA"/>
        </w:rPr>
        <w:t>能</w:t>
      </w:r>
      <w:r>
        <w:rPr>
          <w:rFonts w:hint="eastAsia" w:ascii="宋体" w:hAnsi="宋体" w:eastAsia="宋体" w:cs="宋体"/>
          <w:kern w:val="2"/>
          <w:sz w:val="21"/>
          <w:szCs w:val="21"/>
          <w:highlight w:val="none"/>
          <w:lang w:val="en-US" w:eastAsia="zh-CN" w:bidi="ar-SA"/>
        </w:rPr>
        <w:t>履行合同项下任</w:t>
      </w:r>
      <w:r>
        <w:rPr>
          <w:rFonts w:hint="eastAsia" w:ascii="宋体" w:hAnsi="宋体" w:eastAsia="宋体" w:cs="宋体"/>
          <w:spacing w:val="-3"/>
          <w:kern w:val="2"/>
          <w:sz w:val="21"/>
          <w:szCs w:val="21"/>
          <w:highlight w:val="none"/>
          <w:lang w:val="en-US" w:eastAsia="zh-CN" w:bidi="ar-SA"/>
        </w:rPr>
        <w:t>何</w:t>
      </w:r>
      <w:r>
        <w:rPr>
          <w:rFonts w:hint="eastAsia" w:ascii="宋体" w:hAnsi="宋体" w:eastAsia="宋体" w:cs="宋体"/>
          <w:kern w:val="2"/>
          <w:sz w:val="21"/>
          <w:szCs w:val="21"/>
          <w:highlight w:val="none"/>
          <w:lang w:val="en-US" w:eastAsia="zh-CN" w:bidi="ar-SA"/>
        </w:rPr>
        <w:t>其它</w:t>
      </w:r>
      <w:r>
        <w:rPr>
          <w:rFonts w:hint="eastAsia" w:ascii="宋体" w:hAnsi="宋体" w:eastAsia="宋体" w:cs="宋体"/>
          <w:spacing w:val="-3"/>
          <w:kern w:val="2"/>
          <w:sz w:val="21"/>
          <w:szCs w:val="21"/>
          <w:highlight w:val="none"/>
          <w:lang w:val="en-US" w:eastAsia="zh-CN" w:bidi="ar-SA"/>
        </w:rPr>
        <w:t>义</w:t>
      </w:r>
      <w:r>
        <w:rPr>
          <w:rFonts w:hint="eastAsia" w:ascii="宋体" w:hAnsi="宋体" w:eastAsia="宋体" w:cs="宋体"/>
          <w:kern w:val="2"/>
          <w:sz w:val="21"/>
          <w:szCs w:val="21"/>
          <w:highlight w:val="none"/>
          <w:lang w:val="en-US" w:eastAsia="zh-CN" w:bidi="ar-SA"/>
        </w:rPr>
        <w:t>务</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细微义务除</w:t>
      </w:r>
      <w:r>
        <w:rPr>
          <w:rFonts w:hint="eastAsia" w:ascii="宋体" w:hAnsi="宋体" w:eastAsia="宋体" w:cs="宋体"/>
          <w:spacing w:val="-3"/>
          <w:kern w:val="2"/>
          <w:sz w:val="21"/>
          <w:szCs w:val="21"/>
          <w:highlight w:val="none"/>
          <w:lang w:val="en-US" w:eastAsia="zh-CN" w:bidi="ar-SA"/>
        </w:rPr>
        <w:t>外），或在</w:t>
      </w:r>
      <w:r>
        <w:rPr>
          <w:rFonts w:hint="eastAsia" w:ascii="宋体" w:hAnsi="宋体" w:eastAsia="宋体" w:cs="宋体"/>
          <w:kern w:val="2"/>
          <w:sz w:val="21"/>
          <w:szCs w:val="21"/>
          <w:highlight w:val="none"/>
          <w:lang w:val="en-US" w:eastAsia="zh-CN" w:bidi="ar-SA"/>
        </w:rPr>
        <w:t>未事先征得</w:t>
      </w:r>
      <w:r>
        <w:rPr>
          <w:rFonts w:hint="eastAsia" w:ascii="宋体" w:hAnsi="宋体" w:eastAsia="宋体" w:cs="宋体"/>
          <w:spacing w:val="-1"/>
          <w:kern w:val="2"/>
          <w:sz w:val="21"/>
          <w:szCs w:val="21"/>
          <w:highlight w:val="none"/>
          <w:lang w:val="en-US" w:eastAsia="zh-CN" w:bidi="ar-SA"/>
        </w:rPr>
        <w:t>另一方当事人同意的情况下，从事任何可能在实质上不利影响其履行合同能力的活动，经另一</w:t>
      </w:r>
      <w:r>
        <w:rPr>
          <w:rFonts w:hint="eastAsia" w:ascii="宋体" w:hAnsi="宋体" w:eastAsia="宋体" w:cs="宋体"/>
          <w:kern w:val="2"/>
          <w:sz w:val="21"/>
          <w:szCs w:val="21"/>
          <w:highlight w:val="none"/>
          <w:lang w:val="en-US" w:eastAsia="zh-CN" w:bidi="ar-SA"/>
        </w:rPr>
        <w:t>方当事人书面通知后</w:t>
      </w:r>
      <w:r>
        <w:rPr>
          <w:rFonts w:hint="eastAsia" w:ascii="宋体" w:hAnsi="宋体" w:eastAsia="宋体" w:cs="宋体"/>
          <w:spacing w:val="-60"/>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14日内或在专用合同条款约定的其他期限内未能对其行为作出补救；</w:t>
      </w:r>
    </w:p>
    <w:p w14:paraId="7D25BB3A">
      <w:pPr>
        <w:widowControl w:val="0"/>
        <w:spacing w:beforeLines="0" w:after="0" w:afterLines="0" w:line="360" w:lineRule="auto"/>
        <w:ind w:left="0" w:right="0" w:firstLine="404"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（5）合同一方当事人出现破产、清算、资不抵债、成为失信被执行人等可能丧失履约能力</w:t>
      </w:r>
      <w:r>
        <w:rPr>
          <w:rFonts w:hint="eastAsia" w:ascii="宋体" w:hAnsi="宋体" w:eastAsia="宋体" w:cs="宋体"/>
          <w:kern w:val="2"/>
          <w:sz w:val="21"/>
          <w:szCs w:val="21"/>
          <w:highlight w:val="none"/>
          <w:lang w:val="en-US" w:eastAsia="zh-CN" w:bidi="ar-SA"/>
        </w:rPr>
        <w:t>的情形，且未能提供令对方满意的履约保证金。</w:t>
      </w:r>
    </w:p>
    <w:p w14:paraId="7F79AC6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60" w:name="_Toc534572300"/>
      <w:bookmarkStart w:id="761" w:name="_Toc62034486"/>
      <w:bookmarkStart w:id="762" w:name="_Toc20544"/>
      <w:bookmarkStart w:id="763" w:name="_Toc9601"/>
      <w:bookmarkStart w:id="764" w:name="_Toc12407"/>
      <w:bookmarkStart w:id="765" w:name="_Toc91344956"/>
      <w:bookmarkStart w:id="766" w:name="_Toc54550768"/>
      <w:bookmarkStart w:id="767" w:name="_Toc18220"/>
      <w:bookmarkStart w:id="768" w:name="_Toc18897"/>
      <w:r>
        <w:rPr>
          <w:rFonts w:hint="eastAsia" w:ascii="宋体" w:hAnsi="宋体" w:eastAsia="宋体" w:cs="宋体"/>
          <w:b/>
          <w:bCs/>
          <w:kern w:val="0"/>
          <w:sz w:val="21"/>
          <w:szCs w:val="21"/>
          <w:highlight w:val="none"/>
          <w:lang w:val="en-US" w:eastAsia="zh-CN" w:bidi="ar-SA"/>
        </w:rPr>
        <w:t>16.不可抗力</w:t>
      </w:r>
      <w:bookmarkEnd w:id="760"/>
      <w:bookmarkEnd w:id="761"/>
      <w:bookmarkEnd w:id="762"/>
      <w:bookmarkEnd w:id="763"/>
      <w:bookmarkEnd w:id="764"/>
      <w:bookmarkEnd w:id="765"/>
      <w:bookmarkEnd w:id="766"/>
      <w:bookmarkEnd w:id="767"/>
      <w:bookmarkEnd w:id="768"/>
    </w:p>
    <w:p w14:paraId="0AEEFDA9">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3"/>
          <w:kern w:val="2"/>
          <w:sz w:val="21"/>
          <w:szCs w:val="21"/>
          <w:highlight w:val="none"/>
          <w:lang w:val="en-US" w:eastAsia="zh-CN" w:bidi="ar-SA"/>
        </w:rPr>
        <w:t>如果任何一方当事人受到不能预见、不能避免且不能克服的不可抗力事件的影响，例</w:t>
      </w:r>
      <w:r>
        <w:rPr>
          <w:rFonts w:hint="eastAsia" w:ascii="宋体" w:hAnsi="宋体" w:eastAsia="宋体" w:cs="宋体"/>
          <w:spacing w:val="-1"/>
          <w:kern w:val="2"/>
          <w:sz w:val="21"/>
          <w:szCs w:val="21"/>
          <w:highlight w:val="none"/>
          <w:lang w:val="en-US" w:eastAsia="zh-CN" w:bidi="ar-SA"/>
        </w:rPr>
        <w:t>如战争、严重的火灾、台风、地震、洪水和专用合同条款约定的其他情形，而无法履行合同项下的任何义务，则受影响的一方当事人应立即将此类事件的发生通知另一方当事人，并应在不</w:t>
      </w:r>
      <w:r>
        <w:rPr>
          <w:rFonts w:hint="eastAsia" w:ascii="宋体" w:hAnsi="宋体" w:eastAsia="宋体" w:cs="宋体"/>
          <w:kern w:val="2"/>
          <w:sz w:val="21"/>
          <w:szCs w:val="21"/>
          <w:highlight w:val="none"/>
          <w:lang w:val="en-US" w:eastAsia="zh-CN" w:bidi="ar-SA"/>
        </w:rPr>
        <w:t>可抗力事件发生后</w:t>
      </w:r>
      <w:r>
        <w:rPr>
          <w:rFonts w:hint="eastAsia" w:ascii="宋体" w:hAnsi="宋体" w:eastAsia="宋体" w:cs="宋体"/>
          <w:spacing w:val="-58"/>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28日内将有关当局或机构出具的证明文件提交给另一方当事人。</w:t>
      </w:r>
    </w:p>
    <w:p w14:paraId="231BBBCA">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16.2 受不可抗力事件影响的一方当事人对于不可抗力事件导致的任何合同义务的迟延履行或不能履行不承担违约责任。但该方当事人应尽快将不可抗力事件结束或消除的情况通知另一方当事人。</w:t>
      </w:r>
    </w:p>
    <w:p w14:paraId="68C5170C">
      <w:pPr>
        <w:widowControl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16.3 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356201CD">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69" w:name="_bookmark141"/>
      <w:bookmarkEnd w:id="769"/>
      <w:bookmarkStart w:id="770" w:name="_Toc25319"/>
      <w:bookmarkStart w:id="771" w:name="_Toc22336"/>
      <w:bookmarkStart w:id="772" w:name="_Toc1100"/>
      <w:bookmarkStart w:id="773" w:name="_Toc28817"/>
      <w:bookmarkStart w:id="774" w:name="_Toc62034487"/>
      <w:bookmarkStart w:id="775" w:name="_Toc91344957"/>
      <w:bookmarkStart w:id="776" w:name="_Toc54550769"/>
      <w:bookmarkStart w:id="777" w:name="_Toc15616"/>
      <w:bookmarkStart w:id="778" w:name="_Toc534572301"/>
      <w:r>
        <w:rPr>
          <w:rFonts w:hint="eastAsia" w:ascii="宋体" w:hAnsi="宋体" w:eastAsia="宋体" w:cs="宋体"/>
          <w:b/>
          <w:bCs/>
          <w:kern w:val="0"/>
          <w:sz w:val="21"/>
          <w:szCs w:val="21"/>
          <w:highlight w:val="none"/>
          <w:lang w:val="en-US" w:eastAsia="zh-CN" w:bidi="ar-SA"/>
        </w:rPr>
        <w:t>17.争议的解决</w:t>
      </w:r>
      <w:bookmarkEnd w:id="770"/>
      <w:bookmarkEnd w:id="771"/>
      <w:bookmarkEnd w:id="772"/>
      <w:bookmarkEnd w:id="773"/>
      <w:bookmarkEnd w:id="774"/>
      <w:bookmarkEnd w:id="775"/>
      <w:bookmarkEnd w:id="776"/>
      <w:bookmarkEnd w:id="777"/>
      <w:bookmarkEnd w:id="778"/>
    </w:p>
    <w:p w14:paraId="614007CB">
      <w:pPr>
        <w:widowControl w:val="0"/>
        <w:spacing w:beforeLines="0" w:after="0" w:afterLines="0" w:line="360" w:lineRule="auto"/>
        <w:ind w:firstLine="41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因本合同引起的或与本合同有关的任何争议，双方可通过友好协商解决。友好协商解决不成</w:t>
      </w:r>
      <w:r>
        <w:rPr>
          <w:rFonts w:hint="eastAsia" w:ascii="宋体" w:hAnsi="宋体" w:eastAsia="宋体" w:cs="宋体"/>
          <w:kern w:val="2"/>
          <w:sz w:val="21"/>
          <w:szCs w:val="21"/>
          <w:highlight w:val="none"/>
          <w:lang w:val="en-US" w:eastAsia="zh-CN" w:bidi="ar-SA"/>
        </w:rPr>
        <w:t>的，可在专用合同条款中约定下列一种方式解决：</w:t>
      </w:r>
    </w:p>
    <w:p w14:paraId="5C35C525">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（1）向约定的仲裁委员会申请仲裁；</w:t>
      </w:r>
    </w:p>
    <w:p w14:paraId="0F48A99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（2）向有管辖权的人民法院提起诉讼。</w:t>
      </w:r>
    </w:p>
    <w:p w14:paraId="1E86528D">
      <w:pPr>
        <w:widowControl/>
        <w:jc w:val="left"/>
        <w:rPr>
          <w:rFonts w:hint="eastAsia" w:ascii="宋体" w:hAnsi="宋体" w:eastAsia="宋体" w:cs="宋体"/>
          <w:szCs w:val="22"/>
          <w:highlight w:val="none"/>
        </w:rPr>
      </w:pPr>
      <w:bookmarkStart w:id="779" w:name="_Toc229305386"/>
      <w:bookmarkStart w:id="780" w:name="_Toc222031028"/>
      <w:bookmarkStart w:id="781" w:name="_Toc222029526"/>
      <w:bookmarkStart w:id="782" w:name="_Toc350347466"/>
      <w:bookmarkStart w:id="783" w:name="_Toc222033877"/>
      <w:bookmarkStart w:id="784" w:name="_Toc221948340"/>
      <w:bookmarkStart w:id="785" w:name="_Toc221951110"/>
      <w:bookmarkStart w:id="786" w:name="_Toc222032695"/>
      <w:r>
        <w:rPr>
          <w:rFonts w:hint="eastAsia" w:ascii="宋体" w:hAnsi="宋体" w:eastAsia="宋体" w:cs="宋体"/>
          <w:szCs w:val="22"/>
          <w:highlight w:val="none"/>
        </w:rPr>
        <w:br w:type="page"/>
      </w:r>
    </w:p>
    <w:p w14:paraId="35438B7B">
      <w:pPr>
        <w:widowControl/>
        <w:adjustRightInd w:val="0"/>
        <w:snapToGrid w:val="0"/>
        <w:spacing w:before="0" w:beforeLines="0" w:after="0" w:line="360" w:lineRule="auto"/>
        <w:ind w:firstLine="482" w:firstLineChars="200"/>
        <w:jc w:val="center"/>
        <w:outlineLvl w:val="9"/>
        <w:rPr>
          <w:rFonts w:hint="eastAsia" w:ascii="宋体" w:hAnsi="宋体" w:eastAsia="宋体" w:cs="宋体"/>
          <w:szCs w:val="22"/>
          <w:highlight w:val="none"/>
        </w:rPr>
      </w:pPr>
      <w:bookmarkStart w:id="787" w:name="_Toc91344958"/>
      <w:bookmarkStart w:id="788" w:name="_Toc62034488"/>
      <w:bookmarkStart w:id="789" w:name="_Toc15479"/>
      <w:bookmarkStart w:id="790" w:name="_Toc27082"/>
      <w:r>
        <w:rPr>
          <w:rFonts w:hint="eastAsia" w:ascii="宋体" w:hAnsi="宋体" w:eastAsia="宋体" w:cs="宋体"/>
          <w:b/>
          <w:sz w:val="24"/>
          <w:szCs w:val="24"/>
          <w:highlight w:val="none"/>
        </w:rPr>
        <w:t>第二节 专用合同条款</w:t>
      </w:r>
      <w:bookmarkEnd w:id="779"/>
      <w:bookmarkEnd w:id="780"/>
      <w:bookmarkEnd w:id="781"/>
      <w:bookmarkEnd w:id="782"/>
      <w:bookmarkEnd w:id="783"/>
      <w:bookmarkEnd w:id="784"/>
      <w:bookmarkEnd w:id="785"/>
      <w:bookmarkEnd w:id="786"/>
      <w:bookmarkEnd w:id="787"/>
      <w:bookmarkEnd w:id="788"/>
      <w:bookmarkEnd w:id="789"/>
      <w:bookmarkEnd w:id="790"/>
      <w:bookmarkStart w:id="791" w:name="_Toc4029"/>
      <w:bookmarkStart w:id="792" w:name="_Toc534572303"/>
      <w:bookmarkStart w:id="793" w:name="_Toc20100"/>
      <w:bookmarkStart w:id="794" w:name="_Toc24932"/>
      <w:bookmarkStart w:id="795" w:name="_Toc28512"/>
      <w:bookmarkStart w:id="796" w:name="_Toc91344959"/>
      <w:bookmarkStart w:id="797" w:name="_Toc62034489"/>
      <w:bookmarkStart w:id="798" w:name="_Toc54550771"/>
      <w:bookmarkStart w:id="799" w:name="_Toc168475890"/>
      <w:bookmarkStart w:id="800" w:name="_Toc144974834"/>
      <w:bookmarkStart w:id="801" w:name="_Toc168476293"/>
    </w:p>
    <w:p w14:paraId="53D9858C">
      <w:pPr>
        <w:widowControl/>
        <w:adjustRightInd w:val="0"/>
        <w:snapToGrid w:val="0"/>
        <w:spacing w:before="0" w:beforeLines="0" w:after="0" w:line="360" w:lineRule="auto"/>
        <w:ind w:firstLine="420" w:firstLineChars="200"/>
        <w:jc w:val="left"/>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1.一般约定</w:t>
      </w:r>
      <w:bookmarkEnd w:id="791"/>
      <w:bookmarkEnd w:id="792"/>
      <w:bookmarkEnd w:id="793"/>
      <w:bookmarkEnd w:id="794"/>
      <w:bookmarkEnd w:id="795"/>
      <w:bookmarkEnd w:id="796"/>
      <w:bookmarkEnd w:id="797"/>
      <w:bookmarkEnd w:id="798"/>
    </w:p>
    <w:p w14:paraId="17674DE6">
      <w:pPr>
        <w:widowControl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802" w:name="_Toc22907"/>
      <w:r>
        <w:rPr>
          <w:rFonts w:hint="eastAsia" w:ascii="宋体" w:hAnsi="宋体" w:eastAsia="宋体" w:cs="宋体"/>
          <w:bCs/>
          <w:kern w:val="0"/>
          <w:sz w:val="21"/>
          <w:szCs w:val="21"/>
          <w:highlight w:val="none"/>
          <w:lang w:val="en-US" w:eastAsia="zh-CN" w:bidi="ar-SA"/>
        </w:rPr>
        <w:t>1.1  词语定义</w:t>
      </w:r>
      <w:bookmarkEnd w:id="802"/>
    </w:p>
    <w:p w14:paraId="16798D8B">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工程：驻马店市薄山水库除险加固工程（一期）（二次）</w:t>
      </w:r>
    </w:p>
    <w:p w14:paraId="6925767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1.1.13.2 施工现场：</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0FD18559">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w:t>
      </w:r>
    </w:p>
    <w:p w14:paraId="564DB02E">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现场安装调试验收：指合同产品（设备）通过规定的验收试验和试运行合格并对设备进行检查符合合同要求后，买方组织相关单位对各设备分别签发“现场安装调试验收证书”。</w:t>
      </w:r>
    </w:p>
    <w:p w14:paraId="4A8C24F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最终验收：按合同规定的产品质量保证期满时，经合同双方按合同文件对产品进行全面检查合格后，由买方组织相关单位对该产品签发“最终验收证书”。</w:t>
      </w:r>
    </w:p>
    <w:p w14:paraId="207D51C5">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1.1.11 质量保证期：合同工程验收证书签发之日</w:t>
      </w:r>
      <w:r>
        <w:rPr>
          <w:rFonts w:hint="eastAsia" w:ascii="宋体" w:hAnsi="宋体" w:eastAsia="宋体" w:cs="宋体"/>
          <w:bCs/>
          <w:color w:val="auto"/>
          <w:kern w:val="2"/>
          <w:sz w:val="21"/>
          <w:szCs w:val="21"/>
          <w:highlight w:val="none"/>
          <w:lang w:val="en-US" w:eastAsia="zh-CN" w:bidi="ar-SA"/>
        </w:rPr>
        <w:t>起的2年为设备质量保证期（设备中有明确要求的除外</w:t>
      </w:r>
      <w:r>
        <w:rPr>
          <w:rFonts w:hint="eastAsia" w:ascii="宋体" w:hAnsi="宋体" w:eastAsia="宋体" w:cs="宋体"/>
          <w:color w:val="auto"/>
          <w:kern w:val="2"/>
          <w:sz w:val="21"/>
          <w:szCs w:val="21"/>
          <w:highlight w:val="none"/>
          <w:lang w:val="en-US" w:eastAsia="zh-CN" w:bidi="ar-SA"/>
        </w:rPr>
        <w:t>），若在保证期内发现重大缺陷，则卖方需按合同规定修复，并重新开始计算保证期。</w:t>
      </w:r>
    </w:p>
    <w:p w14:paraId="56AB8A0A">
      <w:pPr>
        <w:widowControl w:val="0"/>
        <w:adjustRightInd w:val="0"/>
        <w:snapToGrid w:val="0"/>
        <w:spacing w:beforeLines="0" w:after="0" w:afterLines="0" w:line="360" w:lineRule="auto"/>
        <w:ind w:right="0" w:firstLine="420" w:firstLineChars="200"/>
        <w:jc w:val="both"/>
        <w:outlineLvl w:val="9"/>
        <w:rPr>
          <w:rFonts w:hint="eastAsia" w:ascii="宋体" w:hAnsi="宋体" w:eastAsia="宋体" w:cs="宋体"/>
          <w:kern w:val="2"/>
          <w:sz w:val="21"/>
          <w:szCs w:val="21"/>
          <w:highlight w:val="none"/>
          <w:u w:val="single"/>
          <w:lang w:val="en-US" w:eastAsia="zh-CN" w:bidi="ar-SA"/>
        </w:rPr>
      </w:pPr>
      <w:r>
        <w:rPr>
          <w:rFonts w:hint="eastAsia" w:ascii="宋体" w:hAnsi="宋体" w:eastAsia="宋体" w:cs="宋体"/>
          <w:kern w:val="2"/>
          <w:sz w:val="21"/>
          <w:szCs w:val="21"/>
          <w:highlight w:val="none"/>
          <w:lang w:val="en-US" w:eastAsia="zh-CN" w:bidi="ar-SA"/>
        </w:rPr>
        <w:t>1.1.17 监理单位：</w:t>
      </w:r>
      <w:r>
        <w:rPr>
          <w:rFonts w:hint="eastAsia" w:ascii="宋体" w:hAnsi="宋体" w:eastAsia="宋体" w:cs="宋体"/>
          <w:kern w:val="2"/>
          <w:sz w:val="21"/>
          <w:szCs w:val="21"/>
          <w:highlight w:val="none"/>
          <w:u w:val="single"/>
          <w:lang w:val="en-US" w:eastAsia="zh-CN" w:bidi="ar-SA"/>
        </w:rPr>
        <w:t xml:space="preserve">                     </w:t>
      </w:r>
    </w:p>
    <w:p w14:paraId="6998489C">
      <w:pPr>
        <w:widowControl w:val="0"/>
        <w:adjustRightInd w:val="0"/>
        <w:snapToGrid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803" w:name="_Toc10178"/>
      <w:bookmarkStart w:id="804" w:name="_Toc54550772"/>
      <w:bookmarkStart w:id="805" w:name="_Toc28982"/>
      <w:bookmarkStart w:id="806" w:name="_Toc23713"/>
      <w:bookmarkStart w:id="807" w:name="_Toc18659"/>
      <w:bookmarkStart w:id="808" w:name="_Toc62034490"/>
      <w:r>
        <w:rPr>
          <w:rFonts w:hint="eastAsia" w:ascii="宋体" w:hAnsi="宋体" w:eastAsia="宋体" w:cs="宋体"/>
          <w:bCs/>
          <w:kern w:val="0"/>
          <w:sz w:val="21"/>
          <w:szCs w:val="21"/>
          <w:highlight w:val="none"/>
          <w:lang w:val="en-US" w:eastAsia="zh-CN" w:bidi="ar-SA"/>
        </w:rPr>
        <w:t>1.5  联络</w:t>
      </w:r>
      <w:bookmarkEnd w:id="803"/>
      <w:bookmarkEnd w:id="804"/>
      <w:bookmarkEnd w:id="805"/>
      <w:bookmarkEnd w:id="806"/>
      <w:bookmarkEnd w:id="807"/>
      <w:bookmarkEnd w:id="808"/>
    </w:p>
    <w:p w14:paraId="3CCA9FE6">
      <w:pPr>
        <w:widowControl w:val="0"/>
        <w:adjustRightInd w:val="0"/>
        <w:snapToGrid w:val="0"/>
        <w:spacing w:beforeLines="0" w:after="0" w:afterLines="0" w:line="360" w:lineRule="auto"/>
        <w:ind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1.5.1（1）买方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61D413E3">
      <w:pPr>
        <w:widowControl w:val="0"/>
        <w:adjustRightInd w:val="0"/>
        <w:snapToGrid w:val="0"/>
        <w:spacing w:beforeLines="0" w:after="0" w:afterLines="0" w:line="360" w:lineRule="auto"/>
        <w:ind w:right="0"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（2）卖方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6FE76C3D">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1.5.3设计联络会</w:t>
      </w:r>
    </w:p>
    <w:p w14:paraId="72F74726">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（1）确定联络人合同签署时，双方应各自明确并提交经法定代表人授权的联络人名单，以后联络人的变动必须以书面形式通知对方。</w:t>
      </w:r>
    </w:p>
    <w:p w14:paraId="642401B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联络会是为解决合同产品在设计、生产、运输、安装过程中出现的问题而建立的会商、处理机制。由双方、监理人、工程设计单位、施工方参加，第一次联络会应在合同产品生产前进行设计交底和审查卖方提供的产品设计图纸，包括审查产品设计图及制造的工艺流程及技术措施、产品制造的质量控制、详细的制造进度安排及产品技术接口、分工与衔接，并组织买方等与会者对制造厂的参观，检查卖方在投标时的承诺和产品制造的质量保证。</w:t>
      </w:r>
    </w:p>
    <w:p w14:paraId="73861035">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（3）联络会议应形成会议纪要，如对合同条款做修改时，必须由双方联络人签字，并履行合同修改要求的程序才能有效。会议纪要作为合同的补充文件，对双方具有约束作用，双方必须严格遵守。</w:t>
      </w:r>
    </w:p>
    <w:p w14:paraId="45BD704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（4）召开时间、地点由买方确定并通知相关各方。</w:t>
      </w:r>
    </w:p>
    <w:p w14:paraId="56C8FF24">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设计联络会要做好记录并编写会议纪要。记录和纪要由卖方负责，并经过买方同意。纪要应包括讨论的项目、内容和得出的结论，由有关各方首席代表签字确认后生效，与合同具有同等效力。纪要发给与会者。</w:t>
      </w:r>
    </w:p>
    <w:p w14:paraId="1D08086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（6）参加人员应包括买方、监理人、施工单位和工程设计单位的代表等。参加会议所发生的场地费、资料费等与之相关的费用均由卖方承担。</w:t>
      </w:r>
    </w:p>
    <w:p w14:paraId="79F091E0">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kern w:val="0"/>
          <w:sz w:val="21"/>
          <w:szCs w:val="21"/>
          <w:highlight w:val="none"/>
          <w:lang w:val="en-US" w:eastAsia="zh-CN" w:bidi="ar-SA"/>
        </w:rPr>
      </w:pPr>
      <w:bookmarkStart w:id="809" w:name="_Toc21955"/>
      <w:bookmarkStart w:id="810" w:name="_Toc54550773"/>
      <w:bookmarkStart w:id="811" w:name="_Toc3886"/>
      <w:bookmarkStart w:id="812" w:name="_Toc10865"/>
      <w:bookmarkStart w:id="813" w:name="_Toc62034491"/>
      <w:bookmarkStart w:id="814" w:name="_Toc7794"/>
      <w:r>
        <w:rPr>
          <w:rFonts w:hint="eastAsia" w:ascii="宋体" w:hAnsi="宋体" w:eastAsia="宋体" w:cs="宋体"/>
          <w:kern w:val="0"/>
          <w:sz w:val="21"/>
          <w:szCs w:val="21"/>
          <w:highlight w:val="none"/>
          <w:lang w:val="en-US" w:eastAsia="zh-CN" w:bidi="ar-SA"/>
        </w:rPr>
        <w:t>3.1  合同价格</w:t>
      </w:r>
      <w:bookmarkEnd w:id="809"/>
      <w:bookmarkEnd w:id="810"/>
      <w:bookmarkEnd w:id="811"/>
      <w:bookmarkEnd w:id="812"/>
      <w:bookmarkEnd w:id="813"/>
    </w:p>
    <w:p w14:paraId="31B3A6B4">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本合同为固定单价合同，单价不予调整。</w:t>
      </w:r>
    </w:p>
    <w:p w14:paraId="5EBE3DB7">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15" w:name="_Toc62034492"/>
      <w:bookmarkStart w:id="816" w:name="_Toc17598"/>
      <w:bookmarkStart w:id="817" w:name="_Toc54550774"/>
      <w:bookmarkStart w:id="818" w:name="_Toc31978"/>
      <w:bookmarkStart w:id="819" w:name="_Toc6029"/>
      <w:r>
        <w:rPr>
          <w:rFonts w:hint="eastAsia" w:ascii="宋体" w:hAnsi="宋体" w:eastAsia="宋体" w:cs="宋体"/>
          <w:bCs/>
          <w:color w:val="auto"/>
          <w:kern w:val="0"/>
          <w:sz w:val="21"/>
          <w:szCs w:val="21"/>
          <w:highlight w:val="none"/>
          <w:lang w:val="en-US" w:eastAsia="zh-CN" w:bidi="ar-SA"/>
        </w:rPr>
        <w:t>3.2  合同价款的支付</w:t>
      </w:r>
      <w:bookmarkEnd w:id="814"/>
      <w:bookmarkEnd w:id="815"/>
      <w:bookmarkEnd w:id="816"/>
      <w:bookmarkEnd w:id="817"/>
      <w:bookmarkEnd w:id="818"/>
      <w:bookmarkEnd w:id="819"/>
    </w:p>
    <w:p w14:paraId="5F0ED374">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20" w:name="_Toc26354"/>
      <w:bookmarkStart w:id="821" w:name="_Toc12672"/>
      <w:bookmarkStart w:id="822" w:name="_Toc12565"/>
      <w:bookmarkStart w:id="823" w:name="_Toc54550775"/>
      <w:bookmarkStart w:id="824" w:name="_Toc62034493"/>
      <w:bookmarkStart w:id="825" w:name="_Toc29791"/>
      <w:r>
        <w:rPr>
          <w:rFonts w:hint="eastAsia" w:ascii="宋体" w:hAnsi="宋体" w:eastAsia="宋体" w:cs="宋体"/>
          <w:bCs/>
          <w:color w:val="auto"/>
          <w:kern w:val="0"/>
          <w:sz w:val="21"/>
          <w:szCs w:val="21"/>
          <w:highlight w:val="none"/>
          <w:lang w:val="en-US" w:eastAsia="zh-CN" w:bidi="ar-SA"/>
        </w:rPr>
        <w:t>3.2.1预付款</w:t>
      </w:r>
      <w:bookmarkEnd w:id="820"/>
      <w:bookmarkEnd w:id="821"/>
      <w:bookmarkEnd w:id="822"/>
    </w:p>
    <w:p w14:paraId="6BFF2C6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26" w:name="_Toc12432"/>
      <w:bookmarkStart w:id="827" w:name="_Toc21162"/>
      <w:bookmarkStart w:id="828" w:name="_Toc4616"/>
      <w:r>
        <w:rPr>
          <w:rFonts w:hint="eastAsia" w:ascii="宋体" w:hAnsi="宋体" w:eastAsia="宋体" w:cs="宋体"/>
          <w:bCs/>
          <w:color w:val="auto"/>
          <w:kern w:val="0"/>
          <w:sz w:val="21"/>
          <w:szCs w:val="21"/>
          <w:highlight w:val="none"/>
          <w:lang w:val="en-US" w:eastAsia="zh-CN" w:bidi="ar-SA"/>
        </w:rPr>
        <w:t>买方应通过以下方式和比例向卖方支付预付款：</w:t>
      </w:r>
      <w:bookmarkEnd w:id="826"/>
      <w:bookmarkEnd w:id="827"/>
      <w:bookmarkEnd w:id="828"/>
    </w:p>
    <w:p w14:paraId="7CE9A72D">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829" w:name="_Toc18909"/>
      <w:bookmarkStart w:id="830" w:name="_Toc20972"/>
      <w:bookmarkStart w:id="831" w:name="_Toc4649"/>
      <w:r>
        <w:rPr>
          <w:rFonts w:hint="default" w:ascii="宋体" w:hAnsi="宋体" w:eastAsia="宋体" w:cs="宋体"/>
          <w:bCs/>
          <w:color w:val="auto"/>
          <w:kern w:val="0"/>
          <w:sz w:val="21"/>
          <w:szCs w:val="21"/>
          <w:highlight w:val="none"/>
          <w:lang w:val="en-US" w:eastAsia="zh-CN" w:bidi="ar-SA"/>
        </w:rPr>
        <w:t>签订</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合同一个月内支付</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合同额的20%；并经监理</w:t>
      </w:r>
      <w:r>
        <w:rPr>
          <w:rFonts w:hint="eastAsia" w:ascii="宋体" w:hAnsi="宋体" w:eastAsia="宋体" w:cs="宋体"/>
          <w:bCs/>
          <w:color w:val="auto"/>
          <w:kern w:val="0"/>
          <w:sz w:val="21"/>
          <w:szCs w:val="21"/>
          <w:highlight w:val="none"/>
          <w:lang w:val="en-US" w:eastAsia="zh-CN" w:bidi="ar-SA"/>
        </w:rPr>
        <w:t>人</w:t>
      </w:r>
      <w:r>
        <w:rPr>
          <w:rFonts w:hint="default" w:ascii="宋体" w:hAnsi="宋体" w:eastAsia="宋体" w:cs="宋体"/>
          <w:bCs/>
          <w:color w:val="auto"/>
          <w:kern w:val="0"/>
          <w:sz w:val="21"/>
          <w:szCs w:val="21"/>
          <w:highlight w:val="none"/>
          <w:lang w:val="en-US" w:eastAsia="zh-CN" w:bidi="ar-SA"/>
        </w:rPr>
        <w:t>出具付款证书报送发包人批准后，发包人14天内办理支付手续。</w:t>
      </w:r>
    </w:p>
    <w:p w14:paraId="3FA82C14">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F01B8B6">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卖方</w:t>
      </w:r>
      <w:r>
        <w:rPr>
          <w:rFonts w:hint="default" w:ascii="宋体" w:hAnsi="宋体" w:eastAsia="宋体" w:cs="宋体"/>
          <w:bCs/>
          <w:color w:val="auto"/>
          <w:kern w:val="0"/>
          <w:sz w:val="21"/>
          <w:szCs w:val="21"/>
          <w:highlight w:val="none"/>
          <w:lang w:val="en-US" w:eastAsia="zh-CN" w:bidi="ar-SA"/>
        </w:rPr>
        <w:t>应提供真实有效的发票。</w:t>
      </w:r>
    </w:p>
    <w:p w14:paraId="62F38D7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3.2.2交货款</w:t>
      </w:r>
      <w:bookmarkEnd w:id="829"/>
      <w:bookmarkEnd w:id="830"/>
      <w:bookmarkEnd w:id="831"/>
    </w:p>
    <w:p w14:paraId="586C940A">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32" w:name="_Toc29854"/>
      <w:bookmarkStart w:id="833" w:name="_Toc26307"/>
      <w:bookmarkStart w:id="834" w:name="_Toc27877"/>
      <w:r>
        <w:rPr>
          <w:rFonts w:hint="eastAsia" w:ascii="宋体" w:hAnsi="宋体" w:eastAsia="宋体" w:cs="宋体"/>
          <w:bCs/>
          <w:color w:val="auto"/>
          <w:kern w:val="0"/>
          <w:sz w:val="21"/>
          <w:szCs w:val="21"/>
          <w:highlight w:val="none"/>
          <w:lang w:val="en-US" w:eastAsia="zh-CN" w:bidi="ar-SA"/>
        </w:rPr>
        <w:t>买方应通过以下方式和比例向卖方支付交货款：</w:t>
      </w:r>
      <w:bookmarkEnd w:id="832"/>
      <w:bookmarkEnd w:id="833"/>
      <w:bookmarkEnd w:id="834"/>
    </w:p>
    <w:p w14:paraId="1E6CC4A1">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835" w:name="_Toc27443"/>
      <w:bookmarkStart w:id="836" w:name="_Toc2470"/>
      <w:bookmarkStart w:id="837" w:name="_Toc10729"/>
      <w:r>
        <w:rPr>
          <w:rFonts w:hint="eastAsia" w:ascii="宋体" w:hAnsi="宋体" w:eastAsia="宋体" w:cs="宋体"/>
          <w:bCs/>
          <w:color w:val="auto"/>
          <w:kern w:val="0"/>
          <w:sz w:val="21"/>
          <w:szCs w:val="21"/>
          <w:highlight w:val="none"/>
          <w:lang w:val="en-US" w:eastAsia="zh-CN" w:bidi="ar-SA"/>
        </w:rPr>
        <w:t>经监理人和买方、施工方、设计单位施工现场开箱</w:t>
      </w:r>
      <w:r>
        <w:rPr>
          <w:rFonts w:hint="eastAsia" w:ascii="宋体" w:hAnsi="宋体" w:eastAsia="宋体" w:cs="宋体"/>
          <w:color w:val="auto"/>
          <w:kern w:val="0"/>
          <w:sz w:val="21"/>
          <w:szCs w:val="21"/>
          <w:highlight w:val="none"/>
          <w:lang w:val="en-US" w:eastAsia="zh-CN" w:bidi="ar-SA"/>
        </w:rPr>
        <w:t>验收</w:t>
      </w:r>
      <w:r>
        <w:rPr>
          <w:rFonts w:hint="eastAsia" w:ascii="宋体" w:hAnsi="宋体" w:eastAsia="宋体" w:cs="宋体"/>
          <w:bCs/>
          <w:color w:val="auto"/>
          <w:kern w:val="0"/>
          <w:sz w:val="21"/>
          <w:szCs w:val="21"/>
          <w:highlight w:val="none"/>
          <w:lang w:val="en-US" w:eastAsia="zh-CN" w:bidi="ar-SA"/>
        </w:rPr>
        <w:t>合格，由监理人出具支付证书14天内，</w:t>
      </w:r>
      <w:bookmarkEnd w:id="835"/>
      <w:bookmarkEnd w:id="836"/>
      <w:r>
        <w:rPr>
          <w:rFonts w:hint="eastAsia" w:ascii="宋体" w:hAnsi="宋体" w:eastAsia="宋体" w:cs="宋体"/>
          <w:bCs/>
          <w:color w:val="auto"/>
          <w:kern w:val="0"/>
          <w:sz w:val="21"/>
          <w:szCs w:val="21"/>
          <w:highlight w:val="none"/>
          <w:lang w:val="en-US" w:eastAsia="zh-CN" w:bidi="ar-SA"/>
        </w:rPr>
        <w:t>支付至该批货物合同额的80%（包含预付款），</w:t>
      </w:r>
      <w:bookmarkEnd w:id="837"/>
      <w:r>
        <w:rPr>
          <w:rFonts w:hint="default" w:ascii="宋体" w:hAnsi="宋体" w:eastAsia="宋体" w:cs="宋体"/>
          <w:bCs/>
          <w:color w:val="auto"/>
          <w:kern w:val="0"/>
          <w:sz w:val="21"/>
          <w:szCs w:val="21"/>
          <w:highlight w:val="none"/>
          <w:lang w:val="en-US" w:eastAsia="zh-CN" w:bidi="ar-SA"/>
        </w:rPr>
        <w:t>发包人14天内办理支付手续。</w:t>
      </w:r>
    </w:p>
    <w:p w14:paraId="6C6E0730">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5A20864">
      <w:pPr>
        <w:widowControl w:val="0"/>
        <w:adjustRightInd w:val="0"/>
        <w:snapToGrid w:val="0"/>
        <w:spacing w:beforeLines="0" w:afterLines="0" w:line="360" w:lineRule="auto"/>
        <w:ind w:left="237" w:right="0"/>
        <w:jc w:val="both"/>
        <w:outlineLvl w:val="9"/>
        <w:rPr>
          <w:rFonts w:hint="eastAsia" w:ascii="宋体" w:hAnsi="宋体" w:eastAsia="宋体" w:cs="宋体"/>
          <w:bCs/>
          <w:color w:val="auto"/>
          <w:kern w:val="0"/>
          <w:sz w:val="21"/>
          <w:szCs w:val="21"/>
          <w:highlight w:val="none"/>
          <w:lang w:val="en-US" w:eastAsia="zh-CN" w:bidi="ar-SA"/>
        </w:rPr>
      </w:pPr>
      <w:bookmarkStart w:id="838" w:name="_Toc6926"/>
      <w:bookmarkStart w:id="839" w:name="_Toc11339"/>
      <w:bookmarkStart w:id="840" w:name="_Toc7906"/>
      <w:r>
        <w:rPr>
          <w:rFonts w:hint="eastAsia" w:ascii="宋体" w:hAnsi="宋体" w:eastAsia="宋体" w:cs="宋体"/>
          <w:bCs/>
          <w:color w:val="auto"/>
          <w:kern w:val="0"/>
          <w:sz w:val="21"/>
          <w:szCs w:val="21"/>
          <w:highlight w:val="none"/>
          <w:lang w:val="en-US" w:eastAsia="zh-CN" w:bidi="ar-SA"/>
        </w:rPr>
        <w:t>3.2.3 验收款</w:t>
      </w:r>
      <w:bookmarkEnd w:id="838"/>
      <w:bookmarkEnd w:id="839"/>
      <w:bookmarkEnd w:id="840"/>
    </w:p>
    <w:p w14:paraId="390073A1">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41" w:name="_Toc10331"/>
      <w:bookmarkStart w:id="842" w:name="_Toc16167"/>
      <w:bookmarkStart w:id="843" w:name="_Toc21912"/>
      <w:r>
        <w:rPr>
          <w:rFonts w:hint="eastAsia" w:ascii="宋体" w:hAnsi="宋体" w:eastAsia="宋体" w:cs="宋体"/>
          <w:bCs/>
          <w:color w:val="auto"/>
          <w:kern w:val="0"/>
          <w:sz w:val="21"/>
          <w:szCs w:val="21"/>
          <w:highlight w:val="none"/>
          <w:lang w:val="en-US" w:eastAsia="zh-CN" w:bidi="ar-SA"/>
        </w:rPr>
        <w:t>买方应通过以下方式和比例向卖方支付合同验收款价款：</w:t>
      </w:r>
      <w:bookmarkEnd w:id="841"/>
      <w:bookmarkEnd w:id="842"/>
      <w:bookmarkEnd w:id="843"/>
    </w:p>
    <w:p w14:paraId="34732FCF">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844" w:name="_Toc26525"/>
      <w:bookmarkStart w:id="845" w:name="_Toc4679"/>
      <w:bookmarkStart w:id="846" w:name="_Toc19591"/>
      <w:r>
        <w:rPr>
          <w:rFonts w:hint="eastAsia" w:ascii="宋体" w:hAnsi="宋体" w:eastAsia="宋体" w:cs="宋体"/>
          <w:bCs/>
          <w:color w:val="auto"/>
          <w:kern w:val="0"/>
          <w:sz w:val="21"/>
          <w:szCs w:val="21"/>
          <w:highlight w:val="none"/>
          <w:lang w:val="en-US" w:eastAsia="zh-CN" w:bidi="ar-SA"/>
        </w:rPr>
        <w:t>设备安装验收合格并经联合调试验收合格后支付剩余合同额，</w:t>
      </w:r>
      <w:r>
        <w:rPr>
          <w:rFonts w:hint="default" w:ascii="宋体" w:hAnsi="宋体" w:eastAsia="宋体" w:cs="宋体"/>
          <w:bCs/>
          <w:color w:val="auto"/>
          <w:kern w:val="0"/>
          <w:sz w:val="21"/>
          <w:szCs w:val="21"/>
          <w:highlight w:val="none"/>
          <w:lang w:val="en-US" w:eastAsia="zh-CN" w:bidi="ar-SA"/>
        </w:rPr>
        <w:t>并经监理</w:t>
      </w:r>
      <w:r>
        <w:rPr>
          <w:rFonts w:hint="eastAsia" w:ascii="宋体" w:hAnsi="宋体" w:eastAsia="宋体" w:cs="宋体"/>
          <w:bCs/>
          <w:color w:val="auto"/>
          <w:kern w:val="0"/>
          <w:sz w:val="21"/>
          <w:szCs w:val="21"/>
          <w:highlight w:val="none"/>
          <w:lang w:val="en-US" w:eastAsia="zh-CN" w:bidi="ar-SA"/>
        </w:rPr>
        <w:t>人</w:t>
      </w:r>
      <w:r>
        <w:rPr>
          <w:rFonts w:hint="default" w:ascii="宋体" w:hAnsi="宋体" w:eastAsia="宋体" w:cs="宋体"/>
          <w:bCs/>
          <w:color w:val="auto"/>
          <w:kern w:val="0"/>
          <w:sz w:val="21"/>
          <w:szCs w:val="21"/>
          <w:highlight w:val="none"/>
          <w:lang w:val="en-US" w:eastAsia="zh-CN" w:bidi="ar-SA"/>
        </w:rPr>
        <w:t>出具付款证书报送发包人批准后</w:t>
      </w:r>
      <w:r>
        <w:rPr>
          <w:rFonts w:hint="eastAsia" w:ascii="宋体" w:hAnsi="宋体" w:eastAsia="宋体" w:cs="宋体"/>
          <w:bCs/>
          <w:color w:val="auto"/>
          <w:kern w:val="0"/>
          <w:sz w:val="21"/>
          <w:szCs w:val="21"/>
          <w:highlight w:val="none"/>
          <w:lang w:val="en-US" w:eastAsia="zh-CN" w:bidi="ar-SA"/>
        </w:rPr>
        <w:t>，</w:t>
      </w:r>
      <w:r>
        <w:rPr>
          <w:rFonts w:hint="default" w:ascii="宋体" w:hAnsi="宋体" w:eastAsia="宋体" w:cs="宋体"/>
          <w:bCs/>
          <w:color w:val="auto"/>
          <w:kern w:val="0"/>
          <w:sz w:val="21"/>
          <w:szCs w:val="21"/>
          <w:highlight w:val="none"/>
          <w:lang w:val="en-US" w:eastAsia="zh-CN" w:bidi="ar-SA"/>
        </w:rPr>
        <w:t>发包人14天内办理支付手续。</w:t>
      </w:r>
    </w:p>
    <w:p w14:paraId="0A00527D">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在履约保函期限结束前需向发包人递交总价款3%的银行出具的见索即付质量保证金保函。</w:t>
      </w:r>
      <w:bookmarkEnd w:id="844"/>
      <w:bookmarkEnd w:id="845"/>
      <w:bookmarkEnd w:id="846"/>
    </w:p>
    <w:p w14:paraId="0CAC5275">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847" w:name="_Toc5849"/>
      <w:bookmarkStart w:id="848" w:name="_Toc17064"/>
      <w:bookmarkStart w:id="849" w:name="_Toc9661"/>
      <w:r>
        <w:rPr>
          <w:rFonts w:hint="eastAsia" w:ascii="宋体" w:hAnsi="宋体" w:eastAsia="宋体" w:cs="宋体"/>
          <w:bCs/>
          <w:color w:val="auto"/>
          <w:kern w:val="0"/>
          <w:sz w:val="21"/>
          <w:szCs w:val="21"/>
          <w:highlight w:val="none"/>
          <w:lang w:val="en-US" w:eastAsia="zh-CN" w:bidi="ar-SA"/>
        </w:rPr>
        <w:t>注：每次付款前卖方需提供真实有效的发票。</w:t>
      </w:r>
      <w:bookmarkEnd w:id="847"/>
      <w:bookmarkEnd w:id="848"/>
      <w:bookmarkEnd w:id="849"/>
    </w:p>
    <w:p w14:paraId="32A3990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850" w:name="_Toc511"/>
      <w:bookmarkStart w:id="851" w:name="_Toc9117"/>
      <w:bookmarkStart w:id="852" w:name="_Toc29994"/>
      <w:r>
        <w:rPr>
          <w:rFonts w:hint="eastAsia" w:ascii="宋体" w:hAnsi="宋体" w:eastAsia="宋体" w:cs="宋体"/>
          <w:bCs/>
          <w:color w:val="000000"/>
          <w:kern w:val="0"/>
          <w:sz w:val="21"/>
          <w:szCs w:val="21"/>
          <w:highlight w:val="none"/>
          <w:lang w:val="en-US" w:eastAsia="zh-CN" w:bidi="ar-SA"/>
        </w:rPr>
        <w:t>4.2  交货前检验</w:t>
      </w:r>
      <w:bookmarkEnd w:id="823"/>
      <w:bookmarkEnd w:id="824"/>
      <w:bookmarkEnd w:id="825"/>
      <w:bookmarkEnd w:id="850"/>
      <w:bookmarkEnd w:id="851"/>
      <w:bookmarkEnd w:id="852"/>
    </w:p>
    <w:p w14:paraId="4AC1C11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双方应按本款约定履行交货前检验。</w:t>
      </w:r>
    </w:p>
    <w:p w14:paraId="6A3357EB">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（1）交货前检验由买方组织。卖方应在交货前15天向买方或监理人提交验收大纲；</w:t>
      </w:r>
    </w:p>
    <w:p w14:paraId="1622622E">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（2）产品出厂前，卖方应按7.5提交出厂资料；</w:t>
      </w:r>
    </w:p>
    <w:p w14:paraId="280DCC3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（3）出厂资料应提前15天提交监理人，作为交货前检验时使用。上述资料，除产品合格证应用原件外，外购件合格证采用原件，其余资料均可用复印件。卖方应在所有资料上盖单位公章；</w:t>
      </w:r>
    </w:p>
    <w:p w14:paraId="26B94E51">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（4）交货前检验时，产品（设备）应处于组装状态或可测试状态；</w:t>
      </w:r>
    </w:p>
    <w:p w14:paraId="5B5BDD6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（5）交货前检验经监理人签字后，并不免除卖方对产品（设备）承担的全部合同责任；</w:t>
      </w:r>
    </w:p>
    <w:p w14:paraId="143B7BD5">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（6）交货前检验的准备、组织和交货前检验的所有费用均包括在合同价格中。</w:t>
      </w:r>
    </w:p>
    <w:p w14:paraId="17F8131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853" w:name="_Toc54550776"/>
      <w:bookmarkStart w:id="854" w:name="_Toc15720"/>
      <w:bookmarkStart w:id="855" w:name="_Toc15856"/>
      <w:bookmarkStart w:id="856" w:name="_Toc62034494"/>
      <w:bookmarkStart w:id="857" w:name="_Toc26876"/>
      <w:bookmarkStart w:id="858" w:name="_Toc28128"/>
      <w:bookmarkStart w:id="859" w:name="_Toc534572304"/>
      <w:r>
        <w:rPr>
          <w:rFonts w:hint="eastAsia" w:ascii="宋体" w:hAnsi="宋体" w:eastAsia="宋体" w:cs="宋体"/>
          <w:bCs/>
          <w:color w:val="000000"/>
          <w:kern w:val="0"/>
          <w:sz w:val="21"/>
          <w:szCs w:val="21"/>
          <w:highlight w:val="none"/>
          <w:lang w:val="en-US" w:eastAsia="zh-CN" w:bidi="ar-SA"/>
        </w:rPr>
        <w:t>5.4  交付</w:t>
      </w:r>
      <w:bookmarkEnd w:id="853"/>
      <w:bookmarkEnd w:id="854"/>
      <w:bookmarkEnd w:id="855"/>
      <w:bookmarkEnd w:id="856"/>
      <w:bookmarkEnd w:id="857"/>
      <w:bookmarkEnd w:id="858"/>
      <w:bookmarkEnd w:id="859"/>
    </w:p>
    <w:p w14:paraId="4A66973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供货期（服务期）：</w:t>
      </w:r>
      <w:r>
        <w:rPr>
          <w:rFonts w:hint="eastAsia" w:ascii="宋体" w:hAnsi="宋体" w:eastAsia="宋体" w:cs="宋体"/>
          <w:b/>
          <w:bCs/>
          <w:kern w:val="2"/>
          <w:sz w:val="21"/>
          <w:szCs w:val="21"/>
          <w:highlight w:val="none"/>
          <w:lang w:val="en-US" w:eastAsia="zh-CN" w:bidi="ar-SA"/>
        </w:rPr>
        <w:t>自合同签订之日起至竣工验收通过之日止</w:t>
      </w:r>
      <w:r>
        <w:rPr>
          <w:rFonts w:hint="eastAsia" w:ascii="宋体" w:hAnsi="宋体" w:eastAsia="宋体" w:cs="宋体"/>
          <w:strike w:val="0"/>
          <w:dstrike w:val="0"/>
          <w:kern w:val="2"/>
          <w:sz w:val="21"/>
          <w:szCs w:val="21"/>
          <w:highlight w:val="none"/>
          <w:lang w:val="en-US" w:eastAsia="zh-CN" w:bidi="ar-SA"/>
        </w:rPr>
        <w:t>（供货期按照监理人批准的供货计划实施）</w:t>
      </w:r>
    </w:p>
    <w:p w14:paraId="08F4F9E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交货方式：卖方按买方要求交货，并验收合格。</w:t>
      </w:r>
    </w:p>
    <w:p w14:paraId="0E083923">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交货地点：</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490378F9">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860" w:name="_Toc24220"/>
      <w:bookmarkStart w:id="861" w:name="_Toc27919"/>
      <w:bookmarkStart w:id="862" w:name="_Toc91344960"/>
      <w:bookmarkStart w:id="863" w:name="_Toc534572305"/>
      <w:bookmarkStart w:id="864" w:name="_Toc54550777"/>
      <w:bookmarkStart w:id="865" w:name="_Toc62034495"/>
      <w:bookmarkStart w:id="866" w:name="_Toc260"/>
      <w:bookmarkStart w:id="867" w:name="_Toc31078"/>
      <w:r>
        <w:rPr>
          <w:rFonts w:hint="eastAsia" w:ascii="宋体" w:hAnsi="宋体" w:eastAsia="宋体" w:cs="宋体"/>
          <w:b/>
          <w:bCs/>
          <w:kern w:val="0"/>
          <w:sz w:val="21"/>
          <w:szCs w:val="21"/>
          <w:highlight w:val="none"/>
          <w:lang w:val="en-US" w:eastAsia="zh-CN" w:bidi="ar-SA"/>
        </w:rPr>
        <w:t>6. 开箱检验、安装、调试、考核、验收</w:t>
      </w:r>
      <w:bookmarkEnd w:id="860"/>
      <w:bookmarkEnd w:id="861"/>
      <w:bookmarkEnd w:id="862"/>
      <w:bookmarkEnd w:id="863"/>
      <w:bookmarkEnd w:id="864"/>
      <w:bookmarkEnd w:id="865"/>
      <w:bookmarkEnd w:id="866"/>
      <w:bookmarkEnd w:id="867"/>
    </w:p>
    <w:p w14:paraId="5701E771">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868" w:name="_Toc18714"/>
      <w:bookmarkStart w:id="869" w:name="_Toc54550778"/>
      <w:bookmarkStart w:id="870" w:name="_Toc62034496"/>
      <w:r>
        <w:rPr>
          <w:rFonts w:hint="eastAsia" w:ascii="宋体" w:hAnsi="宋体" w:eastAsia="宋体" w:cs="宋体"/>
          <w:bCs/>
          <w:color w:val="000000"/>
          <w:kern w:val="0"/>
          <w:sz w:val="21"/>
          <w:szCs w:val="21"/>
          <w:highlight w:val="none"/>
          <w:lang w:val="en-US" w:eastAsia="zh-CN" w:bidi="ar-SA"/>
        </w:rPr>
        <w:t>6.1  开箱检验</w:t>
      </w:r>
      <w:bookmarkEnd w:id="868"/>
      <w:bookmarkEnd w:id="869"/>
      <w:bookmarkEnd w:id="870"/>
    </w:p>
    <w:p w14:paraId="123AB12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合同设备交付后应进行开箱检验，即合同设备数量及外观检验。开箱检验在下列（2）时间进行：</w:t>
      </w:r>
    </w:p>
    <w:p w14:paraId="55C8E66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3AB2234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 3 日前将开箱检验的时间和地点通知卖方。</w:t>
      </w:r>
    </w:p>
    <w:p w14:paraId="64D05FBD">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871" w:name="_Toc62034497"/>
      <w:bookmarkStart w:id="872" w:name="_Toc54550779"/>
      <w:bookmarkStart w:id="873" w:name="_Toc13335"/>
      <w:r>
        <w:rPr>
          <w:rFonts w:hint="eastAsia" w:ascii="宋体" w:hAnsi="宋体" w:eastAsia="宋体" w:cs="宋体"/>
          <w:bCs/>
          <w:kern w:val="0"/>
          <w:sz w:val="21"/>
          <w:szCs w:val="21"/>
          <w:highlight w:val="none"/>
          <w:lang w:val="en-US" w:eastAsia="zh-CN" w:bidi="ar-SA"/>
        </w:rPr>
        <w:t>6.2  安装、调试</w:t>
      </w:r>
      <w:bookmarkEnd w:id="871"/>
      <w:bookmarkEnd w:id="872"/>
      <w:bookmarkEnd w:id="873"/>
    </w:p>
    <w:p w14:paraId="1FB6A06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6.2.1 开箱检验完成后，双方应对合同设备进行安装、调试，以使其具备考核的状态。安装、调试应按照下列（2）方式进行：</w:t>
      </w:r>
    </w:p>
    <w:p w14:paraId="72D0B20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6DFCBE30">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（2）买方安排施工单位负责合同设备的安装、调试工作，卖方提供安装和调试指导、技术服务等。</w:t>
      </w:r>
    </w:p>
    <w:p w14:paraId="04B19AAB">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874" w:name="_Toc91344961"/>
      <w:bookmarkStart w:id="875" w:name="_Toc54550780"/>
      <w:bookmarkStart w:id="876" w:name="_Toc534572306"/>
      <w:bookmarkStart w:id="877" w:name="_Toc24854"/>
      <w:bookmarkStart w:id="878" w:name="_Toc62034498"/>
      <w:bookmarkStart w:id="879" w:name="_Toc3589"/>
      <w:bookmarkStart w:id="880" w:name="_Toc26203"/>
      <w:r>
        <w:rPr>
          <w:rFonts w:hint="eastAsia" w:ascii="宋体" w:hAnsi="宋体" w:eastAsia="宋体" w:cs="宋体"/>
          <w:b/>
          <w:bCs/>
          <w:kern w:val="0"/>
          <w:sz w:val="21"/>
          <w:szCs w:val="21"/>
          <w:highlight w:val="none"/>
          <w:lang w:val="en-US" w:eastAsia="zh-CN" w:bidi="ar-SA"/>
        </w:rPr>
        <w:t>7.技术服务</w:t>
      </w:r>
      <w:bookmarkEnd w:id="874"/>
      <w:bookmarkEnd w:id="875"/>
      <w:bookmarkEnd w:id="876"/>
      <w:bookmarkEnd w:id="877"/>
      <w:bookmarkEnd w:id="878"/>
      <w:bookmarkEnd w:id="879"/>
      <w:bookmarkEnd w:id="880"/>
    </w:p>
    <w:p w14:paraId="418A5C7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本款补充以下内容：</w:t>
      </w:r>
    </w:p>
    <w:p w14:paraId="3D90F43F">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7.5合同产品交货前检验前，卖方应向买方提供如下资料。</w:t>
      </w:r>
    </w:p>
    <w:p w14:paraId="023EA442">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bookmarkStart w:id="881" w:name="_Toc29688"/>
      <w:r>
        <w:rPr>
          <w:rFonts w:hint="eastAsia" w:ascii="宋体" w:hAnsi="宋体" w:eastAsia="宋体" w:cs="宋体"/>
          <w:kern w:val="2"/>
          <w:sz w:val="21"/>
          <w:szCs w:val="21"/>
          <w:highlight w:val="none"/>
          <w:lang w:val="en-US" w:eastAsia="zh-CN" w:bidi="ar-SA"/>
        </w:rPr>
        <w:t>1)产品出厂合格证书12套；</w:t>
      </w:r>
      <w:bookmarkEnd w:id="881"/>
    </w:p>
    <w:p w14:paraId="5400187E">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2)安装使用说明书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7D927B1C">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3)产品安装说明书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44D64B3D">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4)主要部件的试验报告</w:t>
      </w:r>
      <w:r>
        <w:rPr>
          <w:rFonts w:hint="eastAsia" w:ascii="宋体" w:hAnsi="宋体" w:eastAsia="宋体" w:cs="宋体"/>
          <w:spacing w:val="-72"/>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434FBBDF">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5)重大缺陷处理记录和有关资料</w:t>
      </w:r>
      <w:r>
        <w:rPr>
          <w:rFonts w:hint="eastAsia" w:ascii="宋体" w:hAnsi="宋体" w:eastAsia="宋体" w:cs="宋体"/>
          <w:spacing w:val="-75"/>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6"/>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52BF768F">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6)设计修改通知单</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3DDD125A">
      <w:pPr>
        <w:widowControl w:val="0"/>
        <w:kinsoku w:val="0"/>
        <w:overflowPunct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7)外购件有关出厂资料、合格证等资料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80"/>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08A6347D">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8)卖方向买方提供 10 套图纸及技术文件。</w:t>
      </w:r>
    </w:p>
    <w:p w14:paraId="3CD87B4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7.6买方应向卖方提供产品设计图样及资料如下：</w:t>
      </w:r>
    </w:p>
    <w:p w14:paraId="55B676C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（1）本招标文件中的招标图样，供卖方投标时使用；是产品设计的依据，不得做为备料、加工及制作的依据。</w:t>
      </w:r>
    </w:p>
    <w:p w14:paraId="5A8A8ADA">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（2）买方向卖方免费提供系统图样一式8份。卖方收到买方图样后，应仔细清点，认真审阅，如发现遗漏、差错和模糊之处，应在收到之日起21天内通知工程设计单位复校，工程设计单位将在14天内作出书面答复。</w:t>
      </w:r>
    </w:p>
    <w:p w14:paraId="4B1E30B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7.7 卖方应向买方提供产品设计图纸及资料如下：</w:t>
      </w:r>
    </w:p>
    <w:p w14:paraId="6570146D">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（1）卖方应根据买方提供的技术资料进行产品设计。</w:t>
      </w:r>
    </w:p>
    <w:p w14:paraId="5908BB8A">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（2）合同标的的产品设计（包括：主要计算、图纸和外购件清单）应得到买方组织的工程设计、监理单位参加的审查批准后方有效。</w:t>
      </w:r>
    </w:p>
    <w:p w14:paraId="452337FC">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（3）卖方如未能按规定时间递交应报审的图纸和文件，由此而造成卖方自身损失，由卖方自己负责。</w:t>
      </w:r>
    </w:p>
    <w:p w14:paraId="1F51CC6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（4）卖方应对制造的产品质量负责，不得以图纸或文件已经审核为由而推卸应承担的责任或提出其他要求。</w:t>
      </w:r>
    </w:p>
    <w:p w14:paraId="2A7EC67A">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bookmarkStart w:id="882" w:name="_Toc22937"/>
      <w:bookmarkStart w:id="883" w:name="_Toc62034499"/>
      <w:bookmarkStart w:id="884" w:name="_Toc54550781"/>
      <w:r>
        <w:rPr>
          <w:rFonts w:hint="eastAsia" w:ascii="宋体" w:hAnsi="宋体" w:eastAsia="宋体" w:cs="宋体"/>
          <w:kern w:val="2"/>
          <w:sz w:val="21"/>
          <w:szCs w:val="21"/>
          <w:highlight w:val="none"/>
          <w:lang w:val="en-US" w:eastAsia="zh-CN" w:bidi="ar-SA"/>
        </w:rPr>
        <w:t>7.8出厂竣工资料</w:t>
      </w:r>
      <w:bookmarkEnd w:id="882"/>
      <w:bookmarkEnd w:id="883"/>
      <w:bookmarkEnd w:id="884"/>
    </w:p>
    <w:p w14:paraId="67FD3C1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（1）出厂竣工资料必须完整、准确、清晰。出厂竣工图采用标准的图幅，并按分册装订。</w:t>
      </w:r>
    </w:p>
    <w:p w14:paraId="7B7BECA1">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出厂竣工资料应包括设备系统图样所对应的全套图纸和目录、设备制造过程中图片、声像资料、试验检测资料及相关设备安装、使用维护指导要求的文件和竣工图纸。出厂竣工资料还应随附必要的说明文件及电子文档。(图纸格式为不低于AUTO-CAD2004版dwg格式)。</w:t>
      </w:r>
    </w:p>
    <w:p w14:paraId="7D39C1C4">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（3）在设备出厂时，卖方应向买方、工程设计单位、监理人各提供 8 套、2 套、2套。</w:t>
      </w:r>
    </w:p>
    <w:p w14:paraId="05AC7631">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bookmarkStart w:id="885" w:name="_Toc19002"/>
      <w:bookmarkStart w:id="886" w:name="_Toc62034500"/>
      <w:bookmarkStart w:id="887" w:name="_Toc54550782"/>
      <w:r>
        <w:rPr>
          <w:rFonts w:hint="eastAsia" w:ascii="宋体" w:hAnsi="宋体" w:eastAsia="宋体" w:cs="宋体"/>
          <w:kern w:val="2"/>
          <w:sz w:val="21"/>
          <w:szCs w:val="21"/>
          <w:highlight w:val="none"/>
          <w:lang w:val="en-US" w:eastAsia="zh-CN" w:bidi="ar-SA"/>
        </w:rPr>
        <w:t>7.9技术服务培训</w:t>
      </w:r>
      <w:bookmarkEnd w:id="885"/>
      <w:bookmarkEnd w:id="886"/>
      <w:bookmarkEnd w:id="887"/>
    </w:p>
    <w:p w14:paraId="40261E93">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由于本工程运行管理及维护人员暂不能确定，培训分二步进行。首批对买方现有有关技术人员进行培训，使其达到正确使用及维护的目标，待运行管理及维护人员正式确定后，再进行第二次培训。</w:t>
      </w:r>
    </w:p>
    <w:p w14:paraId="156AACC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888" w:name="_Toc9790"/>
      <w:bookmarkStart w:id="889" w:name="_Toc534572307"/>
      <w:bookmarkStart w:id="890" w:name="_Toc25503"/>
      <w:bookmarkStart w:id="891" w:name="_Toc7162"/>
      <w:bookmarkStart w:id="892" w:name="_Toc6689"/>
      <w:bookmarkStart w:id="893" w:name="_Toc62034501"/>
      <w:bookmarkStart w:id="894" w:name="_Toc16690"/>
      <w:bookmarkStart w:id="895" w:name="_Toc91344962"/>
      <w:bookmarkStart w:id="896" w:name="_Toc15473"/>
      <w:bookmarkStart w:id="897" w:name="_Toc30900"/>
      <w:bookmarkStart w:id="898" w:name="_Toc54550783"/>
      <w:r>
        <w:rPr>
          <w:rFonts w:hint="eastAsia" w:ascii="宋体" w:hAnsi="宋体" w:eastAsia="宋体" w:cs="宋体"/>
          <w:b/>
          <w:bCs/>
          <w:kern w:val="0"/>
          <w:sz w:val="21"/>
          <w:szCs w:val="21"/>
          <w:highlight w:val="none"/>
          <w:lang w:val="en-US" w:eastAsia="zh-CN" w:bidi="ar-SA"/>
        </w:rPr>
        <w:t>8.质量保证期</w:t>
      </w:r>
      <w:bookmarkEnd w:id="888"/>
      <w:bookmarkEnd w:id="889"/>
      <w:bookmarkEnd w:id="890"/>
      <w:bookmarkEnd w:id="891"/>
      <w:bookmarkEnd w:id="892"/>
      <w:bookmarkEnd w:id="893"/>
      <w:bookmarkEnd w:id="894"/>
      <w:bookmarkEnd w:id="895"/>
      <w:bookmarkEnd w:id="896"/>
      <w:bookmarkEnd w:id="897"/>
      <w:bookmarkEnd w:id="898"/>
    </w:p>
    <w:p w14:paraId="5D999153">
      <w:pPr>
        <w:widowControl w:val="0"/>
        <w:overflowPunct w:val="0"/>
        <w:spacing w:beforeLines="0" w:afterLines="0" w:line="360" w:lineRule="auto"/>
        <w:ind w:firstLine="420" w:firstLineChars="200"/>
        <w:jc w:val="left"/>
        <w:outlineLvl w:val="9"/>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8.1</w:t>
      </w:r>
      <w:r>
        <w:rPr>
          <w:rFonts w:hint="eastAsia" w:ascii="宋体" w:hAnsi="宋体" w:eastAsia="宋体" w:cs="宋体"/>
          <w:bCs/>
          <w:sz w:val="21"/>
          <w:szCs w:val="21"/>
          <w:highlight w:val="none"/>
        </w:rPr>
        <w:t>质量保证期：</w:t>
      </w:r>
      <w:r>
        <w:rPr>
          <w:rFonts w:hint="eastAsia" w:ascii="宋体" w:hAnsi="宋体" w:eastAsia="宋体" w:cs="宋体"/>
          <w:sz w:val="21"/>
          <w:szCs w:val="21"/>
          <w:highlight w:val="none"/>
          <w:lang w:val="en-US" w:eastAsia="zh-CN"/>
        </w:rPr>
        <w:t>合同工程验收证书签发之日</w:t>
      </w:r>
      <w:r>
        <w:rPr>
          <w:rFonts w:hint="eastAsia" w:ascii="宋体" w:hAnsi="宋体" w:eastAsia="宋体" w:cs="宋体"/>
          <w:bCs/>
          <w:color w:val="000000"/>
          <w:sz w:val="21"/>
          <w:szCs w:val="21"/>
          <w:highlight w:val="none"/>
        </w:rPr>
        <w:t>起的</w:t>
      </w:r>
      <w:r>
        <w:rPr>
          <w:rFonts w:hint="eastAsia" w:ascii="宋体" w:hAnsi="宋体" w:eastAsia="宋体" w:cs="宋体"/>
          <w:bCs/>
          <w:color w:val="000000"/>
          <w:sz w:val="21"/>
          <w:szCs w:val="21"/>
          <w:highlight w:val="none"/>
          <w:lang w:val="en-US" w:eastAsia="zh-CN"/>
        </w:rPr>
        <w:t>2年</w:t>
      </w:r>
      <w:r>
        <w:rPr>
          <w:rFonts w:hint="eastAsia" w:ascii="宋体" w:hAnsi="宋体" w:eastAsia="宋体" w:cs="宋体"/>
          <w:bCs/>
          <w:color w:val="000000"/>
          <w:sz w:val="21"/>
          <w:szCs w:val="21"/>
          <w:highlight w:val="none"/>
        </w:rPr>
        <w:t>为设备质量保证期（设备中有明确要求的除外</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但不得低于上述期限</w:t>
      </w:r>
      <w:r>
        <w:rPr>
          <w:rFonts w:hint="eastAsia" w:ascii="宋体" w:hAnsi="宋体" w:eastAsia="宋体" w:cs="宋体"/>
          <w:bCs/>
          <w:color w:val="000000"/>
          <w:sz w:val="21"/>
          <w:szCs w:val="21"/>
          <w:highlight w:val="none"/>
        </w:rPr>
        <w:t>）。</w:t>
      </w:r>
    </w:p>
    <w:p w14:paraId="6EEB74F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899" w:name="_Toc23574"/>
      <w:bookmarkStart w:id="900" w:name="_Toc20089"/>
      <w:bookmarkStart w:id="901" w:name="_Toc31987"/>
      <w:bookmarkStart w:id="902" w:name="_Toc6538"/>
      <w:bookmarkStart w:id="903" w:name="_Toc91344963"/>
      <w:bookmarkStart w:id="904" w:name="_Toc534572308"/>
      <w:bookmarkStart w:id="905" w:name="_Toc54550784"/>
      <w:bookmarkStart w:id="906" w:name="_Toc25408"/>
      <w:bookmarkStart w:id="907" w:name="_Toc62034502"/>
      <w:bookmarkStart w:id="908" w:name="_Toc24576"/>
      <w:r>
        <w:rPr>
          <w:rFonts w:hint="eastAsia" w:ascii="宋体" w:hAnsi="宋体" w:eastAsia="宋体" w:cs="宋体"/>
          <w:b/>
          <w:bCs/>
          <w:kern w:val="0"/>
          <w:sz w:val="21"/>
          <w:szCs w:val="21"/>
          <w:highlight w:val="none"/>
          <w:lang w:val="en-US" w:eastAsia="zh-CN" w:bidi="ar-SA"/>
        </w:rPr>
        <w:t>9.质保期服务</w:t>
      </w:r>
      <w:bookmarkEnd w:id="899"/>
      <w:bookmarkEnd w:id="900"/>
      <w:bookmarkEnd w:id="901"/>
      <w:bookmarkEnd w:id="902"/>
      <w:bookmarkEnd w:id="903"/>
      <w:bookmarkEnd w:id="904"/>
      <w:bookmarkEnd w:id="905"/>
      <w:bookmarkEnd w:id="906"/>
      <w:bookmarkEnd w:id="907"/>
      <w:bookmarkEnd w:id="908"/>
    </w:p>
    <w:p w14:paraId="538CB40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9.1卖方应为质量保证期服务配备充足的技术人员、工具和备件并保证提供的联系方式畅通。卖方应在收到买方通知后24小时内做出响应，如需卖方到合同设备现场，卖方应在收到买方通知后48小时内到达，并在到达后3日内解决合同设备的故障（重大故障除外）。如果卖方未在上述时间内作出响应，则买方有权自行或委托他人解决相关问题或查找和解决合同设备的故障，卖方应承担由此发生的全部费用。</w:t>
      </w:r>
    </w:p>
    <w:p w14:paraId="0BB413A3">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09" w:name="_Toc27647"/>
      <w:bookmarkStart w:id="910" w:name="_Toc62034503"/>
      <w:bookmarkStart w:id="911" w:name="_Toc534572309"/>
      <w:bookmarkStart w:id="912" w:name="_Toc14328"/>
      <w:bookmarkStart w:id="913" w:name="_Toc29462"/>
      <w:bookmarkStart w:id="914" w:name="_Toc91344964"/>
      <w:bookmarkStart w:id="915" w:name="_Toc1740"/>
      <w:bookmarkStart w:id="916" w:name="_Toc2660"/>
      <w:bookmarkStart w:id="917" w:name="_Toc8586"/>
      <w:bookmarkStart w:id="918" w:name="_Toc54550785"/>
      <w:r>
        <w:rPr>
          <w:rFonts w:hint="eastAsia" w:ascii="宋体" w:hAnsi="宋体" w:eastAsia="宋体" w:cs="宋体"/>
          <w:b/>
          <w:bCs/>
          <w:kern w:val="0"/>
          <w:sz w:val="21"/>
          <w:szCs w:val="21"/>
          <w:highlight w:val="none"/>
          <w:lang w:val="en-US" w:eastAsia="zh-CN" w:bidi="ar-SA"/>
        </w:rPr>
        <w:t>10.履约保证金</w:t>
      </w:r>
      <w:bookmarkEnd w:id="909"/>
      <w:bookmarkEnd w:id="910"/>
      <w:bookmarkEnd w:id="911"/>
      <w:bookmarkEnd w:id="912"/>
      <w:bookmarkEnd w:id="913"/>
      <w:bookmarkEnd w:id="914"/>
      <w:bookmarkEnd w:id="915"/>
      <w:bookmarkEnd w:id="916"/>
      <w:bookmarkEnd w:id="917"/>
      <w:bookmarkEnd w:id="918"/>
    </w:p>
    <w:p w14:paraId="6458D278">
      <w:pPr>
        <w:widowControl w:val="0"/>
        <w:overflowPunct w:val="0"/>
        <w:spacing w:beforeLines="0" w:afterLines="0" w:line="360" w:lineRule="auto"/>
        <w:ind w:firstLine="420" w:firstLineChars="200"/>
        <w:jc w:val="left"/>
        <w:outlineLvl w:val="9"/>
        <w:rPr>
          <w:rFonts w:hint="eastAsia" w:ascii="宋体" w:hAnsi="宋体" w:eastAsia="宋体" w:cs="宋体"/>
          <w:bCs/>
          <w:sz w:val="21"/>
          <w:szCs w:val="21"/>
          <w:highlight w:val="none"/>
        </w:rPr>
      </w:pPr>
      <w:r>
        <w:rPr>
          <w:rFonts w:hint="eastAsia" w:ascii="宋体" w:hAnsi="宋体" w:eastAsia="宋体" w:cs="宋体"/>
          <w:bCs/>
          <w:sz w:val="21"/>
          <w:szCs w:val="21"/>
          <w:highlight w:val="none"/>
        </w:rPr>
        <w:t>卖方交纳合同总额</w:t>
      </w:r>
      <w:r>
        <w:rPr>
          <w:rFonts w:hint="eastAsia" w:ascii="宋体" w:hAnsi="宋体" w:eastAsia="宋体" w:cs="宋体"/>
          <w:bCs/>
          <w:sz w:val="21"/>
          <w:szCs w:val="21"/>
          <w:highlight w:val="none"/>
          <w:lang w:val="en-US" w:eastAsia="zh-CN"/>
        </w:rPr>
        <w:t>8</w:t>
      </w:r>
      <w:r>
        <w:rPr>
          <w:rFonts w:hint="eastAsia" w:ascii="宋体" w:hAnsi="宋体" w:eastAsia="宋体" w:cs="宋体"/>
          <w:bCs/>
          <w:sz w:val="21"/>
          <w:szCs w:val="21"/>
          <w:highlight w:val="none"/>
        </w:rPr>
        <w:t>%的履约保证金。</w:t>
      </w:r>
    </w:p>
    <w:p w14:paraId="481C7432">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履约保证金的形式：银行出具的见索即付履约保函，卖方应在签订合同前向买方提交。</w:t>
      </w:r>
    </w:p>
    <w:p w14:paraId="176D26EC">
      <w:pPr>
        <w:widowControl w:val="0"/>
        <w:adjustRightInd w:val="0"/>
        <w:snapToGrid w:val="0"/>
        <w:spacing w:after="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履约保函自合同生效之日起生效，在</w:t>
      </w:r>
      <w:r>
        <w:rPr>
          <w:rFonts w:hint="eastAsia" w:ascii="宋体" w:hAnsi="宋体" w:eastAsia="宋体" w:cs="宋体"/>
          <w:color w:val="000000"/>
          <w:kern w:val="2"/>
          <w:sz w:val="21"/>
          <w:szCs w:val="21"/>
          <w:highlight w:val="none"/>
          <w:lang w:val="en-US" w:eastAsia="zh-CN" w:bidi="ar-SA"/>
        </w:rPr>
        <w:t>设备安装验收合格并经联合调试验收合格</w:t>
      </w:r>
      <w:r>
        <w:rPr>
          <w:rFonts w:hint="eastAsia" w:ascii="宋体" w:hAnsi="宋体" w:eastAsia="宋体" w:cs="宋体"/>
          <w:kern w:val="2"/>
          <w:sz w:val="21"/>
          <w:szCs w:val="21"/>
          <w:highlight w:val="none"/>
          <w:lang w:val="en-US" w:eastAsia="zh-CN" w:bidi="ar-SA"/>
        </w:rPr>
        <w:t>之日起28日后失效。</w:t>
      </w:r>
    </w:p>
    <w:p w14:paraId="7F098A5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19" w:name="_Toc3400"/>
      <w:bookmarkStart w:id="920" w:name="_Toc16230"/>
      <w:bookmarkStart w:id="921" w:name="_Toc6648"/>
      <w:bookmarkStart w:id="922" w:name="_Toc2538"/>
      <w:bookmarkStart w:id="923" w:name="_Toc17023"/>
      <w:bookmarkStart w:id="924" w:name="_Toc10041"/>
      <w:bookmarkStart w:id="925" w:name="_Toc534572310"/>
      <w:bookmarkStart w:id="926" w:name="_Toc91344965"/>
      <w:bookmarkStart w:id="927" w:name="_Toc54550786"/>
      <w:bookmarkStart w:id="928" w:name="_Toc62034504"/>
      <w:r>
        <w:rPr>
          <w:rFonts w:hint="eastAsia" w:ascii="宋体" w:hAnsi="宋体" w:eastAsia="宋体" w:cs="宋体"/>
          <w:b/>
          <w:bCs/>
          <w:kern w:val="0"/>
          <w:sz w:val="21"/>
          <w:szCs w:val="21"/>
          <w:highlight w:val="none"/>
          <w:lang w:val="en-US" w:eastAsia="zh-CN" w:bidi="ar-SA"/>
        </w:rPr>
        <w:t>12.知识产权</w:t>
      </w:r>
      <w:bookmarkEnd w:id="919"/>
      <w:bookmarkEnd w:id="920"/>
      <w:bookmarkEnd w:id="921"/>
      <w:bookmarkEnd w:id="922"/>
      <w:bookmarkEnd w:id="923"/>
      <w:bookmarkEnd w:id="924"/>
      <w:bookmarkEnd w:id="925"/>
      <w:bookmarkEnd w:id="926"/>
      <w:bookmarkEnd w:id="927"/>
      <w:bookmarkEnd w:id="928"/>
    </w:p>
    <w:p w14:paraId="07AEF858">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卖方保证所交付的货物的所有权完全属于卖方且无任何抵押、查封等产权瑕疵。</w:t>
      </w:r>
    </w:p>
    <w:p w14:paraId="6CC5232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29" w:name="_Toc14496"/>
      <w:bookmarkStart w:id="930" w:name="_Toc5850"/>
      <w:bookmarkStart w:id="931" w:name="_Toc15930"/>
      <w:bookmarkStart w:id="932" w:name="_Toc91344966"/>
      <w:r>
        <w:rPr>
          <w:rFonts w:hint="eastAsia" w:ascii="宋体" w:hAnsi="宋体" w:eastAsia="宋体" w:cs="宋体"/>
          <w:b/>
          <w:bCs/>
          <w:kern w:val="0"/>
          <w:sz w:val="21"/>
          <w:szCs w:val="21"/>
          <w:highlight w:val="none"/>
          <w:lang w:val="en-US" w:eastAsia="zh-CN" w:bidi="ar-SA"/>
        </w:rPr>
        <w:t>14.违约责任</w:t>
      </w:r>
      <w:bookmarkEnd w:id="929"/>
      <w:bookmarkEnd w:id="930"/>
      <w:bookmarkEnd w:id="931"/>
      <w:bookmarkEnd w:id="932"/>
    </w:p>
    <w:p w14:paraId="1FBEF708">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14.2迟延交付违约金的计算方法调整为：</w:t>
      </w:r>
    </w:p>
    <w:p w14:paraId="49340B17">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（1）从迟交的第一周到第四周，每周迟延交付违约金为迟交设备价款的5%；</w:t>
      </w:r>
    </w:p>
    <w:p w14:paraId="3B99C5FA">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（2）从迟交的第五周起，每周迟延交付违约金为迟交设备价款的10%；</w:t>
      </w:r>
    </w:p>
    <w:p w14:paraId="24B4AA83">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19A71AE3">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（4）违约金将在支付交货款时一次性扣除。</w:t>
      </w:r>
    </w:p>
    <w:p w14:paraId="26A8C55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933" w:name="_Toc54550787"/>
      <w:bookmarkStart w:id="934" w:name="_Toc4492"/>
      <w:bookmarkStart w:id="935" w:name="_Toc534572311"/>
      <w:bookmarkStart w:id="936" w:name="_Toc10027"/>
      <w:bookmarkStart w:id="937" w:name="_Toc28773"/>
      <w:bookmarkStart w:id="938" w:name="_Toc28010"/>
      <w:bookmarkStart w:id="939" w:name="_Toc91344967"/>
      <w:bookmarkStart w:id="940" w:name="_Toc18338"/>
      <w:bookmarkStart w:id="941" w:name="_Toc16825"/>
      <w:bookmarkStart w:id="942" w:name="_Toc21009"/>
      <w:bookmarkStart w:id="943" w:name="_Toc62034505"/>
      <w:r>
        <w:rPr>
          <w:rFonts w:hint="eastAsia" w:ascii="宋体" w:hAnsi="宋体" w:eastAsia="宋体" w:cs="宋体"/>
          <w:b/>
          <w:bCs/>
          <w:kern w:val="0"/>
          <w:sz w:val="21"/>
          <w:szCs w:val="21"/>
          <w:highlight w:val="none"/>
          <w:lang w:val="en-US" w:eastAsia="zh-CN" w:bidi="ar-SA"/>
        </w:rPr>
        <w:t>17.争议的解决</w:t>
      </w:r>
      <w:bookmarkEnd w:id="933"/>
      <w:bookmarkEnd w:id="934"/>
      <w:bookmarkEnd w:id="935"/>
      <w:bookmarkEnd w:id="936"/>
      <w:bookmarkEnd w:id="937"/>
      <w:bookmarkEnd w:id="938"/>
      <w:bookmarkEnd w:id="939"/>
      <w:bookmarkEnd w:id="940"/>
      <w:bookmarkEnd w:id="941"/>
      <w:bookmarkEnd w:id="942"/>
      <w:bookmarkEnd w:id="943"/>
    </w:p>
    <w:p w14:paraId="254B853A">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bookmarkStart w:id="944" w:name="_Toc229305402"/>
      <w:bookmarkStart w:id="945" w:name="_Toc168475883"/>
      <w:bookmarkStart w:id="946" w:name="_Toc144974826"/>
      <w:bookmarkStart w:id="947" w:name="_Toc168476286"/>
      <w:r>
        <w:rPr>
          <w:rFonts w:hint="eastAsia" w:ascii="宋体" w:hAnsi="宋体" w:eastAsia="宋体" w:cs="宋体"/>
          <w:kern w:val="2"/>
          <w:sz w:val="21"/>
          <w:szCs w:val="21"/>
          <w:highlight w:val="none"/>
          <w:lang w:val="en-US" w:eastAsia="zh-CN" w:bidi="ar-SA"/>
        </w:rPr>
        <w:t>一、争议调解机构为：无。</w:t>
      </w:r>
    </w:p>
    <w:p w14:paraId="5299AF6D">
      <w:pPr>
        <w:widowControl w:val="0"/>
        <w:spacing w:beforeLines="0" w:after="0" w:afterLines="0" w:line="360" w:lineRule="auto"/>
        <w:ind w:right="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二、仲裁机构为：无。</w:t>
      </w:r>
    </w:p>
    <w:p w14:paraId="42E85DB5">
      <w:pPr>
        <w:widowControl w:val="0"/>
        <w:spacing w:beforeLines="0" w:after="0" w:afterLines="0" w:line="360" w:lineRule="auto"/>
        <w:ind w:right="0" w:firstLine="420" w:firstLineChars="200"/>
        <w:jc w:val="center"/>
        <w:outlineLvl w:val="9"/>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存在争议时，买卖双方友好协商，协商不成时，可向</w:t>
      </w:r>
      <w:r>
        <w:rPr>
          <w:rFonts w:hint="eastAsia" w:ascii="宋体" w:hAnsi="宋体" w:eastAsia="宋体" w:cs="宋体"/>
          <w:color w:val="auto"/>
          <w:kern w:val="2"/>
          <w:sz w:val="21"/>
          <w:szCs w:val="21"/>
          <w:highlight w:val="none"/>
          <w:lang w:val="en-US" w:eastAsia="zh-CN" w:bidi="ar-SA"/>
        </w:rPr>
        <w:t>项目法人所在地</w:t>
      </w:r>
      <w:r>
        <w:rPr>
          <w:rFonts w:hint="eastAsia" w:ascii="宋体" w:hAnsi="宋体" w:eastAsia="宋体" w:cs="宋体"/>
          <w:kern w:val="2"/>
          <w:sz w:val="21"/>
          <w:szCs w:val="21"/>
          <w:highlight w:val="none"/>
          <w:lang w:val="en-US" w:eastAsia="zh-CN" w:bidi="ar-SA"/>
        </w:rPr>
        <w:t>人民法院起诉。</w:t>
      </w:r>
      <w:r>
        <w:rPr>
          <w:rFonts w:hint="eastAsia" w:ascii="宋体" w:hAnsi="宋体" w:eastAsia="宋体" w:cs="宋体"/>
          <w:kern w:val="2"/>
          <w:sz w:val="21"/>
          <w:szCs w:val="21"/>
          <w:highlight w:val="none"/>
          <w:lang w:val="en-US" w:eastAsia="zh-CN" w:bidi="ar-SA"/>
        </w:rPr>
        <w:br w:type="page"/>
      </w:r>
      <w:bookmarkStart w:id="948" w:name="_Toc62034506"/>
      <w:bookmarkStart w:id="949" w:name="_Toc91344968"/>
      <w:r>
        <w:rPr>
          <w:rFonts w:hint="eastAsia" w:ascii="宋体" w:hAnsi="宋体" w:eastAsia="宋体" w:cs="宋体"/>
          <w:b/>
          <w:kern w:val="2"/>
          <w:sz w:val="24"/>
          <w:szCs w:val="24"/>
          <w:highlight w:val="none"/>
          <w:lang w:val="en-US" w:eastAsia="zh-CN" w:bidi="ar-SA"/>
        </w:rPr>
        <w:t>第三节  合同附件格式</w:t>
      </w:r>
      <w:bookmarkEnd w:id="944"/>
      <w:bookmarkEnd w:id="948"/>
      <w:bookmarkEnd w:id="949"/>
    </w:p>
    <w:bookmarkEnd w:id="945"/>
    <w:bookmarkEnd w:id="946"/>
    <w:bookmarkEnd w:id="947"/>
    <w:p w14:paraId="40807C42">
      <w:pPr>
        <w:widowControl/>
        <w:spacing w:before="0" w:after="0" w:line="360" w:lineRule="auto"/>
        <w:ind w:firstLine="420" w:firstLineChars="200"/>
        <w:jc w:val="left"/>
        <w:outlineLvl w:val="9"/>
        <w:rPr>
          <w:rFonts w:hint="eastAsia" w:ascii="宋体" w:hAnsi="宋体" w:eastAsia="宋体" w:cs="宋体"/>
          <w:sz w:val="21"/>
          <w:szCs w:val="21"/>
          <w:highlight w:val="none"/>
        </w:rPr>
      </w:pPr>
      <w:bookmarkStart w:id="950" w:name="_Toc144974827"/>
      <w:bookmarkStart w:id="951" w:name="_Toc168476287"/>
      <w:bookmarkStart w:id="952" w:name="_Toc168475884"/>
      <w:bookmarkStart w:id="953" w:name="_Toc516255586"/>
      <w:bookmarkStart w:id="954" w:name="_Toc266885982"/>
      <w:bookmarkStart w:id="955" w:name="_Toc516759505"/>
      <w:bookmarkStart w:id="956" w:name="_Toc32278"/>
      <w:bookmarkStart w:id="957" w:name="_Toc91344969"/>
      <w:bookmarkStart w:id="958" w:name="_Toc266859678"/>
      <w:bookmarkStart w:id="959" w:name="_Toc54550789"/>
      <w:bookmarkStart w:id="960" w:name="_Toc534572313"/>
      <w:bookmarkStart w:id="961" w:name="_Toc516255327"/>
      <w:bookmarkStart w:id="962" w:name="_Toc27546"/>
      <w:bookmarkStart w:id="963" w:name="_Toc271870495"/>
      <w:bookmarkStart w:id="964" w:name="_Toc332378920"/>
      <w:bookmarkStart w:id="965" w:name="_Toc62034507"/>
      <w:r>
        <w:rPr>
          <w:rFonts w:hint="eastAsia" w:ascii="宋体" w:hAnsi="宋体" w:eastAsia="宋体" w:cs="宋体"/>
          <w:sz w:val="21"/>
          <w:szCs w:val="21"/>
          <w:highlight w:val="none"/>
        </w:rPr>
        <w:t>附件一：合同协议书</w:t>
      </w:r>
      <w:bookmarkEnd w:id="950"/>
      <w:bookmarkEnd w:id="951"/>
      <w:bookmarkEnd w:id="952"/>
      <w:r>
        <w:rPr>
          <w:rFonts w:hint="eastAsia" w:ascii="宋体" w:hAnsi="宋体" w:eastAsia="宋体" w:cs="宋体"/>
          <w:sz w:val="21"/>
          <w:szCs w:val="21"/>
          <w:highlight w:val="none"/>
        </w:rPr>
        <w:t>（格式）</w:t>
      </w:r>
      <w:bookmarkEnd w:id="953"/>
      <w:bookmarkEnd w:id="954"/>
      <w:bookmarkEnd w:id="955"/>
      <w:bookmarkEnd w:id="956"/>
      <w:bookmarkEnd w:id="957"/>
      <w:bookmarkEnd w:id="958"/>
      <w:bookmarkEnd w:id="959"/>
      <w:bookmarkEnd w:id="960"/>
      <w:bookmarkEnd w:id="961"/>
      <w:bookmarkEnd w:id="962"/>
      <w:bookmarkEnd w:id="963"/>
      <w:bookmarkEnd w:id="964"/>
      <w:bookmarkEnd w:id="965"/>
    </w:p>
    <w:p w14:paraId="383E571B">
      <w:pPr>
        <w:tabs>
          <w:tab w:val="left" w:pos="2457"/>
          <w:tab w:val="left" w:pos="6019"/>
          <w:tab w:val="left" w:pos="7483"/>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9"/>
          <w:kern w:val="2"/>
          <w:sz w:val="21"/>
          <w:szCs w:val="21"/>
          <w:highlight w:val="none"/>
          <w:lang w:val="en-US" w:eastAsia="zh-CN" w:bidi="ar-SA"/>
        </w:rPr>
        <w:t>（买方名称，以下简称</w:t>
      </w:r>
      <w:r>
        <w:rPr>
          <w:rFonts w:hint="eastAsia" w:ascii="宋体" w:hAnsi="宋体" w:eastAsia="宋体" w:cs="宋体"/>
          <w:i/>
          <w:spacing w:val="-9"/>
          <w:kern w:val="2"/>
          <w:sz w:val="21"/>
          <w:szCs w:val="21"/>
          <w:highlight w:val="none"/>
          <w:lang w:val="en-US" w:eastAsia="zh-CN" w:bidi="ar-SA"/>
        </w:rPr>
        <w:t>“</w:t>
      </w:r>
      <w:r>
        <w:rPr>
          <w:rFonts w:hint="eastAsia" w:ascii="宋体" w:hAnsi="宋体" w:eastAsia="宋体" w:cs="宋体"/>
          <w:spacing w:val="-9"/>
          <w:kern w:val="2"/>
          <w:sz w:val="21"/>
          <w:szCs w:val="21"/>
          <w:highlight w:val="none"/>
          <w:lang w:val="en-US" w:eastAsia="zh-CN" w:bidi="ar-SA"/>
        </w:rPr>
        <w:t>买方</w:t>
      </w:r>
      <w:r>
        <w:rPr>
          <w:rFonts w:hint="eastAsia" w:ascii="宋体" w:hAnsi="宋体" w:eastAsia="宋体" w:cs="宋体"/>
          <w:i/>
          <w:spacing w:val="-9"/>
          <w:kern w:val="2"/>
          <w:sz w:val="21"/>
          <w:szCs w:val="21"/>
          <w:highlight w:val="none"/>
          <w:lang w:val="en-US" w:eastAsia="zh-CN" w:bidi="ar-SA"/>
        </w:rPr>
        <w:t>”</w:t>
      </w:r>
      <w:r>
        <w:rPr>
          <w:rFonts w:hint="eastAsia" w:ascii="宋体" w:hAnsi="宋体" w:eastAsia="宋体" w:cs="宋体"/>
          <w:spacing w:val="-9"/>
          <w:kern w:val="2"/>
          <w:sz w:val="21"/>
          <w:szCs w:val="21"/>
          <w:highlight w:val="none"/>
          <w:lang w:val="en-US" w:eastAsia="zh-CN" w:bidi="ar-SA"/>
        </w:rPr>
        <w:t>）为获得</w:t>
      </w:r>
      <w:r>
        <w:rPr>
          <w:rFonts w:hint="eastAsia" w:ascii="宋体" w:hAnsi="宋体" w:eastAsia="宋体" w:cs="宋体"/>
          <w:spacing w:val="-9"/>
          <w:kern w:val="2"/>
          <w:sz w:val="21"/>
          <w:szCs w:val="21"/>
          <w:highlight w:val="none"/>
          <w:u w:val="single"/>
          <w:lang w:val="en-US" w:eastAsia="zh-CN" w:bidi="ar-SA"/>
        </w:rPr>
        <w:t xml:space="preserve"> </w:t>
      </w:r>
      <w:r>
        <w:rPr>
          <w:rFonts w:hint="eastAsia" w:ascii="宋体" w:hAnsi="宋体" w:eastAsia="宋体" w:cs="宋体"/>
          <w:spacing w:val="-9"/>
          <w:kern w:val="2"/>
          <w:sz w:val="21"/>
          <w:szCs w:val="21"/>
          <w:highlight w:val="none"/>
          <w:u w:val="single"/>
          <w:lang w:val="en-US" w:eastAsia="zh-CN" w:bidi="ar-SA"/>
        </w:rPr>
        <w:tab/>
      </w:r>
      <w:r>
        <w:rPr>
          <w:rFonts w:hint="eastAsia" w:ascii="宋体" w:hAnsi="宋体" w:eastAsia="宋体" w:cs="宋体"/>
          <w:spacing w:val="-9"/>
          <w:kern w:val="2"/>
          <w:sz w:val="21"/>
          <w:szCs w:val="21"/>
          <w:highlight w:val="none"/>
          <w:u w:val="single"/>
          <w:lang w:val="en-US" w:eastAsia="zh-CN" w:bidi="ar-SA"/>
        </w:rPr>
        <w:tab/>
      </w:r>
      <w:r>
        <w:rPr>
          <w:rFonts w:hint="eastAsia" w:ascii="宋体" w:hAnsi="宋体" w:eastAsia="宋体" w:cs="宋体"/>
          <w:kern w:val="2"/>
          <w:sz w:val="21"/>
          <w:szCs w:val="21"/>
          <w:highlight w:val="none"/>
          <w:u w:val="single"/>
          <w:lang w:val="en-US" w:eastAsia="zh-CN" w:bidi="ar-SA"/>
        </w:rPr>
        <w:t>（</w:t>
      </w:r>
      <w:r>
        <w:rPr>
          <w:rFonts w:hint="eastAsia" w:ascii="宋体" w:hAnsi="宋体" w:eastAsia="宋体" w:cs="宋体"/>
          <w:kern w:val="2"/>
          <w:sz w:val="21"/>
          <w:szCs w:val="21"/>
          <w:highlight w:val="none"/>
          <w:lang w:val="en-US" w:eastAsia="zh-CN" w:bidi="ar-SA"/>
        </w:rPr>
        <w:t>项目名称）合</w:t>
      </w:r>
      <w:r>
        <w:rPr>
          <w:rFonts w:hint="eastAsia" w:ascii="宋体" w:hAnsi="宋体" w:eastAsia="宋体" w:cs="宋体"/>
          <w:spacing w:val="-1"/>
          <w:kern w:val="2"/>
          <w:sz w:val="21"/>
          <w:szCs w:val="21"/>
          <w:highlight w:val="none"/>
          <w:lang w:val="en-US" w:eastAsia="zh-CN" w:bidi="ar-SA"/>
        </w:rPr>
        <w:t>同</w:t>
      </w:r>
      <w:r>
        <w:rPr>
          <w:rFonts w:hint="eastAsia" w:ascii="宋体" w:hAnsi="宋体" w:eastAsia="宋体" w:cs="宋体"/>
          <w:spacing w:val="-3"/>
          <w:kern w:val="2"/>
          <w:sz w:val="21"/>
          <w:szCs w:val="21"/>
          <w:highlight w:val="none"/>
          <w:lang w:val="en-US" w:eastAsia="zh-CN" w:bidi="ar-SA"/>
        </w:rPr>
        <w:t>设</w:t>
      </w:r>
      <w:r>
        <w:rPr>
          <w:rFonts w:hint="eastAsia" w:ascii="宋体" w:hAnsi="宋体" w:eastAsia="宋体" w:cs="宋体"/>
          <w:kern w:val="2"/>
          <w:sz w:val="21"/>
          <w:szCs w:val="21"/>
          <w:highlight w:val="none"/>
          <w:lang w:val="en-US" w:eastAsia="zh-CN" w:bidi="ar-SA"/>
        </w:rPr>
        <w:t>备</w:t>
      </w:r>
      <w:r>
        <w:rPr>
          <w:rFonts w:hint="eastAsia" w:ascii="宋体" w:hAnsi="宋体" w:eastAsia="宋体" w:cs="宋体"/>
          <w:spacing w:val="-3"/>
          <w:kern w:val="2"/>
          <w:sz w:val="21"/>
          <w:szCs w:val="21"/>
          <w:highlight w:val="none"/>
          <w:lang w:val="en-US" w:eastAsia="zh-CN" w:bidi="ar-SA"/>
        </w:rPr>
        <w:t>和</w:t>
      </w:r>
      <w:r>
        <w:rPr>
          <w:rFonts w:hint="eastAsia" w:ascii="宋体" w:hAnsi="宋体" w:eastAsia="宋体" w:cs="宋体"/>
          <w:kern w:val="2"/>
          <w:sz w:val="21"/>
          <w:szCs w:val="21"/>
          <w:highlight w:val="none"/>
          <w:lang w:val="en-US" w:eastAsia="zh-CN" w:bidi="ar-SA"/>
        </w:rPr>
        <w:t>技</w:t>
      </w:r>
      <w:r>
        <w:rPr>
          <w:rFonts w:hint="eastAsia" w:ascii="宋体" w:hAnsi="宋体" w:eastAsia="宋体" w:cs="宋体"/>
          <w:spacing w:val="-3"/>
          <w:kern w:val="2"/>
          <w:sz w:val="21"/>
          <w:szCs w:val="21"/>
          <w:highlight w:val="none"/>
          <w:lang w:val="en-US" w:eastAsia="zh-CN" w:bidi="ar-SA"/>
        </w:rPr>
        <w:t>术</w:t>
      </w:r>
      <w:r>
        <w:rPr>
          <w:rFonts w:hint="eastAsia" w:ascii="宋体" w:hAnsi="宋体" w:eastAsia="宋体" w:cs="宋体"/>
          <w:kern w:val="2"/>
          <w:sz w:val="21"/>
          <w:szCs w:val="21"/>
          <w:highlight w:val="none"/>
          <w:lang w:val="en-US" w:eastAsia="zh-CN" w:bidi="ar-SA"/>
        </w:rPr>
        <w:t>服</w:t>
      </w:r>
      <w:r>
        <w:rPr>
          <w:rFonts w:hint="eastAsia" w:ascii="宋体" w:hAnsi="宋体" w:eastAsia="宋体" w:cs="宋体"/>
          <w:spacing w:val="-3"/>
          <w:kern w:val="2"/>
          <w:sz w:val="21"/>
          <w:szCs w:val="21"/>
          <w:highlight w:val="none"/>
          <w:lang w:val="en-US" w:eastAsia="zh-CN" w:bidi="ar-SA"/>
        </w:rPr>
        <w:t>务</w:t>
      </w:r>
      <w:r>
        <w:rPr>
          <w:rFonts w:hint="eastAsia" w:ascii="宋体" w:hAnsi="宋体" w:eastAsia="宋体" w:cs="宋体"/>
          <w:kern w:val="2"/>
          <w:sz w:val="21"/>
          <w:szCs w:val="21"/>
          <w:highlight w:val="none"/>
          <w:lang w:val="en-US" w:eastAsia="zh-CN" w:bidi="ar-SA"/>
        </w:rPr>
        <w:t>和</w:t>
      </w:r>
      <w:r>
        <w:rPr>
          <w:rFonts w:hint="eastAsia" w:ascii="宋体" w:hAnsi="宋体" w:eastAsia="宋体" w:cs="宋体"/>
          <w:spacing w:val="-3"/>
          <w:kern w:val="2"/>
          <w:sz w:val="21"/>
          <w:szCs w:val="21"/>
          <w:highlight w:val="none"/>
          <w:lang w:val="en-US" w:eastAsia="zh-CN" w:bidi="ar-SA"/>
        </w:rPr>
        <w:t>质量保证期服务</w:t>
      </w:r>
      <w:r>
        <w:rPr>
          <w:rFonts w:hint="eastAsia" w:ascii="宋体" w:hAnsi="宋体" w:eastAsia="宋体" w:cs="宋体"/>
          <w:spacing w:val="-87"/>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已</w:t>
      </w:r>
      <w:r>
        <w:rPr>
          <w:rFonts w:hint="eastAsia" w:ascii="宋体" w:hAnsi="宋体" w:eastAsia="宋体" w:cs="宋体"/>
          <w:kern w:val="2"/>
          <w:sz w:val="21"/>
          <w:szCs w:val="21"/>
          <w:highlight w:val="none"/>
          <w:lang w:val="en-US" w:eastAsia="zh-CN" w:bidi="ar-SA"/>
        </w:rPr>
        <w:t>接</w:t>
      </w:r>
      <w:r>
        <w:rPr>
          <w:rFonts w:hint="eastAsia" w:ascii="宋体" w:hAnsi="宋体" w:eastAsia="宋体" w:cs="宋体"/>
          <w:spacing w:val="-3"/>
          <w:kern w:val="2"/>
          <w:sz w:val="21"/>
          <w:szCs w:val="21"/>
          <w:highlight w:val="none"/>
          <w:lang w:val="en-US" w:eastAsia="zh-CN" w:bidi="ar-SA"/>
        </w:rPr>
        <w:t>受</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u w:val="single"/>
          <w:lang w:val="en-US" w:eastAsia="zh-CN" w:bidi="ar-SA"/>
        </w:rPr>
        <w:t>（</w:t>
      </w:r>
      <w:r>
        <w:rPr>
          <w:rFonts w:hint="eastAsia" w:ascii="宋体" w:hAnsi="宋体" w:eastAsia="宋体" w:cs="宋体"/>
          <w:spacing w:val="-3"/>
          <w:kern w:val="2"/>
          <w:sz w:val="21"/>
          <w:szCs w:val="21"/>
          <w:highlight w:val="none"/>
          <w:lang w:val="en-US" w:eastAsia="zh-CN" w:bidi="ar-SA"/>
        </w:rPr>
        <w:t>卖</w:t>
      </w:r>
      <w:r>
        <w:rPr>
          <w:rFonts w:hint="eastAsia" w:ascii="宋体" w:hAnsi="宋体" w:eastAsia="宋体" w:cs="宋体"/>
          <w:kern w:val="2"/>
          <w:sz w:val="21"/>
          <w:szCs w:val="21"/>
          <w:highlight w:val="none"/>
          <w:lang w:val="en-US" w:eastAsia="zh-CN" w:bidi="ar-SA"/>
        </w:rPr>
        <w:t>方</w:t>
      </w:r>
      <w:r>
        <w:rPr>
          <w:rFonts w:hint="eastAsia" w:ascii="宋体" w:hAnsi="宋体" w:eastAsia="宋体" w:cs="宋体"/>
          <w:spacing w:val="-3"/>
          <w:kern w:val="2"/>
          <w:sz w:val="21"/>
          <w:szCs w:val="21"/>
          <w:highlight w:val="none"/>
          <w:lang w:val="en-US" w:eastAsia="zh-CN" w:bidi="ar-SA"/>
        </w:rPr>
        <w:t>名称</w:t>
      </w:r>
      <w:r>
        <w:rPr>
          <w:rFonts w:hint="eastAsia" w:ascii="宋体" w:hAnsi="宋体" w:eastAsia="宋体" w:cs="宋体"/>
          <w:spacing w:val="-89"/>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以下</w:t>
      </w:r>
      <w:r>
        <w:rPr>
          <w:rFonts w:hint="eastAsia" w:ascii="宋体" w:hAnsi="宋体" w:eastAsia="宋体" w:cs="宋体"/>
          <w:spacing w:val="-3"/>
          <w:kern w:val="2"/>
          <w:sz w:val="21"/>
          <w:szCs w:val="21"/>
          <w:highlight w:val="none"/>
          <w:lang w:val="en-US" w:eastAsia="zh-CN" w:bidi="ar-SA"/>
        </w:rPr>
        <w:t>简</w:t>
      </w:r>
      <w:r>
        <w:rPr>
          <w:rFonts w:hint="eastAsia" w:ascii="宋体" w:hAnsi="宋体" w:eastAsia="宋体" w:cs="宋体"/>
          <w:kern w:val="2"/>
          <w:sz w:val="21"/>
          <w:szCs w:val="21"/>
          <w:highlight w:val="none"/>
          <w:lang w:val="en-US" w:eastAsia="zh-CN" w:bidi="ar-SA"/>
        </w:rPr>
        <w:t>称</w:t>
      </w:r>
      <w:r>
        <w:rPr>
          <w:rFonts w:hint="eastAsia" w:ascii="宋体" w:hAnsi="宋体" w:eastAsia="宋体" w:cs="宋体"/>
          <w:i/>
          <w:spacing w:val="-3"/>
          <w:w w:val="8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卖方</w:t>
      </w:r>
      <w:r>
        <w:rPr>
          <w:rFonts w:hint="eastAsia" w:ascii="宋体" w:hAnsi="宋体" w:eastAsia="宋体" w:cs="宋体"/>
          <w:i/>
          <w:spacing w:val="-3"/>
          <w:w w:val="8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）为提供上述合同设备和技术服务和</w:t>
      </w:r>
      <w:r>
        <w:rPr>
          <w:rFonts w:hint="eastAsia" w:ascii="宋体" w:hAnsi="宋体" w:eastAsia="宋体" w:cs="宋体"/>
          <w:spacing w:val="-3"/>
          <w:kern w:val="2"/>
          <w:sz w:val="21"/>
          <w:szCs w:val="21"/>
          <w:highlight w:val="none"/>
          <w:lang w:val="en-US" w:eastAsia="zh-CN" w:bidi="ar-SA"/>
        </w:rPr>
        <w:t>质量保证期</w:t>
      </w:r>
      <w:r>
        <w:rPr>
          <w:rFonts w:hint="eastAsia" w:ascii="宋体" w:hAnsi="宋体" w:eastAsia="宋体" w:cs="宋体"/>
          <w:kern w:val="2"/>
          <w:sz w:val="21"/>
          <w:szCs w:val="21"/>
          <w:highlight w:val="none"/>
          <w:lang w:val="en-US" w:eastAsia="zh-CN" w:bidi="ar-SA"/>
        </w:rPr>
        <w:t>服务所作的投标，买方和卖方共同达成如下协议：</w:t>
      </w:r>
    </w:p>
    <w:p w14:paraId="5DAE8D09">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 本协议书与下列文件一起构成合同文件：</w:t>
      </w:r>
    </w:p>
    <w:p w14:paraId="374B8174">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（1）中标通知书；</w:t>
      </w:r>
    </w:p>
    <w:p w14:paraId="25A80C00">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（2）投标函；</w:t>
      </w:r>
    </w:p>
    <w:p w14:paraId="59E28126">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（3）技术偏差表；</w:t>
      </w:r>
    </w:p>
    <w:p w14:paraId="1B8087F8">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（4）专用合同条款；</w:t>
      </w:r>
    </w:p>
    <w:p w14:paraId="24141331">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（5）通用合同条款；</w:t>
      </w:r>
    </w:p>
    <w:p w14:paraId="0EAA0778">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（6）供货要求；</w:t>
      </w:r>
    </w:p>
    <w:p w14:paraId="225524E6">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（7）分项报价表；</w:t>
      </w:r>
    </w:p>
    <w:p w14:paraId="69BF40D2">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（8）技术资料；</w:t>
      </w:r>
    </w:p>
    <w:p w14:paraId="172D71F2">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（9）其他合同文件。</w:t>
      </w:r>
    </w:p>
    <w:p w14:paraId="48B91C61">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2.上述合同文件互相补充和解释。如果合同文件之间存在矛盾或不一致之处，以上述文件的排列顺序在先者为准。</w:t>
      </w:r>
    </w:p>
    <w:p w14:paraId="78429B6C">
      <w:pPr>
        <w:tabs>
          <w:tab w:val="left" w:pos="4984"/>
          <w:tab w:val="left" w:pos="6768"/>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 </w:t>
      </w:r>
      <w:r>
        <w:rPr>
          <w:rFonts w:hint="eastAsia" w:ascii="宋体" w:hAnsi="宋体" w:eastAsia="宋体" w:cs="宋体"/>
          <w:spacing w:val="-3"/>
          <w:kern w:val="2"/>
          <w:sz w:val="21"/>
          <w:szCs w:val="21"/>
          <w:highlight w:val="none"/>
          <w:lang w:val="en-US" w:eastAsia="zh-CN" w:bidi="ar-SA"/>
        </w:rPr>
        <w:t>签</w:t>
      </w:r>
      <w:r>
        <w:rPr>
          <w:rFonts w:hint="eastAsia" w:ascii="宋体" w:hAnsi="宋体" w:eastAsia="宋体" w:cs="宋体"/>
          <w:kern w:val="2"/>
          <w:sz w:val="21"/>
          <w:szCs w:val="21"/>
          <w:highlight w:val="none"/>
          <w:lang w:val="en-US" w:eastAsia="zh-CN" w:bidi="ar-SA"/>
        </w:rPr>
        <w:t>约</w:t>
      </w:r>
      <w:r>
        <w:rPr>
          <w:rFonts w:hint="eastAsia" w:ascii="宋体" w:hAnsi="宋体" w:eastAsia="宋体" w:cs="宋体"/>
          <w:spacing w:val="-3"/>
          <w:kern w:val="2"/>
          <w:sz w:val="21"/>
          <w:szCs w:val="21"/>
          <w:highlight w:val="none"/>
          <w:lang w:val="en-US" w:eastAsia="zh-CN" w:bidi="ar-SA"/>
        </w:rPr>
        <w:t>合</w:t>
      </w:r>
      <w:r>
        <w:rPr>
          <w:rFonts w:hint="eastAsia" w:ascii="宋体" w:hAnsi="宋体" w:eastAsia="宋体" w:cs="宋体"/>
          <w:kern w:val="2"/>
          <w:sz w:val="21"/>
          <w:szCs w:val="21"/>
          <w:highlight w:val="none"/>
          <w:lang w:val="en-US" w:eastAsia="zh-CN" w:bidi="ar-SA"/>
        </w:rPr>
        <w:t>同</w:t>
      </w:r>
      <w:r>
        <w:rPr>
          <w:rFonts w:hint="eastAsia" w:ascii="宋体" w:hAnsi="宋体" w:eastAsia="宋体" w:cs="宋体"/>
          <w:spacing w:val="-3"/>
          <w:kern w:val="2"/>
          <w:sz w:val="21"/>
          <w:szCs w:val="21"/>
          <w:highlight w:val="none"/>
          <w:lang w:val="en-US" w:eastAsia="zh-CN" w:bidi="ar-SA"/>
        </w:rPr>
        <w:t>价</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民</w:t>
      </w:r>
      <w:r>
        <w:rPr>
          <w:rFonts w:hint="eastAsia" w:ascii="宋体" w:hAnsi="宋体" w:eastAsia="宋体" w:cs="宋体"/>
          <w:spacing w:val="-3"/>
          <w:kern w:val="2"/>
          <w:sz w:val="21"/>
          <w:szCs w:val="21"/>
          <w:highlight w:val="none"/>
          <w:lang w:val="en-US" w:eastAsia="zh-CN" w:bidi="ar-SA"/>
        </w:rPr>
        <w:t>币（</w:t>
      </w:r>
      <w:r>
        <w:rPr>
          <w:rFonts w:hint="eastAsia" w:ascii="宋体" w:hAnsi="宋体" w:eastAsia="宋体" w:cs="宋体"/>
          <w:kern w:val="2"/>
          <w:sz w:val="21"/>
          <w:szCs w:val="21"/>
          <w:highlight w:val="none"/>
          <w:lang w:val="en-US" w:eastAsia="zh-CN" w:bidi="ar-SA"/>
        </w:rPr>
        <w:t>大写</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6"/>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w:t>
      </w:r>
    </w:p>
    <w:p w14:paraId="46AC746E">
      <w:pPr>
        <w:tabs>
          <w:tab w:val="left" w:pos="4984"/>
          <w:tab w:val="left" w:pos="6768"/>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 </w:t>
      </w:r>
      <w:r>
        <w:rPr>
          <w:rFonts w:hint="eastAsia" w:ascii="宋体" w:hAnsi="宋体" w:eastAsia="宋体" w:cs="宋体"/>
          <w:color w:val="auto"/>
          <w:kern w:val="2"/>
          <w:sz w:val="21"/>
          <w:szCs w:val="21"/>
          <w:highlight w:val="none"/>
          <w:lang w:val="en-US" w:eastAsia="zh-CN" w:bidi="ar-SA"/>
        </w:rPr>
        <w:t>供货期（服务期）</w:t>
      </w:r>
      <w:r>
        <w:rPr>
          <w:rFonts w:hint="eastAsia"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195194F4">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 卖方承诺保证完全按照合同约定提供合同设备和技术服务和</w:t>
      </w:r>
      <w:r>
        <w:rPr>
          <w:rFonts w:hint="eastAsia" w:ascii="宋体" w:hAnsi="宋体" w:eastAsia="宋体" w:cs="宋体"/>
          <w:spacing w:val="-3"/>
          <w:kern w:val="2"/>
          <w:sz w:val="21"/>
          <w:szCs w:val="21"/>
          <w:highlight w:val="none"/>
          <w:lang w:val="en-US" w:eastAsia="zh-CN" w:bidi="ar-SA"/>
        </w:rPr>
        <w:t>质量保证期</w:t>
      </w:r>
      <w:r>
        <w:rPr>
          <w:rFonts w:hint="eastAsia" w:ascii="宋体" w:hAnsi="宋体" w:eastAsia="宋体" w:cs="宋体"/>
          <w:kern w:val="2"/>
          <w:sz w:val="21"/>
          <w:szCs w:val="21"/>
          <w:highlight w:val="none"/>
          <w:lang w:val="en-US" w:eastAsia="zh-CN" w:bidi="ar-SA"/>
        </w:rPr>
        <w:t>服务并修补缺陷。</w:t>
      </w:r>
    </w:p>
    <w:p w14:paraId="4A09FC52">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 买方承诺保证按照合同约定的条件、时间和方式向卖方支付合同价款。</w:t>
      </w:r>
    </w:p>
    <w:p w14:paraId="78448860">
      <w:pPr>
        <w:tabs>
          <w:tab w:val="left" w:pos="3199"/>
          <w:tab w:val="left" w:pos="5614"/>
        </w:tabs>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 本合同协议书一式</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份，合同双方各执</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3"/>
          <w:kern w:val="2"/>
          <w:sz w:val="21"/>
          <w:szCs w:val="21"/>
          <w:highlight w:val="none"/>
          <w:lang w:val="en-US" w:eastAsia="zh-CN" w:bidi="ar-SA"/>
        </w:rPr>
        <w:t>份。</w:t>
      </w:r>
    </w:p>
    <w:p w14:paraId="75125C86">
      <w:pPr>
        <w:adjustRightInd w:val="0"/>
        <w:snapToGrid w:val="0"/>
        <w:spacing w:beforeLines="0" w:after="0" w:afterLines="0" w:line="360" w:lineRule="auto"/>
        <w:ind w:firstLine="420"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 合同未尽事宜，双方另行签订补充协议，补充协议是合同的组成部分。</w:t>
      </w:r>
    </w:p>
    <w:p w14:paraId="02A3D714">
      <w:pPr>
        <w:spacing w:beforeLines="0" w:after="0" w:afterLines="0" w:line="360" w:lineRule="auto"/>
        <w:ind w:right="0" w:firstLine="428" w:firstLineChars="200"/>
        <w:jc w:val="both"/>
        <w:outlineLvl w:val="9"/>
        <w:rPr>
          <w:rFonts w:hint="eastAsia" w:ascii="宋体" w:hAnsi="宋体" w:eastAsia="宋体" w:cs="宋体"/>
          <w:spacing w:val="2"/>
          <w:kern w:val="2"/>
          <w:sz w:val="21"/>
          <w:szCs w:val="21"/>
          <w:highlight w:val="none"/>
          <w:lang w:val="en-US" w:eastAsia="zh-CN" w:bidi="ar-SA"/>
        </w:rPr>
      </w:pPr>
    </w:p>
    <w:p w14:paraId="53EE8DE2">
      <w:pPr>
        <w:spacing w:beforeLines="0" w:after="0" w:afterLines="0" w:line="360" w:lineRule="auto"/>
        <w:ind w:right="0" w:firstLine="428"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买方：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pacing w:val="2"/>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盖单位章）</w:t>
      </w:r>
    </w:p>
    <w:p w14:paraId="07146159">
      <w:pPr>
        <w:widowControl/>
        <w:spacing w:beforeLines="0" w:afterLines="0" w:line="360" w:lineRule="auto"/>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法定代表人（单位负责人）或其委托代理人：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（签字）</w:t>
      </w:r>
    </w:p>
    <w:p w14:paraId="6E343268">
      <w:pPr>
        <w:tabs>
          <w:tab w:val="left" w:pos="7605"/>
        </w:tabs>
        <w:spacing w:beforeLines="0" w:after="0" w:afterLines="0" w:line="360" w:lineRule="auto"/>
        <w:ind w:left="0" w:leftChars="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pacing w:val="-3"/>
          <w:kern w:val="2"/>
          <w:sz w:val="21"/>
          <w:szCs w:val="21"/>
          <w:highlight w:val="none"/>
          <w:lang w:val="en-US" w:eastAsia="zh-CN" w:bidi="ar-SA"/>
        </w:rPr>
        <w:t>月</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日 </w:t>
      </w:r>
    </w:p>
    <w:p w14:paraId="630659ED">
      <w:pPr>
        <w:tabs>
          <w:tab w:val="left" w:pos="7185"/>
        </w:tabs>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（盖单位章）</w:t>
      </w:r>
    </w:p>
    <w:p w14:paraId="12004803">
      <w:pPr>
        <w:tabs>
          <w:tab w:val="left" w:pos="7605"/>
        </w:tabs>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法定代表人（单位负责人）或其委托代理人：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（签字）</w:t>
      </w:r>
    </w:p>
    <w:p w14:paraId="3AA70B28">
      <w:pPr>
        <w:tabs>
          <w:tab w:val="left" w:pos="7605"/>
        </w:tabs>
        <w:spacing w:beforeLines="0" w:after="0" w:afterLines="0" w:line="360" w:lineRule="auto"/>
        <w:ind w:left="0" w:leftChars="0" w:firstLine="420" w:firstLineChars="200"/>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spacing w:val="-3"/>
          <w:kern w:val="2"/>
          <w:sz w:val="21"/>
          <w:szCs w:val="21"/>
          <w:highlight w:val="none"/>
          <w:lang w:val="en-US" w:eastAsia="zh-CN" w:bidi="ar-SA"/>
        </w:rPr>
        <w:t>月</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日 </w:t>
      </w:r>
    </w:p>
    <w:p w14:paraId="4FD4FBD7">
      <w:pPr>
        <w:widowControl/>
        <w:spacing w:beforeLines="0" w:afterLines="0" w:line="240" w:lineRule="auto"/>
        <w:jc w:val="left"/>
        <w:rPr>
          <w:rFonts w:hint="eastAsia" w:ascii="宋体" w:hAnsi="宋体" w:eastAsia="宋体" w:cs="宋体"/>
          <w:spacing w:val="-3"/>
          <w:sz w:val="21"/>
          <w:szCs w:val="21"/>
          <w:highlight w:val="none"/>
          <w:u w:val="single"/>
        </w:rPr>
      </w:pPr>
      <w:bookmarkStart w:id="966" w:name="_Toc144974831"/>
      <w:bookmarkStart w:id="967" w:name="_Toc271870496"/>
      <w:bookmarkStart w:id="968" w:name="_Toc168476291"/>
      <w:bookmarkStart w:id="969" w:name="_Toc168475888"/>
      <w:bookmarkStart w:id="970" w:name="_Toc266885984"/>
      <w:bookmarkStart w:id="971" w:name="_Toc401150202"/>
      <w:bookmarkStart w:id="972" w:name="_Toc332378921"/>
    </w:p>
    <w:p w14:paraId="13E74C82">
      <w:pPr>
        <w:widowControl/>
        <w:jc w:val="left"/>
        <w:rPr>
          <w:rFonts w:hint="eastAsia" w:ascii="宋体" w:hAnsi="宋体" w:eastAsia="宋体" w:cs="宋体"/>
          <w:spacing w:val="-3"/>
          <w:sz w:val="24"/>
          <w:szCs w:val="24"/>
          <w:highlight w:val="none"/>
          <w:u w:val="single"/>
        </w:rPr>
      </w:pPr>
      <w:r>
        <w:rPr>
          <w:rFonts w:hint="eastAsia" w:ascii="宋体" w:hAnsi="宋体" w:eastAsia="宋体" w:cs="宋体"/>
          <w:spacing w:val="-3"/>
          <w:sz w:val="24"/>
          <w:szCs w:val="24"/>
          <w:highlight w:val="none"/>
          <w:u w:val="single"/>
        </w:rPr>
        <w:br w:type="page"/>
      </w:r>
    </w:p>
    <w:bookmarkEnd w:id="799"/>
    <w:bookmarkEnd w:id="800"/>
    <w:bookmarkEnd w:id="801"/>
    <w:bookmarkEnd w:id="966"/>
    <w:bookmarkEnd w:id="967"/>
    <w:bookmarkEnd w:id="968"/>
    <w:bookmarkEnd w:id="969"/>
    <w:bookmarkEnd w:id="970"/>
    <w:bookmarkEnd w:id="971"/>
    <w:bookmarkEnd w:id="972"/>
    <w:p w14:paraId="1CC93EE7">
      <w:pPr>
        <w:widowControl/>
        <w:spacing w:beforeLines="0" w:afterLines="0" w:line="240" w:lineRule="auto"/>
        <w:jc w:val="left"/>
        <w:rPr>
          <w:rFonts w:hint="eastAsia" w:ascii="宋体" w:hAnsi="宋体" w:eastAsia="宋体" w:cs="宋体"/>
          <w:spacing w:val="-3"/>
          <w:sz w:val="24"/>
          <w:szCs w:val="24"/>
          <w:highlight w:val="none"/>
          <w:u w:val="single"/>
        </w:rPr>
      </w:pPr>
      <w:bookmarkStart w:id="973" w:name="_Toc91345070"/>
      <w:bookmarkStart w:id="974" w:name="_Toc19345"/>
      <w:bookmarkStart w:id="975" w:name="_Toc62034582"/>
      <w:bookmarkStart w:id="976" w:name="_Toc20090"/>
      <w:bookmarkStart w:id="977" w:name="_Toc7033"/>
    </w:p>
    <w:p w14:paraId="314EAE67">
      <w:pPr>
        <w:widowControl/>
        <w:spacing w:beforeLines="0" w:afterLines="0" w:line="240" w:lineRule="auto"/>
        <w:jc w:val="left"/>
        <w:rPr>
          <w:rFonts w:hint="eastAsia" w:ascii="宋体" w:hAnsi="宋体" w:eastAsia="宋体" w:cs="宋体"/>
          <w:spacing w:val="-3"/>
          <w:sz w:val="24"/>
          <w:szCs w:val="24"/>
          <w:highlight w:val="none"/>
          <w:u w:val="single"/>
        </w:rPr>
      </w:pPr>
    </w:p>
    <w:p w14:paraId="6D3BAA73">
      <w:pPr>
        <w:widowControl/>
        <w:spacing w:beforeLines="0" w:afterLines="0" w:line="240" w:lineRule="auto"/>
        <w:jc w:val="left"/>
        <w:rPr>
          <w:rFonts w:hint="eastAsia" w:ascii="宋体" w:hAnsi="宋体" w:eastAsia="宋体" w:cs="宋体"/>
          <w:spacing w:val="-3"/>
          <w:sz w:val="24"/>
          <w:szCs w:val="24"/>
          <w:highlight w:val="none"/>
          <w:u w:val="single"/>
        </w:rPr>
      </w:pPr>
    </w:p>
    <w:p w14:paraId="68DACAE4">
      <w:pPr>
        <w:spacing w:beforeLines="0" w:after="0" w:afterLines="0" w:line="240" w:lineRule="auto"/>
        <w:rPr>
          <w:rFonts w:hint="eastAsia" w:ascii="宋体" w:hAnsi="宋体" w:eastAsia="宋体" w:cs="宋体"/>
          <w:kern w:val="2"/>
          <w:sz w:val="21"/>
          <w:szCs w:val="22"/>
          <w:highlight w:val="none"/>
          <w:lang w:val="en-US" w:eastAsia="zh-CN" w:bidi="ar-SA"/>
        </w:rPr>
      </w:pPr>
      <w:bookmarkStart w:id="978" w:name="_Toc11056"/>
    </w:p>
    <w:p w14:paraId="6B394D3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16F859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67EA7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68832B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A636C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62CF53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DD07F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4AB25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9A23EA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F7F1BE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D7C310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81A781">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979" w:name="_Toc3301"/>
      <w:bookmarkStart w:id="980" w:name="_Toc17757"/>
      <w:bookmarkStart w:id="981" w:name="_Toc24636"/>
      <w:bookmarkStart w:id="982" w:name="_Toc91344972"/>
      <w:bookmarkStart w:id="983" w:name="_Toc26603"/>
      <w:bookmarkStart w:id="984" w:name="_Toc62034510"/>
      <w:bookmarkStart w:id="985" w:name="_Toc4843"/>
      <w:bookmarkStart w:id="986" w:name="_Toc4759"/>
      <w:bookmarkStart w:id="987" w:name="_Toc8660"/>
      <w:bookmarkStart w:id="988" w:name="_Toc28857"/>
      <w:r>
        <w:rPr>
          <w:rFonts w:hint="eastAsia" w:ascii="宋体" w:hAnsi="宋体" w:eastAsia="宋体" w:cs="宋体"/>
          <w:b/>
          <w:bCs/>
          <w:kern w:val="44"/>
          <w:sz w:val="52"/>
          <w:szCs w:val="52"/>
          <w:highlight w:val="none"/>
          <w:lang w:val="en-US" w:eastAsia="zh-CN" w:bidi="ar-SA"/>
        </w:rPr>
        <w:t>第二卷</w:t>
      </w:r>
      <w:bookmarkEnd w:id="978"/>
      <w:bookmarkEnd w:id="979"/>
      <w:bookmarkEnd w:id="980"/>
      <w:bookmarkEnd w:id="981"/>
      <w:bookmarkEnd w:id="982"/>
      <w:bookmarkEnd w:id="983"/>
      <w:bookmarkEnd w:id="984"/>
      <w:bookmarkEnd w:id="985"/>
      <w:bookmarkEnd w:id="986"/>
      <w:bookmarkEnd w:id="987"/>
      <w:bookmarkEnd w:id="988"/>
    </w:p>
    <w:p w14:paraId="397575D6">
      <w:pPr>
        <w:widowControl/>
        <w:adjustRightInd w:val="0"/>
        <w:snapToGrid w:val="0"/>
        <w:spacing w:before="0" w:beforeLines="0" w:after="0" w:afterLines="0"/>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br w:type="page"/>
      </w:r>
    </w:p>
    <w:p w14:paraId="6CEE8B81">
      <w:pPr>
        <w:spacing w:beforeLines="0" w:after="0" w:afterLines="0" w:line="360" w:lineRule="auto"/>
        <w:jc w:val="center"/>
        <w:outlineLvl w:val="0"/>
        <w:rPr>
          <w:rFonts w:hint="default" w:ascii="宋体" w:hAnsi="宋体" w:eastAsia="宋体" w:cs="宋体"/>
          <w:b/>
          <w:bCs/>
          <w:kern w:val="2"/>
          <w:sz w:val="32"/>
          <w:szCs w:val="32"/>
          <w:highlight w:val="none"/>
          <w:lang w:val="en-US" w:eastAsia="zh-CN" w:bidi="ar-SA"/>
        </w:rPr>
      </w:pPr>
      <w:bookmarkStart w:id="989" w:name="_Toc12381"/>
      <w:bookmarkStart w:id="990" w:name="_Toc29627"/>
      <w:bookmarkStart w:id="991" w:name="_Toc18478"/>
      <w:bookmarkStart w:id="992" w:name="_Toc5720"/>
      <w:bookmarkStart w:id="993" w:name="_Toc17528"/>
      <w:bookmarkStart w:id="994" w:name="_Toc3129"/>
      <w:r>
        <w:rPr>
          <w:rFonts w:hint="eastAsia" w:ascii="宋体" w:hAnsi="宋体" w:eastAsia="宋体" w:cs="宋体"/>
          <w:b/>
          <w:bCs/>
          <w:kern w:val="2"/>
          <w:sz w:val="32"/>
          <w:szCs w:val="32"/>
          <w:highlight w:val="none"/>
          <w:lang w:val="en-US" w:eastAsia="zh-CN" w:bidi="ar-SA"/>
        </w:rPr>
        <w:t xml:space="preserve">第五章 </w:t>
      </w:r>
      <w:bookmarkEnd w:id="989"/>
      <w:bookmarkEnd w:id="990"/>
      <w:bookmarkEnd w:id="991"/>
      <w:bookmarkEnd w:id="992"/>
      <w:bookmarkEnd w:id="993"/>
      <w:bookmarkEnd w:id="994"/>
      <w:r>
        <w:rPr>
          <w:rFonts w:hint="eastAsia" w:ascii="宋体" w:hAnsi="宋体" w:eastAsia="宋体" w:cs="宋体"/>
          <w:b/>
          <w:bCs/>
          <w:kern w:val="2"/>
          <w:sz w:val="32"/>
          <w:szCs w:val="32"/>
          <w:highlight w:val="none"/>
          <w:lang w:val="en-US" w:eastAsia="zh-CN" w:bidi="ar-SA"/>
        </w:rPr>
        <w:t>工程量清单及图纸</w:t>
      </w:r>
    </w:p>
    <w:p w14:paraId="6AF36DA7">
      <w:pPr>
        <w:widowControl w:val="0"/>
        <w:autoSpaceDE w:val="0"/>
        <w:autoSpaceDN w:val="0"/>
        <w:adjustRightInd w:val="0"/>
        <w:spacing w:beforeLines="0" w:afterLines="0" w:line="360" w:lineRule="auto"/>
        <w:ind w:left="120" w:hanging="120"/>
        <w:jc w:val="cente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（另附）</w:t>
      </w:r>
    </w:p>
    <w:p w14:paraId="5D8F109C">
      <w:pPr>
        <w:widowControl/>
        <w:spacing w:beforeLines="0" w:afterLines="0"/>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r>
    </w:p>
    <w:bookmarkEnd w:id="973"/>
    <w:bookmarkEnd w:id="974"/>
    <w:bookmarkEnd w:id="975"/>
    <w:bookmarkEnd w:id="976"/>
    <w:bookmarkEnd w:id="977"/>
    <w:p w14:paraId="4CEEC7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bookmarkStart w:id="995" w:name="_Toc22494"/>
    </w:p>
    <w:p w14:paraId="21BBDD4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37F0B6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D7A5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548027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02B3822">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C76138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11F4FF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1D92E1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CEE760B">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692B7D7A">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56E89C50">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996" w:name="_Toc5842"/>
      <w:bookmarkStart w:id="997" w:name="_Toc19788"/>
      <w:bookmarkStart w:id="998" w:name="_Toc31364"/>
      <w:bookmarkStart w:id="999" w:name="_Toc13605"/>
      <w:bookmarkStart w:id="1000" w:name="_Toc9547"/>
      <w:bookmarkStart w:id="1001" w:name="_Toc16614"/>
      <w:r>
        <w:rPr>
          <w:rFonts w:hint="eastAsia" w:ascii="宋体" w:hAnsi="宋体" w:eastAsia="宋体" w:cs="宋体"/>
          <w:b/>
          <w:bCs/>
          <w:kern w:val="44"/>
          <w:sz w:val="52"/>
          <w:szCs w:val="52"/>
          <w:highlight w:val="none"/>
          <w:lang w:val="en-US" w:eastAsia="zh-CN" w:bidi="ar-SA"/>
        </w:rPr>
        <w:t>第三卷</w:t>
      </w:r>
      <w:bookmarkEnd w:id="996"/>
      <w:bookmarkEnd w:id="997"/>
      <w:bookmarkEnd w:id="998"/>
      <w:bookmarkEnd w:id="999"/>
      <w:bookmarkEnd w:id="1000"/>
      <w:bookmarkEnd w:id="1001"/>
    </w:p>
    <w:p w14:paraId="17BE989E">
      <w:pPr>
        <w:widowControl/>
        <w:spacing w:beforeLines="0" w:afterLines="0" w:line="240" w:lineRule="auto"/>
        <w:jc w:val="left"/>
        <w:rPr>
          <w:rFonts w:hint="eastAsia" w:ascii="宋体" w:hAnsi="宋体" w:eastAsia="宋体" w:cs="宋体"/>
          <w:szCs w:val="22"/>
          <w:highlight w:val="none"/>
        </w:rPr>
      </w:pPr>
    </w:p>
    <w:p w14:paraId="08B2939F">
      <w:pPr>
        <w:widowControl/>
        <w:spacing w:beforeLines="0" w:afterLines="0" w:line="240" w:lineRule="auto"/>
        <w:jc w:val="left"/>
        <w:rPr>
          <w:rFonts w:hint="eastAsia" w:ascii="宋体" w:hAnsi="宋体" w:eastAsia="宋体" w:cs="宋体"/>
          <w:szCs w:val="22"/>
          <w:highlight w:val="none"/>
        </w:rPr>
      </w:pPr>
    </w:p>
    <w:p w14:paraId="6C746999">
      <w:pPr>
        <w:widowControl/>
        <w:spacing w:beforeLines="0" w:afterLines="0" w:line="240" w:lineRule="auto"/>
        <w:jc w:val="left"/>
        <w:rPr>
          <w:rFonts w:hint="eastAsia" w:ascii="宋体" w:hAnsi="宋体" w:eastAsia="宋体" w:cs="宋体"/>
          <w:szCs w:val="22"/>
          <w:highlight w:val="none"/>
        </w:rPr>
      </w:pPr>
    </w:p>
    <w:p w14:paraId="36008C23">
      <w:pPr>
        <w:widowControl/>
        <w:spacing w:beforeLines="0" w:afterLines="0" w:line="240" w:lineRule="auto"/>
        <w:jc w:val="left"/>
        <w:rPr>
          <w:rFonts w:hint="eastAsia" w:ascii="宋体" w:hAnsi="宋体" w:eastAsia="宋体" w:cs="宋体"/>
          <w:szCs w:val="22"/>
          <w:highlight w:val="none"/>
        </w:rPr>
      </w:pPr>
    </w:p>
    <w:p w14:paraId="65ABAA96">
      <w:pPr>
        <w:widowControl/>
        <w:spacing w:beforeLines="0" w:afterLines="0" w:line="240" w:lineRule="auto"/>
        <w:jc w:val="left"/>
        <w:rPr>
          <w:rFonts w:hint="eastAsia" w:ascii="宋体" w:hAnsi="宋体" w:eastAsia="宋体" w:cs="宋体"/>
          <w:szCs w:val="22"/>
          <w:highlight w:val="none"/>
        </w:rPr>
      </w:pPr>
    </w:p>
    <w:p w14:paraId="569B9294">
      <w:pPr>
        <w:widowControl/>
        <w:spacing w:beforeLines="0" w:afterLines="0" w:line="240" w:lineRule="auto"/>
        <w:jc w:val="left"/>
        <w:rPr>
          <w:rFonts w:hint="eastAsia" w:ascii="宋体" w:hAnsi="宋体" w:eastAsia="宋体" w:cs="宋体"/>
          <w:szCs w:val="22"/>
          <w:highlight w:val="none"/>
        </w:rPr>
      </w:pPr>
    </w:p>
    <w:p w14:paraId="34519ADD">
      <w:pPr>
        <w:widowControl/>
        <w:spacing w:beforeLines="0" w:afterLines="0" w:line="240" w:lineRule="auto"/>
        <w:jc w:val="left"/>
        <w:rPr>
          <w:rFonts w:hint="eastAsia" w:ascii="宋体" w:hAnsi="宋体" w:eastAsia="宋体" w:cs="宋体"/>
          <w:szCs w:val="22"/>
          <w:highlight w:val="none"/>
        </w:rPr>
      </w:pPr>
    </w:p>
    <w:p w14:paraId="1E49F3E8">
      <w:pPr>
        <w:widowControl/>
        <w:spacing w:beforeLines="0" w:afterLines="0" w:line="240" w:lineRule="auto"/>
        <w:jc w:val="left"/>
        <w:rPr>
          <w:rFonts w:hint="eastAsia" w:ascii="宋体" w:hAnsi="宋体" w:eastAsia="宋体" w:cs="宋体"/>
          <w:szCs w:val="22"/>
          <w:highlight w:val="none"/>
        </w:rPr>
      </w:pPr>
    </w:p>
    <w:p w14:paraId="6FC59997">
      <w:pPr>
        <w:widowControl/>
        <w:spacing w:beforeLines="0" w:afterLines="0" w:line="240" w:lineRule="auto"/>
        <w:jc w:val="left"/>
        <w:rPr>
          <w:rFonts w:hint="eastAsia" w:ascii="宋体" w:hAnsi="宋体" w:eastAsia="宋体" w:cs="宋体"/>
          <w:szCs w:val="22"/>
          <w:highlight w:val="none"/>
        </w:rPr>
      </w:pPr>
    </w:p>
    <w:p w14:paraId="7277E9FE">
      <w:pPr>
        <w:widowControl/>
        <w:spacing w:beforeLines="0" w:afterLines="0" w:line="240" w:lineRule="auto"/>
        <w:jc w:val="left"/>
        <w:rPr>
          <w:rFonts w:hint="eastAsia" w:ascii="宋体" w:hAnsi="宋体" w:eastAsia="宋体" w:cs="宋体"/>
          <w:szCs w:val="22"/>
          <w:highlight w:val="none"/>
        </w:rPr>
      </w:pPr>
    </w:p>
    <w:p w14:paraId="521D06E0">
      <w:pPr>
        <w:widowControl/>
        <w:spacing w:beforeLines="0" w:afterLines="0" w:line="240" w:lineRule="auto"/>
        <w:jc w:val="left"/>
        <w:rPr>
          <w:rFonts w:hint="eastAsia" w:ascii="宋体" w:hAnsi="宋体" w:eastAsia="宋体" w:cs="宋体"/>
          <w:szCs w:val="22"/>
          <w:highlight w:val="none"/>
        </w:rPr>
      </w:pPr>
    </w:p>
    <w:p w14:paraId="0FAD06E0">
      <w:pPr>
        <w:widowControl/>
        <w:spacing w:beforeLines="0" w:afterLines="0" w:line="240" w:lineRule="auto"/>
        <w:jc w:val="left"/>
        <w:rPr>
          <w:rFonts w:hint="eastAsia" w:ascii="宋体" w:hAnsi="宋体" w:eastAsia="宋体" w:cs="宋体"/>
          <w:szCs w:val="22"/>
          <w:highlight w:val="none"/>
        </w:rPr>
      </w:pPr>
    </w:p>
    <w:p w14:paraId="1866494D">
      <w:pPr>
        <w:widowControl/>
        <w:spacing w:beforeLines="0" w:afterLines="0" w:line="240" w:lineRule="auto"/>
        <w:jc w:val="left"/>
        <w:rPr>
          <w:rFonts w:hint="eastAsia" w:ascii="宋体" w:hAnsi="宋体" w:eastAsia="宋体" w:cs="宋体"/>
          <w:szCs w:val="22"/>
          <w:highlight w:val="none"/>
        </w:rPr>
      </w:pPr>
    </w:p>
    <w:p w14:paraId="0B0005C5">
      <w:pPr>
        <w:widowControl/>
        <w:spacing w:beforeLines="0" w:afterLines="0" w:line="240" w:lineRule="auto"/>
        <w:jc w:val="left"/>
        <w:rPr>
          <w:rFonts w:hint="eastAsia" w:ascii="宋体" w:hAnsi="宋体" w:eastAsia="宋体" w:cs="宋体"/>
          <w:szCs w:val="22"/>
          <w:highlight w:val="none"/>
        </w:rPr>
      </w:pPr>
    </w:p>
    <w:p w14:paraId="0E0469FF">
      <w:pPr>
        <w:widowControl/>
        <w:spacing w:beforeLines="0" w:afterLines="0" w:line="240" w:lineRule="auto"/>
        <w:jc w:val="left"/>
        <w:rPr>
          <w:rFonts w:hint="eastAsia" w:ascii="宋体" w:hAnsi="宋体" w:eastAsia="宋体" w:cs="宋体"/>
          <w:szCs w:val="22"/>
          <w:highlight w:val="none"/>
        </w:rPr>
      </w:pPr>
    </w:p>
    <w:p w14:paraId="0EE56C56">
      <w:pPr>
        <w:widowControl/>
        <w:spacing w:beforeLines="0" w:afterLines="0" w:line="240" w:lineRule="auto"/>
        <w:jc w:val="left"/>
        <w:rPr>
          <w:rFonts w:hint="eastAsia" w:ascii="宋体" w:hAnsi="宋体" w:eastAsia="宋体" w:cs="宋体"/>
          <w:szCs w:val="22"/>
          <w:highlight w:val="none"/>
        </w:rPr>
      </w:pPr>
    </w:p>
    <w:p w14:paraId="52371026">
      <w:pPr>
        <w:widowControl/>
        <w:spacing w:beforeLines="0" w:afterLines="0" w:line="240" w:lineRule="auto"/>
        <w:jc w:val="left"/>
        <w:rPr>
          <w:rFonts w:hint="eastAsia" w:ascii="宋体" w:hAnsi="宋体" w:eastAsia="宋体" w:cs="宋体"/>
          <w:szCs w:val="22"/>
          <w:highlight w:val="none"/>
        </w:rPr>
      </w:pPr>
    </w:p>
    <w:p w14:paraId="0EB26441">
      <w:pPr>
        <w:widowControl/>
        <w:spacing w:beforeLines="0" w:afterLines="0" w:line="240" w:lineRule="auto"/>
        <w:jc w:val="left"/>
        <w:rPr>
          <w:rFonts w:hint="eastAsia" w:ascii="宋体" w:hAnsi="宋体" w:eastAsia="宋体" w:cs="宋体"/>
          <w:szCs w:val="22"/>
          <w:highlight w:val="none"/>
        </w:rPr>
      </w:pPr>
    </w:p>
    <w:p w14:paraId="73EDCA7E">
      <w:pPr>
        <w:widowControl/>
        <w:spacing w:beforeLines="0" w:afterLines="0" w:line="240" w:lineRule="auto"/>
        <w:jc w:val="left"/>
        <w:rPr>
          <w:rFonts w:hint="eastAsia" w:ascii="宋体" w:hAnsi="宋体" w:eastAsia="宋体" w:cs="宋体"/>
          <w:szCs w:val="22"/>
          <w:highlight w:val="none"/>
        </w:rPr>
      </w:pPr>
    </w:p>
    <w:p w14:paraId="615BDEAE">
      <w:pPr>
        <w:widowControl/>
        <w:spacing w:beforeLines="0" w:afterLines="0" w:line="240" w:lineRule="auto"/>
        <w:jc w:val="left"/>
        <w:rPr>
          <w:rFonts w:hint="eastAsia" w:ascii="宋体" w:hAnsi="宋体" w:eastAsia="宋体" w:cs="宋体"/>
          <w:szCs w:val="22"/>
          <w:highlight w:val="none"/>
        </w:rPr>
      </w:pPr>
    </w:p>
    <w:p w14:paraId="0D1B8F02">
      <w:pPr>
        <w:widowControl/>
        <w:spacing w:beforeLines="0" w:afterLines="0" w:line="240" w:lineRule="auto"/>
        <w:jc w:val="left"/>
        <w:rPr>
          <w:rFonts w:hint="eastAsia" w:ascii="宋体" w:hAnsi="宋体" w:eastAsia="宋体" w:cs="宋体"/>
          <w:szCs w:val="22"/>
          <w:highlight w:val="none"/>
        </w:rPr>
      </w:pPr>
    </w:p>
    <w:p w14:paraId="16E0A2DF">
      <w:pPr>
        <w:widowControl/>
        <w:spacing w:beforeLines="0" w:afterLines="0" w:line="240" w:lineRule="auto"/>
        <w:jc w:val="left"/>
        <w:rPr>
          <w:rFonts w:hint="eastAsia" w:ascii="宋体" w:hAnsi="宋体" w:eastAsia="宋体" w:cs="宋体"/>
          <w:szCs w:val="22"/>
          <w:highlight w:val="none"/>
        </w:rPr>
      </w:pPr>
    </w:p>
    <w:p w14:paraId="3C1CDAE9">
      <w:pPr>
        <w:widowControl/>
        <w:spacing w:beforeLines="0" w:afterLines="0" w:line="240" w:lineRule="auto"/>
        <w:jc w:val="left"/>
        <w:rPr>
          <w:rFonts w:hint="eastAsia" w:ascii="宋体" w:hAnsi="宋体" w:eastAsia="宋体" w:cs="宋体"/>
          <w:szCs w:val="22"/>
          <w:highlight w:val="none"/>
        </w:rPr>
      </w:pPr>
    </w:p>
    <w:p w14:paraId="62886FB9">
      <w:pPr>
        <w:widowControl/>
        <w:spacing w:beforeLines="0" w:afterLines="0" w:line="240" w:lineRule="auto"/>
        <w:jc w:val="left"/>
        <w:rPr>
          <w:rFonts w:hint="eastAsia" w:ascii="宋体" w:hAnsi="宋体" w:eastAsia="宋体" w:cs="宋体"/>
          <w:szCs w:val="22"/>
          <w:highlight w:val="none"/>
        </w:rPr>
      </w:pPr>
    </w:p>
    <w:p w14:paraId="5421E857">
      <w:pPr>
        <w:widowControl/>
        <w:spacing w:beforeLines="0" w:afterLines="0" w:line="240" w:lineRule="auto"/>
        <w:jc w:val="left"/>
        <w:rPr>
          <w:rFonts w:hint="eastAsia" w:ascii="宋体" w:hAnsi="宋体" w:eastAsia="宋体" w:cs="宋体"/>
          <w:szCs w:val="22"/>
          <w:highlight w:val="none"/>
        </w:rPr>
      </w:pPr>
    </w:p>
    <w:p w14:paraId="466FDD3E">
      <w:pPr>
        <w:widowControl/>
        <w:spacing w:beforeLines="0" w:afterLines="0" w:line="240" w:lineRule="auto"/>
        <w:jc w:val="left"/>
        <w:rPr>
          <w:rFonts w:hint="eastAsia" w:ascii="宋体" w:hAnsi="宋体" w:eastAsia="宋体" w:cs="宋体"/>
          <w:szCs w:val="22"/>
          <w:highlight w:val="none"/>
        </w:rPr>
      </w:pPr>
    </w:p>
    <w:p w14:paraId="3D9AF20C">
      <w:pPr>
        <w:widowControl/>
        <w:spacing w:beforeLines="0" w:afterLines="0" w:line="240" w:lineRule="auto"/>
        <w:jc w:val="left"/>
        <w:rPr>
          <w:rFonts w:hint="eastAsia" w:ascii="宋体" w:hAnsi="宋体" w:eastAsia="宋体" w:cs="宋体"/>
          <w:szCs w:val="22"/>
          <w:highlight w:val="none"/>
        </w:rPr>
      </w:pPr>
    </w:p>
    <w:p w14:paraId="3AAA3B54">
      <w:pPr>
        <w:widowControl/>
        <w:spacing w:beforeLines="0" w:afterLines="0" w:line="240" w:lineRule="auto"/>
        <w:jc w:val="left"/>
        <w:rPr>
          <w:rFonts w:hint="eastAsia" w:ascii="宋体" w:hAnsi="宋体" w:eastAsia="宋体" w:cs="宋体"/>
          <w:szCs w:val="22"/>
          <w:highlight w:val="none"/>
        </w:rPr>
      </w:pPr>
    </w:p>
    <w:p w14:paraId="6A0B19F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9C06F5F">
      <w:pPr>
        <w:widowControl/>
        <w:spacing w:beforeLines="0" w:afterLines="0" w:line="240" w:lineRule="auto"/>
        <w:jc w:val="left"/>
        <w:rPr>
          <w:rFonts w:hint="eastAsia" w:ascii="宋体" w:hAnsi="宋体" w:eastAsia="宋体" w:cs="宋体"/>
          <w:szCs w:val="22"/>
          <w:highlight w:val="none"/>
        </w:rPr>
      </w:pPr>
    </w:p>
    <w:p w14:paraId="3D9EE978">
      <w:pPr>
        <w:widowControl/>
        <w:spacing w:beforeLines="0" w:afterLines="0" w:line="240" w:lineRule="auto"/>
        <w:jc w:val="left"/>
        <w:rPr>
          <w:rFonts w:hint="eastAsia" w:ascii="宋体" w:hAnsi="宋体" w:eastAsia="宋体" w:cs="宋体"/>
          <w:szCs w:val="22"/>
          <w:highlight w:val="none"/>
        </w:rPr>
      </w:pPr>
    </w:p>
    <w:p w14:paraId="70C37478">
      <w:pPr>
        <w:widowControl/>
        <w:spacing w:beforeLines="0" w:afterLines="0" w:line="240" w:lineRule="auto"/>
        <w:jc w:val="left"/>
        <w:rPr>
          <w:rFonts w:hint="eastAsia" w:ascii="宋体" w:hAnsi="宋体" w:eastAsia="宋体" w:cs="宋体"/>
          <w:szCs w:val="22"/>
          <w:highlight w:val="none"/>
        </w:rPr>
      </w:pPr>
    </w:p>
    <w:p w14:paraId="26929270">
      <w:pPr>
        <w:widowControl/>
        <w:spacing w:beforeLines="0" w:afterLines="0" w:line="240" w:lineRule="auto"/>
        <w:jc w:val="left"/>
        <w:rPr>
          <w:rFonts w:hint="eastAsia" w:ascii="宋体" w:hAnsi="宋体" w:eastAsia="宋体" w:cs="宋体"/>
          <w:szCs w:val="22"/>
          <w:highlight w:val="none"/>
        </w:rPr>
      </w:pPr>
    </w:p>
    <w:p w14:paraId="79AB7915">
      <w:pPr>
        <w:widowControl/>
        <w:spacing w:beforeLines="0" w:afterLines="0" w:line="240" w:lineRule="auto"/>
        <w:jc w:val="left"/>
        <w:rPr>
          <w:rFonts w:hint="eastAsia" w:ascii="宋体" w:hAnsi="宋体" w:eastAsia="宋体" w:cs="宋体"/>
          <w:szCs w:val="22"/>
          <w:highlight w:val="none"/>
        </w:rPr>
      </w:pPr>
    </w:p>
    <w:p w14:paraId="28361C91">
      <w:pPr>
        <w:widowControl/>
        <w:spacing w:beforeLines="0" w:afterLines="0" w:line="240" w:lineRule="auto"/>
        <w:jc w:val="left"/>
        <w:rPr>
          <w:rFonts w:hint="eastAsia" w:ascii="宋体" w:hAnsi="宋体" w:eastAsia="宋体" w:cs="宋体"/>
          <w:szCs w:val="22"/>
          <w:highlight w:val="none"/>
        </w:rPr>
      </w:pPr>
    </w:p>
    <w:p w14:paraId="4C1F9BD8">
      <w:pPr>
        <w:widowControl/>
        <w:spacing w:beforeLines="0" w:afterLines="0" w:line="240" w:lineRule="auto"/>
        <w:jc w:val="left"/>
        <w:rPr>
          <w:rFonts w:hint="eastAsia" w:ascii="宋体" w:hAnsi="宋体" w:eastAsia="宋体" w:cs="宋体"/>
          <w:szCs w:val="22"/>
          <w:highlight w:val="none"/>
        </w:rPr>
      </w:pPr>
    </w:p>
    <w:p w14:paraId="7EA5241C">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44"/>
          <w:szCs w:val="44"/>
          <w:highlight w:val="none"/>
          <w:lang w:val="en-US" w:eastAsia="zh-CN" w:bidi="ar-SA"/>
        </w:rPr>
      </w:pPr>
      <w:bookmarkStart w:id="1002" w:name="_Toc9259"/>
      <w:bookmarkStart w:id="1003" w:name="_Toc24329"/>
      <w:bookmarkStart w:id="1004" w:name="_Toc62034583"/>
      <w:bookmarkStart w:id="1005" w:name="_Toc11164"/>
      <w:bookmarkStart w:id="1006" w:name="_Toc91345071"/>
      <w:r>
        <w:rPr>
          <w:rFonts w:hint="eastAsia" w:ascii="宋体" w:hAnsi="宋体" w:eastAsia="宋体" w:cs="宋体"/>
          <w:b/>
          <w:bCs/>
          <w:kern w:val="44"/>
          <w:sz w:val="44"/>
          <w:szCs w:val="44"/>
          <w:highlight w:val="none"/>
          <w:lang w:val="en-US" w:eastAsia="zh-CN" w:bidi="ar-SA"/>
        </w:rPr>
        <w:t>第六章 投标文件格式</w:t>
      </w:r>
      <w:bookmarkEnd w:id="995"/>
      <w:bookmarkEnd w:id="1002"/>
      <w:bookmarkEnd w:id="1003"/>
      <w:bookmarkEnd w:id="1004"/>
      <w:bookmarkEnd w:id="1005"/>
      <w:bookmarkEnd w:id="1006"/>
    </w:p>
    <w:p w14:paraId="4F7E25C9">
      <w:pPr>
        <w:widowControl/>
        <w:spacing w:beforeLines="0" w:afterLines="0" w:line="240" w:lineRule="auto"/>
        <w:jc w:val="left"/>
        <w:rPr>
          <w:rFonts w:hint="eastAsia" w:ascii="宋体" w:hAnsi="宋体" w:eastAsia="宋体" w:cs="宋体"/>
          <w:szCs w:val="22"/>
          <w:highlight w:val="none"/>
        </w:rPr>
      </w:pPr>
    </w:p>
    <w:p w14:paraId="36B12420">
      <w:pPr>
        <w:widowControl/>
        <w:spacing w:beforeLines="-2147483648" w:afterLines="-2147483648" w:line="360" w:lineRule="auto"/>
        <w:jc w:val="left"/>
        <w:rPr>
          <w:rFonts w:hint="eastAsia" w:ascii="Times New Roman" w:hAnsi="Times New Roman" w:eastAsia="宋体" w:cs="Times New Roman"/>
          <w:szCs w:val="22"/>
        </w:rPr>
      </w:pPr>
      <w:bookmarkStart w:id="1007" w:name="_Toc534572435"/>
    </w:p>
    <w:p w14:paraId="07FBAE46">
      <w:pPr>
        <w:widowControl/>
        <w:spacing w:beforeLines="0" w:afterLines="0" w:line="360" w:lineRule="auto"/>
        <w:ind w:firstLine="640" w:firstLineChars="200"/>
        <w:jc w:val="left"/>
        <w:rPr>
          <w:rFonts w:hint="eastAsia" w:ascii="宋体" w:hAnsi="宋体" w:eastAsia="宋体" w:cs="宋体"/>
          <w:szCs w:val="22"/>
          <w:highlight w:val="none"/>
          <w:u w:val="single"/>
        </w:rPr>
      </w:pPr>
      <w:r>
        <w:rPr>
          <w:rFonts w:hint="eastAsia" w:ascii="Times New Roman" w:hAnsi="Times New Roman" w:eastAsia="宋体" w:cs="Times New Roman"/>
          <w:sz w:val="32"/>
          <w:szCs w:val="32"/>
          <w:u w:val="single"/>
          <w:lang w:eastAsia="zh-CN"/>
        </w:rPr>
        <w:t xml:space="preserve"> </w:t>
      </w:r>
      <w:r>
        <w:rPr>
          <w:rFonts w:hint="eastAsia" w:ascii="Times New Roman" w:hAnsi="Times New Roman" w:eastAsia="宋体" w:cs="Times New Roman"/>
          <w:sz w:val="32"/>
          <w:szCs w:val="32"/>
          <w:u w:val="single"/>
          <w:lang w:val="en-US" w:eastAsia="zh-CN"/>
        </w:rPr>
        <w:t xml:space="preserve">                 </w:t>
      </w:r>
      <w:r>
        <w:rPr>
          <w:rFonts w:hint="eastAsia" w:ascii="Times New Roman" w:hAnsi="Times New Roman" w:eastAsia="宋体" w:cs="Times New Roman"/>
          <w:sz w:val="32"/>
          <w:szCs w:val="32"/>
          <w:u w:val="single"/>
          <w:lang w:eastAsia="zh-CN"/>
        </w:rPr>
        <w:t>（项目</w:t>
      </w:r>
      <w:r>
        <w:rPr>
          <w:rFonts w:hint="eastAsia" w:ascii="Times New Roman" w:hAnsi="Times New Roman" w:eastAsia="宋体" w:cs="Times New Roman"/>
          <w:sz w:val="32"/>
          <w:szCs w:val="32"/>
          <w:u w:val="single"/>
          <w:lang w:val="en-US" w:eastAsia="zh-CN"/>
        </w:rPr>
        <w:t>名称</w:t>
      </w:r>
      <w:r>
        <w:rPr>
          <w:rFonts w:hint="eastAsia" w:ascii="Times New Roman" w:hAnsi="Times New Roman" w:eastAsia="宋体" w:cs="Times New Roman"/>
          <w:sz w:val="32"/>
          <w:szCs w:val="32"/>
          <w:u w:val="single"/>
          <w:lang w:eastAsia="zh-CN"/>
        </w:rPr>
        <w:t>）</w:t>
      </w:r>
      <w:r>
        <w:rPr>
          <w:rFonts w:hint="eastAsia" w:ascii="Times New Roman" w:hAnsi="Times New Roman" w:eastAsia="宋体" w:cs="Times New Roman"/>
          <w:sz w:val="32"/>
          <w:szCs w:val="32"/>
          <w:u w:val="single"/>
          <w:lang w:val="en-US" w:eastAsia="zh-CN"/>
        </w:rPr>
        <w:t xml:space="preserve">     （标段名称</w:t>
      </w:r>
      <w:r>
        <w:rPr>
          <w:rFonts w:hint="eastAsia" w:ascii="Times New Roman" w:hAnsi="Times New Roman" w:eastAsia="宋体" w:cs="Times New Roman"/>
          <w:sz w:val="32"/>
          <w:szCs w:val="32"/>
          <w:u w:val="single"/>
          <w:lang w:eastAsia="zh-CN"/>
        </w:rPr>
        <w:t>）</w:t>
      </w:r>
    </w:p>
    <w:p w14:paraId="67345D7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5C4B6E24">
      <w:pPr>
        <w:widowControl/>
        <w:spacing w:beforeLines="0" w:afterLines="0" w:line="240" w:lineRule="auto"/>
        <w:jc w:val="left"/>
        <w:rPr>
          <w:rFonts w:hint="eastAsia" w:ascii="宋体" w:hAnsi="宋体" w:eastAsia="宋体" w:cs="宋体"/>
          <w:sz w:val="20"/>
          <w:szCs w:val="20"/>
          <w:highlight w:val="none"/>
        </w:rPr>
      </w:pPr>
    </w:p>
    <w:p w14:paraId="2766E8C3">
      <w:pPr>
        <w:widowControl/>
        <w:spacing w:beforeLines="0" w:afterLines="0" w:line="240" w:lineRule="auto"/>
        <w:jc w:val="center"/>
        <w:rPr>
          <w:rFonts w:hint="eastAsia" w:ascii="宋体" w:hAnsi="宋体" w:eastAsia="宋体" w:cs="宋体"/>
          <w:sz w:val="44"/>
          <w:szCs w:val="44"/>
          <w:highlight w:val="none"/>
        </w:rPr>
      </w:pPr>
      <w:bookmarkStart w:id="1008" w:name="_Toc221951911"/>
      <w:r>
        <w:rPr>
          <w:rFonts w:hint="eastAsia" w:ascii="宋体" w:hAnsi="宋体" w:eastAsia="宋体" w:cs="宋体"/>
          <w:sz w:val="44"/>
          <w:szCs w:val="44"/>
          <w:highlight w:val="none"/>
        </w:rPr>
        <w:t>投  标  文  件</w:t>
      </w:r>
      <w:bookmarkEnd w:id="1008"/>
    </w:p>
    <w:p w14:paraId="7B7AF4D8">
      <w:pPr>
        <w:widowControl/>
        <w:spacing w:beforeLines="0" w:afterLines="0" w:line="240" w:lineRule="auto"/>
        <w:jc w:val="left"/>
        <w:rPr>
          <w:rFonts w:hint="eastAsia" w:ascii="宋体" w:hAnsi="宋体" w:eastAsia="宋体" w:cs="宋体"/>
          <w:sz w:val="28"/>
          <w:szCs w:val="28"/>
          <w:highlight w:val="none"/>
        </w:rPr>
      </w:pPr>
    </w:p>
    <w:p w14:paraId="4796B765">
      <w:pPr>
        <w:widowControl/>
        <w:spacing w:beforeLines="0" w:afterLines="0" w:line="240" w:lineRule="auto"/>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w:t>
      </w:r>
      <w:r>
        <w:rPr>
          <w:rFonts w:hint="eastAsia" w:ascii="宋体" w:hAnsi="宋体" w:eastAsia="宋体" w:cs="宋体"/>
          <w:color w:val="000000"/>
          <w:sz w:val="30"/>
          <w:szCs w:val="30"/>
          <w:highlight w:val="none"/>
          <w:lang w:val="en-US" w:eastAsia="zh-CN"/>
        </w:rPr>
        <w:t>项目</w:t>
      </w:r>
      <w:r>
        <w:rPr>
          <w:rFonts w:hint="eastAsia" w:ascii="宋体" w:hAnsi="宋体" w:eastAsia="宋体" w:cs="宋体"/>
          <w:color w:val="000000"/>
          <w:sz w:val="30"/>
          <w:szCs w:val="30"/>
          <w:highlight w:val="none"/>
        </w:rPr>
        <w:t>编号：</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w:t>
      </w:r>
    </w:p>
    <w:p w14:paraId="5B24D1AA">
      <w:pPr>
        <w:widowControl/>
        <w:spacing w:beforeLines="0" w:afterLines="0" w:line="240" w:lineRule="auto"/>
        <w:jc w:val="left"/>
        <w:rPr>
          <w:rFonts w:hint="eastAsia" w:ascii="宋体" w:hAnsi="宋体" w:eastAsia="宋体" w:cs="宋体"/>
          <w:sz w:val="28"/>
          <w:szCs w:val="28"/>
          <w:highlight w:val="none"/>
        </w:rPr>
      </w:pPr>
    </w:p>
    <w:p w14:paraId="1365F2EF">
      <w:pPr>
        <w:widowControl/>
        <w:spacing w:beforeLines="0" w:afterLines="0" w:line="240" w:lineRule="auto"/>
        <w:jc w:val="left"/>
        <w:rPr>
          <w:rFonts w:hint="eastAsia" w:ascii="宋体" w:hAnsi="宋体" w:eastAsia="宋体" w:cs="宋体"/>
          <w:sz w:val="28"/>
          <w:szCs w:val="28"/>
          <w:highlight w:val="none"/>
        </w:rPr>
      </w:pPr>
    </w:p>
    <w:p w14:paraId="7DE30C8F">
      <w:pPr>
        <w:widowControl/>
        <w:spacing w:beforeLines="0" w:afterLines="0" w:line="240" w:lineRule="auto"/>
        <w:jc w:val="left"/>
        <w:rPr>
          <w:rFonts w:hint="eastAsia" w:ascii="宋体" w:hAnsi="宋体" w:eastAsia="宋体" w:cs="宋体"/>
          <w:sz w:val="28"/>
          <w:szCs w:val="28"/>
          <w:highlight w:val="none"/>
        </w:rPr>
      </w:pPr>
    </w:p>
    <w:p w14:paraId="78F61851">
      <w:pPr>
        <w:widowControl/>
        <w:spacing w:beforeLines="0" w:afterLines="0" w:line="240" w:lineRule="auto"/>
        <w:jc w:val="left"/>
        <w:rPr>
          <w:rFonts w:hint="eastAsia" w:ascii="宋体" w:hAnsi="宋体" w:eastAsia="宋体" w:cs="宋体"/>
          <w:sz w:val="28"/>
          <w:szCs w:val="28"/>
          <w:highlight w:val="none"/>
        </w:rPr>
      </w:pPr>
    </w:p>
    <w:p w14:paraId="733F7717">
      <w:pPr>
        <w:widowControl/>
        <w:spacing w:beforeLines="0" w:afterLines="0" w:line="240" w:lineRule="auto"/>
        <w:jc w:val="left"/>
        <w:rPr>
          <w:rFonts w:hint="eastAsia" w:ascii="宋体" w:hAnsi="宋体" w:eastAsia="宋体" w:cs="宋体"/>
          <w:sz w:val="28"/>
          <w:szCs w:val="28"/>
          <w:highlight w:val="none"/>
        </w:rPr>
      </w:pPr>
    </w:p>
    <w:p w14:paraId="6900D5F6">
      <w:pPr>
        <w:widowControl/>
        <w:spacing w:beforeLines="0" w:afterLines="0" w:line="240" w:lineRule="auto"/>
        <w:jc w:val="left"/>
        <w:rPr>
          <w:rFonts w:hint="eastAsia" w:ascii="宋体" w:hAnsi="宋体" w:eastAsia="宋体" w:cs="宋体"/>
          <w:sz w:val="28"/>
          <w:szCs w:val="28"/>
          <w:highlight w:val="none"/>
        </w:rPr>
      </w:pPr>
    </w:p>
    <w:p w14:paraId="69A51DBC">
      <w:pPr>
        <w:widowControl/>
        <w:spacing w:beforeLines="0" w:afterLines="0" w:line="240" w:lineRule="auto"/>
        <w:jc w:val="left"/>
        <w:rPr>
          <w:rFonts w:hint="eastAsia" w:ascii="宋体" w:hAnsi="宋体" w:eastAsia="宋体" w:cs="宋体"/>
          <w:sz w:val="28"/>
          <w:szCs w:val="28"/>
          <w:highlight w:val="none"/>
        </w:rPr>
      </w:pPr>
    </w:p>
    <w:p w14:paraId="7EBA9AF4">
      <w:pPr>
        <w:widowControl/>
        <w:spacing w:beforeLines="0" w:afterLines="0" w:line="240" w:lineRule="auto"/>
        <w:jc w:val="left"/>
        <w:rPr>
          <w:rFonts w:hint="eastAsia" w:ascii="宋体" w:hAnsi="宋体" w:eastAsia="宋体" w:cs="宋体"/>
          <w:sz w:val="28"/>
          <w:szCs w:val="28"/>
          <w:highlight w:val="none"/>
        </w:rPr>
      </w:pPr>
    </w:p>
    <w:p w14:paraId="67E74A92">
      <w:pPr>
        <w:widowControl/>
        <w:spacing w:beforeLines="0" w:afterLines="0" w:line="240" w:lineRule="auto"/>
        <w:jc w:val="left"/>
        <w:rPr>
          <w:rFonts w:hint="eastAsia" w:ascii="宋体" w:hAnsi="宋体" w:eastAsia="宋体" w:cs="宋体"/>
          <w:sz w:val="28"/>
          <w:szCs w:val="28"/>
          <w:highlight w:val="none"/>
        </w:rPr>
      </w:pPr>
    </w:p>
    <w:p w14:paraId="39E70072">
      <w:pPr>
        <w:widowControl/>
        <w:spacing w:beforeLines="0" w:afterLines="0" w:line="240" w:lineRule="auto"/>
        <w:jc w:val="left"/>
        <w:rPr>
          <w:rFonts w:hint="eastAsia" w:ascii="宋体" w:hAnsi="宋体" w:eastAsia="宋体" w:cs="宋体"/>
          <w:sz w:val="28"/>
          <w:szCs w:val="28"/>
          <w:highlight w:val="none"/>
        </w:rPr>
      </w:pPr>
    </w:p>
    <w:p w14:paraId="0572B779">
      <w:pPr>
        <w:widowControl/>
        <w:spacing w:beforeLines="0" w:afterLines="0" w:line="240" w:lineRule="auto"/>
        <w:jc w:val="left"/>
        <w:rPr>
          <w:rFonts w:hint="eastAsia" w:ascii="宋体" w:hAnsi="宋体" w:eastAsia="宋体" w:cs="宋体"/>
          <w:sz w:val="28"/>
          <w:szCs w:val="28"/>
          <w:highlight w:val="none"/>
        </w:rPr>
      </w:pPr>
    </w:p>
    <w:p w14:paraId="45215F59">
      <w:pPr>
        <w:spacing w:beforeLines="0" w:after="0" w:afterLines="0" w:line="240" w:lineRule="auto"/>
        <w:rPr>
          <w:rFonts w:hint="eastAsia" w:ascii="宋体" w:hAnsi="宋体" w:eastAsia="宋体" w:cs="宋体"/>
          <w:kern w:val="2"/>
          <w:sz w:val="21"/>
          <w:szCs w:val="22"/>
          <w:highlight w:val="none"/>
          <w:lang w:val="en-US" w:eastAsia="zh-CN" w:bidi="ar-SA"/>
        </w:rPr>
      </w:pPr>
    </w:p>
    <w:p w14:paraId="7B5D4418">
      <w:pPr>
        <w:spacing w:beforeLines="0" w:after="0" w:afterLines="0" w:line="240" w:lineRule="auto"/>
        <w:rPr>
          <w:rFonts w:hint="eastAsia" w:ascii="宋体" w:hAnsi="宋体" w:eastAsia="宋体" w:cs="宋体"/>
          <w:kern w:val="2"/>
          <w:sz w:val="21"/>
          <w:szCs w:val="22"/>
          <w:highlight w:val="none"/>
          <w:lang w:val="en-US" w:eastAsia="zh-CN" w:bidi="ar-SA"/>
        </w:rPr>
      </w:pPr>
    </w:p>
    <w:p w14:paraId="03B96A39">
      <w:pPr>
        <w:widowControl/>
        <w:spacing w:beforeLines="0" w:afterLines="0" w:line="240" w:lineRule="auto"/>
        <w:jc w:val="left"/>
        <w:rPr>
          <w:rFonts w:hint="eastAsia" w:ascii="宋体" w:hAnsi="宋体" w:eastAsia="宋体" w:cs="宋体"/>
          <w:sz w:val="28"/>
          <w:szCs w:val="28"/>
          <w:highlight w:val="none"/>
        </w:rPr>
      </w:pPr>
    </w:p>
    <w:p w14:paraId="41AA980B">
      <w:pPr>
        <w:spacing w:beforeLines="0" w:after="0" w:afterLines="0" w:line="240" w:lineRule="auto"/>
        <w:rPr>
          <w:rFonts w:hint="eastAsia" w:ascii="宋体" w:hAnsi="宋体" w:eastAsia="宋体" w:cs="宋体"/>
          <w:kern w:val="2"/>
          <w:sz w:val="21"/>
          <w:szCs w:val="22"/>
          <w:highlight w:val="none"/>
          <w:lang w:val="en-US" w:eastAsia="zh-CN" w:bidi="ar-SA"/>
        </w:rPr>
      </w:pPr>
    </w:p>
    <w:p w14:paraId="18EC0531">
      <w:pPr>
        <w:widowControl/>
        <w:spacing w:beforeLines="0" w:afterLines="0" w:line="360" w:lineRule="auto"/>
        <w:jc w:val="center"/>
        <w:rPr>
          <w:rFonts w:hint="eastAsia" w:ascii="宋体" w:hAnsi="宋体" w:eastAsia="宋体" w:cs="宋体"/>
          <w:sz w:val="28"/>
          <w:szCs w:val="28"/>
          <w:highlight w:val="none"/>
        </w:rPr>
      </w:pPr>
      <w:bookmarkStart w:id="1009" w:name="_Toc221951912"/>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盖单位章</w:t>
      </w:r>
      <w:r>
        <w:rPr>
          <w:rFonts w:hint="eastAsia" w:ascii="宋体" w:hAnsi="宋体" w:eastAsia="宋体" w:cs="宋体"/>
          <w:sz w:val="28"/>
          <w:szCs w:val="28"/>
          <w:highlight w:val="none"/>
        </w:rPr>
        <w:t>）</w:t>
      </w:r>
    </w:p>
    <w:p w14:paraId="5B12CCE5">
      <w:pPr>
        <w:widowControl/>
        <w:spacing w:beforeLines="0" w:afterLines="0" w:line="360" w:lineRule="auto"/>
        <w:ind w:firstLine="840" w:firstLineChars="3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法定代表人或其委托代理人：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签字或盖章</w:t>
      </w:r>
      <w:r>
        <w:rPr>
          <w:rFonts w:hint="eastAsia" w:ascii="宋体" w:hAnsi="宋体" w:eastAsia="宋体" w:cs="宋体"/>
          <w:sz w:val="28"/>
          <w:szCs w:val="28"/>
          <w:highlight w:val="none"/>
        </w:rPr>
        <w:t xml:space="preserve">） </w:t>
      </w:r>
      <w:bookmarkEnd w:id="1009"/>
    </w:p>
    <w:p w14:paraId="18689ADE">
      <w:pPr>
        <w:widowControl/>
        <w:spacing w:beforeLines="0" w:afterLines="0" w:line="360" w:lineRule="auto"/>
        <w:ind w:firstLine="2520" w:firstLineChars="900"/>
        <w:jc w:val="left"/>
        <w:rPr>
          <w:rFonts w:hint="eastAsia" w:ascii="宋体" w:hAnsi="宋体" w:eastAsia="宋体" w:cs="宋体"/>
          <w:szCs w:val="22"/>
          <w:highlight w:val="none"/>
        </w:rPr>
      </w:pPr>
      <w:r>
        <w:rPr>
          <w:rFonts w:hint="eastAsia" w:ascii="宋体" w:hAnsi="宋体" w:eastAsia="宋体" w:cs="宋体"/>
          <w:sz w:val="28"/>
          <w:szCs w:val="28"/>
          <w:highlight w:val="none"/>
          <w:u w:val="single"/>
        </w:rPr>
        <w:t xml:space="preserve">        </w:t>
      </w:r>
      <w:bookmarkStart w:id="1010" w:name="_Toc221951914"/>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bookmarkEnd w:id="1010"/>
    </w:p>
    <w:p w14:paraId="3B657ECD">
      <w:pPr>
        <w:widowControl/>
        <w:spacing w:beforeLines="0" w:afterLines="0" w:line="240" w:lineRule="auto"/>
        <w:jc w:val="left"/>
        <w:rPr>
          <w:rFonts w:hint="eastAsia" w:ascii="宋体" w:hAnsi="宋体" w:eastAsia="宋体" w:cs="宋体"/>
          <w:szCs w:val="22"/>
          <w:highlight w:val="none"/>
        </w:rPr>
      </w:pPr>
    </w:p>
    <w:p w14:paraId="49734353">
      <w:pPr>
        <w:widowControl/>
        <w:spacing w:beforeLines="0" w:afterLines="0" w:line="240" w:lineRule="auto"/>
        <w:jc w:val="left"/>
        <w:rPr>
          <w:rFonts w:hint="eastAsia" w:ascii="宋体" w:hAnsi="宋体" w:eastAsia="宋体" w:cs="宋体"/>
          <w:szCs w:val="22"/>
          <w:highlight w:val="none"/>
        </w:rPr>
      </w:pPr>
    </w:p>
    <w:p w14:paraId="519836B9">
      <w:pPr>
        <w:widowControl/>
        <w:spacing w:beforeLines="0" w:afterLines="0" w:line="240" w:lineRule="auto"/>
        <w:jc w:val="left"/>
        <w:rPr>
          <w:rFonts w:hint="eastAsia" w:ascii="宋体" w:hAnsi="宋体" w:eastAsia="宋体" w:cs="宋体"/>
          <w:szCs w:val="22"/>
          <w:highlight w:val="none"/>
        </w:rPr>
      </w:pPr>
    </w:p>
    <w:p w14:paraId="304DA252">
      <w:pPr>
        <w:widowControl/>
        <w:spacing w:beforeLines="0" w:afterLines="0" w:line="240" w:lineRule="auto"/>
        <w:jc w:val="left"/>
        <w:rPr>
          <w:rFonts w:hint="eastAsia" w:ascii="宋体" w:hAnsi="宋体" w:eastAsia="宋体" w:cs="宋体"/>
          <w:szCs w:val="22"/>
          <w:highlight w:val="none"/>
        </w:rPr>
      </w:pPr>
    </w:p>
    <w:p w14:paraId="642B1B37">
      <w:pPr>
        <w:widowControl/>
        <w:spacing w:beforeLines="-2147483648" w:afterLines="-2147483648" w:line="240" w:lineRule="auto"/>
        <w:jc w:val="left"/>
        <w:rPr>
          <w:rFonts w:hint="eastAsia" w:ascii="宋体" w:hAnsi="宋体" w:eastAsia="宋体" w:cs="宋体"/>
          <w:b/>
          <w:bCs/>
          <w:sz w:val="32"/>
          <w:szCs w:val="32"/>
          <w:highlight w:val="none"/>
        </w:rPr>
      </w:pPr>
      <w:bookmarkStart w:id="1011" w:name="_Toc54550866"/>
      <w:bookmarkStart w:id="1012" w:name="_Toc229305419"/>
      <w:bookmarkStart w:id="1013" w:name="_Toc256079633"/>
      <w:bookmarkStart w:id="1014" w:name="_Toc62034584"/>
      <w:bookmarkStart w:id="1015" w:name="_Toc3964"/>
      <w:bookmarkStart w:id="1016" w:name="_Toc10292"/>
      <w:bookmarkStart w:id="1017" w:name="_Toc266886256"/>
      <w:r>
        <w:rPr>
          <w:rFonts w:hint="eastAsia" w:ascii="宋体" w:hAnsi="宋体" w:eastAsia="宋体" w:cs="宋体"/>
          <w:b/>
          <w:bCs/>
          <w:sz w:val="32"/>
          <w:szCs w:val="32"/>
          <w:highlight w:val="none"/>
        </w:rPr>
        <w:br w:type="page"/>
      </w:r>
    </w:p>
    <w:p w14:paraId="543EC9F8">
      <w:pPr>
        <w:widowControl/>
        <w:spacing w:beforeLines="0" w:afterLines="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    录</w:t>
      </w:r>
      <w:bookmarkEnd w:id="1011"/>
      <w:bookmarkEnd w:id="1012"/>
      <w:bookmarkEnd w:id="1013"/>
      <w:bookmarkEnd w:id="1014"/>
      <w:bookmarkEnd w:id="1015"/>
      <w:bookmarkEnd w:id="1016"/>
      <w:bookmarkEnd w:id="1017"/>
    </w:p>
    <w:p w14:paraId="01B38259">
      <w:pPr>
        <w:tabs>
          <w:tab w:val="right" w:leader="dot" w:pos="9070"/>
        </w:tabs>
        <w:adjustRightInd w:val="0"/>
        <w:snapToGrid w:val="0"/>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0B3968CF">
      <w:pPr>
        <w:tabs>
          <w:tab w:val="right" w:leader="dot" w:pos="9070"/>
        </w:tabs>
        <w:adjustRightInd/>
        <w:snapToGrid/>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46215C5A">
      <w:pPr>
        <w:widowControl/>
        <w:jc w:val="left"/>
        <w:rPr>
          <w:rFonts w:hint="eastAsia" w:ascii="宋体" w:hAnsi="宋体" w:eastAsia="宋体" w:cs="宋体"/>
          <w:szCs w:val="24"/>
          <w:highlight w:val="none"/>
        </w:rPr>
      </w:pPr>
    </w:p>
    <w:p w14:paraId="732910F7">
      <w:pPr>
        <w:widowControl/>
        <w:jc w:val="left"/>
        <w:rPr>
          <w:rFonts w:hint="eastAsia" w:ascii="宋体" w:hAnsi="宋体" w:eastAsia="宋体" w:cs="宋体"/>
          <w:szCs w:val="24"/>
          <w:highlight w:val="none"/>
        </w:rPr>
      </w:pPr>
    </w:p>
    <w:p w14:paraId="541233E2">
      <w:pPr>
        <w:widowControl/>
        <w:jc w:val="left"/>
        <w:rPr>
          <w:rFonts w:hint="eastAsia" w:ascii="宋体" w:hAnsi="宋体" w:eastAsia="宋体" w:cs="宋体"/>
          <w:szCs w:val="24"/>
          <w:highlight w:val="none"/>
        </w:rPr>
      </w:pPr>
    </w:p>
    <w:p w14:paraId="0AEC857E">
      <w:pPr>
        <w:widowControl/>
        <w:jc w:val="left"/>
        <w:rPr>
          <w:rFonts w:hint="eastAsia" w:ascii="宋体" w:hAnsi="宋体" w:eastAsia="宋体" w:cs="宋体"/>
          <w:szCs w:val="24"/>
          <w:highlight w:val="none"/>
        </w:rPr>
      </w:pPr>
    </w:p>
    <w:p w14:paraId="0F172403">
      <w:pPr>
        <w:widowControl/>
        <w:jc w:val="left"/>
        <w:rPr>
          <w:rFonts w:hint="eastAsia" w:ascii="宋体" w:hAnsi="宋体" w:eastAsia="宋体" w:cs="宋体"/>
          <w:szCs w:val="24"/>
          <w:highlight w:val="none"/>
        </w:rPr>
      </w:pPr>
    </w:p>
    <w:p w14:paraId="54B532A2">
      <w:pPr>
        <w:widowControl/>
        <w:jc w:val="left"/>
        <w:rPr>
          <w:rFonts w:hint="eastAsia" w:ascii="宋体" w:hAnsi="宋体" w:eastAsia="宋体" w:cs="宋体"/>
          <w:szCs w:val="24"/>
          <w:highlight w:val="none"/>
        </w:rPr>
      </w:pPr>
    </w:p>
    <w:p w14:paraId="71BA3AA2">
      <w:pPr>
        <w:widowControl/>
        <w:jc w:val="left"/>
        <w:rPr>
          <w:rFonts w:hint="eastAsia" w:ascii="宋体" w:hAnsi="宋体" w:eastAsia="宋体" w:cs="宋体"/>
          <w:szCs w:val="24"/>
          <w:highlight w:val="none"/>
        </w:rPr>
      </w:pPr>
    </w:p>
    <w:p w14:paraId="34CF43F1">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4B33C8E">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6216F8D">
      <w:pPr>
        <w:widowControl/>
        <w:tabs>
          <w:tab w:val="left" w:pos="1277"/>
        </w:tabs>
        <w:spacing w:beforeLines="0" w:afterLines="0" w:line="240" w:lineRule="auto"/>
        <w:ind w:firstLine="0" w:firstLineChars="0"/>
        <w:jc w:val="left"/>
        <w:rPr>
          <w:rFonts w:hint="eastAsia" w:ascii="宋体" w:hAnsi="宋体" w:eastAsia="宋体" w:cs="宋体"/>
          <w:bCs/>
          <w:kern w:val="44"/>
          <w:szCs w:val="21"/>
          <w:highlight w:val="none"/>
        </w:rPr>
      </w:pPr>
      <w:r>
        <w:rPr>
          <w:rFonts w:hint="eastAsia" w:ascii="宋体" w:hAnsi="宋体" w:eastAsia="宋体" w:cs="宋体"/>
          <w:bCs/>
          <w:kern w:val="44"/>
          <w:szCs w:val="21"/>
          <w:highlight w:val="none"/>
        </w:rPr>
        <w:t>注：投标人可设置分级标题，编制目录和页码。</w:t>
      </w:r>
    </w:p>
    <w:p w14:paraId="02AC05E9">
      <w:pPr>
        <w:widowControl/>
        <w:adjustRightInd w:val="0"/>
        <w:snapToGrid w:val="0"/>
        <w:spacing w:before="0" w:beforeLines="0" w:after="0" w:afterLines="0" w:line="360" w:lineRule="auto"/>
        <w:ind w:firstLine="482" w:firstLineChars="200"/>
        <w:jc w:val="center"/>
        <w:outlineLvl w:val="1"/>
        <w:rPr>
          <w:rFonts w:hint="eastAsia" w:ascii="宋体" w:hAnsi="宋体" w:eastAsia="宋体" w:cs="宋体"/>
          <w:sz w:val="28"/>
          <w:szCs w:val="28"/>
          <w:highlight w:val="none"/>
        </w:rPr>
      </w:pPr>
      <w:bookmarkStart w:id="1018" w:name="_Toc516254810"/>
      <w:bookmarkStart w:id="1019" w:name="_Toc516149291"/>
      <w:bookmarkStart w:id="1020" w:name="_Toc21417"/>
      <w:r>
        <w:rPr>
          <w:rFonts w:hint="eastAsia" w:ascii="宋体" w:hAnsi="宋体" w:eastAsia="宋体" w:cs="宋体"/>
          <w:b/>
          <w:sz w:val="24"/>
          <w:szCs w:val="24"/>
          <w:highlight w:val="none"/>
        </w:rPr>
        <w:br w:type="page"/>
      </w:r>
      <w:bookmarkEnd w:id="1007"/>
      <w:bookmarkEnd w:id="1018"/>
      <w:bookmarkEnd w:id="1019"/>
      <w:bookmarkEnd w:id="1020"/>
      <w:bookmarkStart w:id="1021" w:name="_Toc8680"/>
      <w:bookmarkStart w:id="1022" w:name="_Toc32153"/>
      <w:bookmarkStart w:id="1023" w:name="_Toc62034585"/>
      <w:bookmarkStart w:id="1024" w:name="_Toc91345072"/>
      <w:bookmarkStart w:id="1025" w:name="_Toc11879"/>
      <w:bookmarkStart w:id="1026" w:name="_Toc26513"/>
      <w:r>
        <w:rPr>
          <w:rFonts w:hint="eastAsia" w:ascii="宋体" w:hAnsi="宋体" w:eastAsia="宋体" w:cs="宋体"/>
          <w:b/>
          <w:sz w:val="24"/>
          <w:szCs w:val="24"/>
          <w:highlight w:val="none"/>
        </w:rPr>
        <w:t>一、投标函及投标函附录</w:t>
      </w:r>
      <w:bookmarkEnd w:id="1021"/>
      <w:bookmarkEnd w:id="1022"/>
      <w:bookmarkEnd w:id="1023"/>
      <w:bookmarkEnd w:id="1024"/>
      <w:bookmarkEnd w:id="1025"/>
      <w:bookmarkEnd w:id="1026"/>
    </w:p>
    <w:p w14:paraId="53CFCCDE">
      <w:pPr>
        <w:keepNext/>
        <w:keepLines/>
        <w:numPr>
          <w:ilvl w:val="3"/>
          <w:numId w:val="0"/>
        </w:numPr>
        <w:adjustRightInd w:val="0"/>
        <w:snapToGrid w:val="0"/>
        <w:spacing w:before="0" w:beforeLines="0" w:beforeAutospacing="0" w:after="0" w:afterLines="0" w:afterAutospacing="0" w:line="360" w:lineRule="auto"/>
        <w:ind w:firstLine="482" w:firstLineChars="200"/>
        <w:jc w:val="center"/>
        <w:outlineLvl w:val="2"/>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（一）投标函</w:t>
      </w:r>
    </w:p>
    <w:p w14:paraId="78EF807A">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（招标人名称） </w:t>
      </w:r>
    </w:p>
    <w:p w14:paraId="4FAAE736">
      <w:pPr>
        <w:keepNext w:val="0"/>
        <w:keepLines w:val="0"/>
        <w:pageBreakBefore w:val="0"/>
        <w:widowControl w:val="0"/>
        <w:kinsoku/>
        <w:wordWrap w:val="0"/>
        <w:overflowPunct/>
        <w:topLinePunct w:val="0"/>
        <w:autoSpaceDE/>
        <w:autoSpaceDN/>
        <w:bidi w:val="0"/>
        <w:adjustRightInd/>
        <w:snapToGrid/>
        <w:spacing w:before="0" w:beforeLines="0" w:afterLines="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1、我方已仔细研究了</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招标文件的全部内容，愿按照招标文件中规定的条款和要求，完成本项目。投标总报价为（大写）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元</w:t>
      </w:r>
      <w:r>
        <w:rPr>
          <w:rFonts w:hint="eastAsia" w:ascii="宋体" w:hAnsi="宋体" w:eastAsia="宋体" w:cs="宋体"/>
          <w:sz w:val="21"/>
          <w:szCs w:val="21"/>
          <w:highlight w:val="none"/>
        </w:rPr>
        <w:t>），供货期（服务期）：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质量标准</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5758650A">
      <w:pPr>
        <w:keepNext w:val="0"/>
        <w:keepLines w:val="0"/>
        <w:pageBreakBefore w:val="0"/>
        <w:widowControl w:val="0"/>
        <w:kinsoku/>
        <w:wordWrap w:val="0"/>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2、我方承诺在投标有效期内不修改、撤销投标文件。 </w:t>
      </w:r>
    </w:p>
    <w:p w14:paraId="372E426F">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3、投标保证金已按招标文件规定提交，金额为人民币（大写）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72619E6B">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4、如我方中标： </w:t>
      </w:r>
    </w:p>
    <w:p w14:paraId="014904E0">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（1）我方承诺在收到中标通知书后，在中标通知书规定的期限内与你方签订合同。 </w:t>
      </w:r>
    </w:p>
    <w:p w14:paraId="4B65B554">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（2）随同本投标函递交的投标函附录属于合同文件的组成部分。 </w:t>
      </w:r>
    </w:p>
    <w:p w14:paraId="0EF3AC67">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（3）我方承诺按照招标文件规定向你方递交履约担保。 </w:t>
      </w:r>
    </w:p>
    <w:p w14:paraId="5541F205">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（4）我方承诺在合同约定的期限内完成本项目。 </w:t>
      </w:r>
    </w:p>
    <w:p w14:paraId="2C39ADFC">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5、我方在此声明，所递交的投标文件及有关资料内容完整、真实和准确, 且不存在第二章“投标人须知”第1.4.3项规定的任何一种情形。 </w:t>
      </w:r>
    </w:p>
    <w:p w14:paraId="7FDCCE96">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EF596FD">
      <w:pPr>
        <w:widowControl/>
        <w:spacing w:beforeLines="0" w:afterLines="0" w:line="360" w:lineRule="auto"/>
        <w:ind w:firstLine="420" w:firstLineChars="200"/>
        <w:jc w:val="left"/>
        <w:rPr>
          <w:rFonts w:hint="eastAsia" w:ascii="宋体" w:hAnsi="宋体" w:eastAsia="宋体" w:cs="宋体"/>
          <w:sz w:val="21"/>
          <w:szCs w:val="21"/>
          <w:highlight w:val="none"/>
        </w:rPr>
      </w:pPr>
    </w:p>
    <w:p w14:paraId="337BC0FB">
      <w:pPr>
        <w:widowControl/>
        <w:spacing w:beforeLines="0" w:afterLines="0" w:line="360" w:lineRule="auto"/>
        <w:ind w:firstLine="420" w:firstLineChars="200"/>
        <w:jc w:val="left"/>
        <w:rPr>
          <w:rFonts w:hint="eastAsia" w:ascii="宋体" w:hAnsi="宋体" w:eastAsia="宋体" w:cs="宋体"/>
          <w:sz w:val="21"/>
          <w:szCs w:val="21"/>
          <w:highlight w:val="none"/>
        </w:rPr>
      </w:pPr>
    </w:p>
    <w:p w14:paraId="44451903">
      <w:pPr>
        <w:widowControl/>
        <w:spacing w:line="360" w:lineRule="auto"/>
        <w:jc w:val="center"/>
        <w:rPr>
          <w:rFonts w:hint="eastAsia" w:ascii="宋体" w:hAnsi="宋体" w:eastAsia="宋体" w:cs="宋体"/>
          <w:color w:val="auto"/>
          <w:sz w:val="21"/>
          <w:szCs w:val="21"/>
          <w:highlight w:val="none"/>
        </w:rPr>
      </w:pPr>
      <w:bookmarkStart w:id="1027" w:name="_Toc221951939"/>
      <w:bookmarkStart w:id="1028" w:name="_Toc534572438"/>
      <w:bookmarkStart w:id="1029" w:name="_Toc10116"/>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bookmarkEnd w:id="1027"/>
      <w:r>
        <w:rPr>
          <w:rFonts w:hint="eastAsia" w:ascii="宋体" w:hAnsi="宋体" w:eastAsia="宋体" w:cs="宋体"/>
          <w:color w:val="auto"/>
          <w:sz w:val="21"/>
          <w:szCs w:val="21"/>
          <w:highlight w:val="none"/>
        </w:rPr>
        <w:t>（盖单位章）</w:t>
      </w:r>
    </w:p>
    <w:p w14:paraId="06BC34D5">
      <w:pPr>
        <w:widowControl/>
        <w:spacing w:line="360" w:lineRule="auto"/>
        <w:jc w:val="right"/>
        <w:rPr>
          <w:rFonts w:hint="eastAsia" w:ascii="宋体" w:hAnsi="宋体" w:eastAsia="宋体" w:cs="宋体"/>
          <w:color w:val="auto"/>
          <w:sz w:val="21"/>
          <w:szCs w:val="21"/>
          <w:highlight w:val="none"/>
        </w:rPr>
      </w:pPr>
      <w:bookmarkStart w:id="1030" w:name="_Toc221951940"/>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bookmarkEnd w:id="1030"/>
    </w:p>
    <w:p w14:paraId="2E9FC78A">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1" w:name="_Toc221951941"/>
      <w:r>
        <w:rPr>
          <w:rFonts w:hint="eastAsia" w:ascii="宋体" w:hAnsi="宋体" w:eastAsia="宋体" w:cs="宋体"/>
          <w:color w:val="auto"/>
          <w:sz w:val="21"/>
          <w:szCs w:val="21"/>
          <w:highlight w:val="none"/>
        </w:rPr>
        <w:t>地址：</w:t>
      </w:r>
      <w:bookmarkEnd w:id="1031"/>
      <w:r>
        <w:rPr>
          <w:rFonts w:hint="eastAsia" w:ascii="宋体" w:hAnsi="宋体" w:eastAsia="宋体" w:cs="宋体"/>
          <w:color w:val="auto"/>
          <w:sz w:val="21"/>
          <w:szCs w:val="21"/>
          <w:highlight w:val="none"/>
          <w:u w:val="single"/>
        </w:rPr>
        <w:t xml:space="preserve">                                     </w:t>
      </w:r>
    </w:p>
    <w:p w14:paraId="4A480B8F">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2" w:name="_Toc221951942"/>
      <w:r>
        <w:rPr>
          <w:rFonts w:hint="eastAsia" w:ascii="宋体" w:hAnsi="宋体" w:eastAsia="宋体" w:cs="宋体"/>
          <w:color w:val="auto"/>
          <w:sz w:val="21"/>
          <w:szCs w:val="21"/>
          <w:highlight w:val="none"/>
        </w:rPr>
        <w:t>网址：</w:t>
      </w:r>
      <w:bookmarkEnd w:id="1032"/>
      <w:r>
        <w:rPr>
          <w:rFonts w:hint="eastAsia" w:ascii="宋体" w:hAnsi="宋体" w:eastAsia="宋体" w:cs="宋体"/>
          <w:color w:val="auto"/>
          <w:sz w:val="21"/>
          <w:szCs w:val="21"/>
          <w:highlight w:val="none"/>
          <w:u w:val="single"/>
        </w:rPr>
        <w:t xml:space="preserve">                                     </w:t>
      </w:r>
    </w:p>
    <w:p w14:paraId="0D29492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3" w:name="_Toc221951943"/>
      <w:r>
        <w:rPr>
          <w:rFonts w:hint="eastAsia" w:ascii="宋体" w:hAnsi="宋体" w:eastAsia="宋体" w:cs="宋体"/>
          <w:color w:val="auto"/>
          <w:sz w:val="21"/>
          <w:szCs w:val="21"/>
          <w:highlight w:val="none"/>
        </w:rPr>
        <w:t>电话：</w:t>
      </w:r>
      <w:bookmarkEnd w:id="1033"/>
      <w:r>
        <w:rPr>
          <w:rFonts w:hint="eastAsia" w:ascii="宋体" w:hAnsi="宋体" w:eastAsia="宋体" w:cs="宋体"/>
          <w:color w:val="auto"/>
          <w:sz w:val="21"/>
          <w:szCs w:val="21"/>
          <w:highlight w:val="none"/>
          <w:u w:val="single"/>
        </w:rPr>
        <w:t xml:space="preserve">                                     </w:t>
      </w:r>
    </w:p>
    <w:p w14:paraId="768E4F70">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4" w:name="_Toc221951944"/>
      <w:r>
        <w:rPr>
          <w:rFonts w:hint="eastAsia" w:ascii="宋体" w:hAnsi="宋体" w:eastAsia="宋体" w:cs="宋体"/>
          <w:color w:val="auto"/>
          <w:sz w:val="21"/>
          <w:szCs w:val="21"/>
          <w:highlight w:val="none"/>
        </w:rPr>
        <w:t>传真：</w:t>
      </w:r>
      <w:bookmarkEnd w:id="1034"/>
      <w:r>
        <w:rPr>
          <w:rFonts w:hint="eastAsia" w:ascii="宋体" w:hAnsi="宋体" w:eastAsia="宋体" w:cs="宋体"/>
          <w:color w:val="auto"/>
          <w:sz w:val="21"/>
          <w:szCs w:val="21"/>
          <w:highlight w:val="none"/>
          <w:u w:val="single"/>
        </w:rPr>
        <w:t xml:space="preserve">                                     </w:t>
      </w:r>
    </w:p>
    <w:p w14:paraId="475BD68F">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1035" w:name="_Toc221951945"/>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箱</w:t>
      </w:r>
      <w:r>
        <w:rPr>
          <w:rFonts w:hint="eastAsia" w:ascii="宋体" w:hAnsi="宋体" w:eastAsia="宋体" w:cs="宋体"/>
          <w:color w:val="auto"/>
          <w:sz w:val="21"/>
          <w:szCs w:val="21"/>
          <w:highlight w:val="none"/>
        </w:rPr>
        <w:t>：</w:t>
      </w:r>
      <w:bookmarkEnd w:id="1035"/>
      <w:r>
        <w:rPr>
          <w:rFonts w:hint="eastAsia" w:ascii="宋体" w:hAnsi="宋体" w:eastAsia="宋体" w:cs="宋体"/>
          <w:color w:val="auto"/>
          <w:sz w:val="21"/>
          <w:szCs w:val="21"/>
          <w:highlight w:val="none"/>
          <w:u w:val="single"/>
        </w:rPr>
        <w:t xml:space="preserve">                                 </w:t>
      </w:r>
    </w:p>
    <w:p w14:paraId="0F59FD6B">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p>
    <w:p w14:paraId="7FF94FB2">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r>
        <w:rPr>
          <w:rFonts w:hint="eastAsia" w:ascii="宋体" w:hAnsi="宋体" w:eastAsia="宋体" w:cs="宋体"/>
          <w:b/>
          <w:kern w:val="44"/>
          <w:sz w:val="21"/>
          <w:szCs w:val="21"/>
          <w:highlight w:val="none"/>
        </w:rPr>
        <w:t>注：签订合同时以本投标函为准。</w:t>
      </w:r>
    </w:p>
    <w:p w14:paraId="0AABB31A">
      <w:pPr>
        <w:keepNext/>
        <w:keepLines/>
        <w:numPr>
          <w:ilvl w:val="3"/>
          <w:numId w:val="0"/>
        </w:numPr>
        <w:adjustRightInd w:val="0"/>
        <w:snapToGrid w:val="0"/>
        <w:spacing w:before="0" w:beforeLines="0" w:beforeAutospacing="0" w:after="0" w:afterLines="0" w:afterAutospacing="0" w:line="240" w:lineRule="auto"/>
        <w:jc w:val="center"/>
        <w:outlineLvl w:val="2"/>
        <w:rPr>
          <w:rFonts w:hint="eastAsia" w:ascii="宋体" w:hAnsi="宋体" w:eastAsia="宋体" w:cs="宋体"/>
          <w:b/>
          <w:kern w:val="2"/>
          <w:sz w:val="32"/>
          <w:szCs w:val="22"/>
          <w:highlight w:val="none"/>
          <w:lang w:val="en-US" w:eastAsia="zh-CN" w:bidi="ar-SA"/>
        </w:rPr>
      </w:pPr>
      <w:r>
        <w:rPr>
          <w:rFonts w:hint="eastAsia" w:ascii="宋体" w:hAnsi="宋体" w:eastAsia="宋体" w:cs="宋体"/>
          <w:b/>
          <w:kern w:val="2"/>
          <w:sz w:val="32"/>
          <w:szCs w:val="22"/>
          <w:highlight w:val="none"/>
          <w:lang w:val="en-US" w:eastAsia="zh-CN" w:bidi="ar-SA"/>
        </w:rPr>
        <w:br w:type="page"/>
      </w:r>
      <w:r>
        <w:rPr>
          <w:rFonts w:hint="eastAsia" w:ascii="宋体" w:hAnsi="宋体" w:eastAsia="宋体" w:cs="宋体"/>
          <w:b/>
          <w:kern w:val="2"/>
          <w:sz w:val="24"/>
          <w:szCs w:val="24"/>
          <w:highlight w:val="none"/>
          <w:lang w:val="en-US" w:eastAsia="zh-CN" w:bidi="ar-SA"/>
        </w:rPr>
        <w:t>（二）投标函附录</w:t>
      </w:r>
    </w:p>
    <w:tbl>
      <w:tblPr>
        <w:tblStyle w:val="2"/>
        <w:tblpPr w:leftFromText="180" w:rightFromText="180" w:vertAnchor="text" w:horzAnchor="page" w:tblpX="1430" w:tblpY="396"/>
        <w:tblOverlap w:val="never"/>
        <w:tblW w:w="8994" w:type="dxa"/>
        <w:tblInd w:w="0" w:type="dxa"/>
        <w:tblLayout w:type="fixed"/>
        <w:tblCellMar>
          <w:top w:w="0" w:type="dxa"/>
          <w:left w:w="10" w:type="dxa"/>
          <w:bottom w:w="0" w:type="dxa"/>
          <w:right w:w="10" w:type="dxa"/>
        </w:tblCellMar>
      </w:tblPr>
      <w:tblGrid>
        <w:gridCol w:w="2493"/>
        <w:gridCol w:w="1300"/>
        <w:gridCol w:w="1300"/>
        <w:gridCol w:w="1300"/>
        <w:gridCol w:w="1300"/>
        <w:gridCol w:w="1301"/>
      </w:tblGrid>
      <w:tr w14:paraId="389F4223">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3CC9747">
            <w:pPr>
              <w:widowControl/>
              <w:spacing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7CDDBFA">
            <w:pPr>
              <w:widowControl/>
              <w:spacing w:line="360" w:lineRule="auto"/>
              <w:jc w:val="left"/>
              <w:rPr>
                <w:rFonts w:hint="eastAsia" w:ascii="宋体" w:hAnsi="宋体" w:eastAsia="宋体" w:cs="宋体"/>
                <w:color w:val="auto"/>
                <w:sz w:val="21"/>
                <w:szCs w:val="21"/>
                <w:highlight w:val="none"/>
                <w:u w:val="single"/>
              </w:rPr>
            </w:pPr>
          </w:p>
        </w:tc>
      </w:tr>
      <w:tr w14:paraId="58F09B6B">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635BE96">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752E6E2">
            <w:pPr>
              <w:widowControl/>
              <w:spacing w:line="360" w:lineRule="auto"/>
              <w:jc w:val="left"/>
              <w:rPr>
                <w:rFonts w:hint="eastAsia" w:ascii="宋体" w:hAnsi="宋体" w:eastAsia="宋体" w:cs="宋体"/>
                <w:color w:val="auto"/>
                <w:sz w:val="21"/>
                <w:szCs w:val="21"/>
                <w:highlight w:val="none"/>
                <w:u w:val="single"/>
              </w:rPr>
            </w:pPr>
          </w:p>
        </w:tc>
      </w:tr>
      <w:tr w14:paraId="3D73729D">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250FE7F7">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17F84749">
            <w:pPr>
              <w:widowControl/>
              <w:spacing w:line="360" w:lineRule="auto"/>
              <w:jc w:val="left"/>
              <w:rPr>
                <w:rFonts w:hint="eastAsia" w:ascii="宋体" w:hAnsi="宋体" w:eastAsia="宋体" w:cs="宋体"/>
                <w:color w:val="auto"/>
                <w:sz w:val="21"/>
                <w:szCs w:val="21"/>
                <w:highlight w:val="none"/>
              </w:rPr>
            </w:pPr>
          </w:p>
        </w:tc>
      </w:tr>
      <w:tr w14:paraId="1EBD397D">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DC47A9B">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投标</w:t>
            </w:r>
            <w:r>
              <w:rPr>
                <w:rFonts w:hint="eastAsia" w:ascii="宋体" w:hAnsi="宋体" w:eastAsia="宋体" w:cs="宋体"/>
                <w:color w:val="auto"/>
                <w:sz w:val="21"/>
                <w:szCs w:val="21"/>
                <w:highlight w:val="none"/>
                <w:lang w:val="en-US" w:eastAsia="zh-CN"/>
              </w:rPr>
              <w:t>内容</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3A5B591">
            <w:pPr>
              <w:widowControl/>
              <w:spacing w:line="360" w:lineRule="auto"/>
              <w:ind w:firstLine="840" w:firstLineChars="400"/>
              <w:jc w:val="left"/>
              <w:rPr>
                <w:rFonts w:hint="eastAsia" w:ascii="宋体" w:hAnsi="宋体" w:eastAsia="宋体" w:cs="宋体"/>
                <w:color w:val="auto"/>
                <w:sz w:val="21"/>
                <w:szCs w:val="21"/>
                <w:highlight w:val="none"/>
              </w:rPr>
            </w:pPr>
          </w:p>
        </w:tc>
      </w:tr>
      <w:tr w14:paraId="5E1E62EC">
        <w:tblPrEx>
          <w:tblCellMar>
            <w:top w:w="0" w:type="dxa"/>
            <w:left w:w="10" w:type="dxa"/>
            <w:bottom w:w="0" w:type="dxa"/>
            <w:right w:w="10" w:type="dxa"/>
          </w:tblCellMar>
        </w:tblPrEx>
        <w:trPr>
          <w:trHeight w:val="1164"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0B8079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6454463">
            <w:pPr>
              <w:widowControl/>
              <w:spacing w:line="360" w:lineRule="auto"/>
              <w:jc w:val="left"/>
              <w:rPr>
                <w:rFonts w:hint="eastAsia" w:ascii="宋体" w:hAnsi="宋体" w:eastAsia="宋体" w:cs="宋体"/>
                <w:color w:val="auto"/>
                <w:sz w:val="21"/>
                <w:szCs w:val="21"/>
                <w:highlight w:val="none"/>
              </w:rPr>
            </w:pPr>
          </w:p>
          <w:p w14:paraId="248C86CC">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（大写）</w:t>
            </w:r>
            <w:r>
              <w:rPr>
                <w:rFonts w:hint="eastAsia" w:ascii="宋体" w:hAnsi="宋体" w:eastAsia="宋体" w:cs="宋体"/>
                <w:color w:val="auto"/>
                <w:sz w:val="21"/>
                <w:szCs w:val="21"/>
                <w:highlight w:val="none"/>
                <w:u w:val="single"/>
                <w:lang w:val="zh-CN"/>
              </w:rPr>
              <w:t xml:space="preserve">                                      </w:t>
            </w:r>
          </w:p>
          <w:p w14:paraId="7FB1411A">
            <w:pPr>
              <w:widowControl/>
              <w:spacing w:line="360" w:lineRule="auto"/>
              <w:jc w:val="left"/>
              <w:rPr>
                <w:rFonts w:hint="eastAsia" w:ascii="宋体" w:hAnsi="宋体" w:eastAsia="宋体" w:cs="宋体"/>
                <w:color w:val="auto"/>
                <w:sz w:val="21"/>
                <w:szCs w:val="21"/>
                <w:highlight w:val="none"/>
                <w:lang w:val="zh-CN"/>
              </w:rPr>
            </w:pPr>
          </w:p>
          <w:p w14:paraId="1589B274">
            <w:pPr>
              <w:widowControl/>
              <w:spacing w:line="360" w:lineRule="auto"/>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（小写）</w:t>
            </w:r>
            <w:r>
              <w:rPr>
                <w:rFonts w:hint="eastAsia" w:ascii="宋体" w:hAnsi="宋体" w:eastAsia="宋体" w:cs="宋体"/>
                <w:color w:val="auto"/>
                <w:sz w:val="21"/>
                <w:szCs w:val="21"/>
                <w:highlight w:val="none"/>
                <w:u w:val="single"/>
                <w:lang w:val="zh-CN"/>
              </w:rPr>
              <w:t xml:space="preserve">                                      </w:t>
            </w:r>
          </w:p>
        </w:tc>
      </w:tr>
      <w:tr w14:paraId="6D25AE46">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3CBF1A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val="zh-CN"/>
              </w:rPr>
              <w:t>负责人</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489FC7E">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94E60A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职称</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BC4C2E2">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6FB4C5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4EF560A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编号</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739E3295">
            <w:pPr>
              <w:widowControl/>
              <w:spacing w:line="360" w:lineRule="auto"/>
              <w:jc w:val="left"/>
              <w:rPr>
                <w:rFonts w:hint="eastAsia" w:ascii="宋体" w:hAnsi="宋体" w:eastAsia="宋体" w:cs="宋体"/>
                <w:color w:val="auto"/>
                <w:sz w:val="21"/>
                <w:szCs w:val="21"/>
                <w:highlight w:val="none"/>
                <w:lang w:val="zh-CN"/>
              </w:rPr>
            </w:pPr>
          </w:p>
        </w:tc>
      </w:tr>
      <w:tr w14:paraId="6083F840">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9767075">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供货期（服务期）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1FACB927">
            <w:pPr>
              <w:widowControl/>
              <w:spacing w:line="360" w:lineRule="auto"/>
              <w:jc w:val="left"/>
              <w:rPr>
                <w:rFonts w:hint="eastAsia" w:ascii="宋体" w:hAnsi="宋体" w:eastAsia="宋体" w:cs="宋体"/>
                <w:color w:val="auto"/>
                <w:sz w:val="21"/>
                <w:szCs w:val="21"/>
                <w:highlight w:val="none"/>
                <w:lang w:val="zh-CN"/>
              </w:rPr>
            </w:pPr>
          </w:p>
        </w:tc>
      </w:tr>
      <w:tr w14:paraId="73C26869">
        <w:tblPrEx>
          <w:tblCellMar>
            <w:top w:w="0" w:type="dxa"/>
            <w:left w:w="10" w:type="dxa"/>
            <w:bottom w:w="0" w:type="dxa"/>
            <w:right w:w="10" w:type="dxa"/>
          </w:tblCellMar>
        </w:tblPrEx>
        <w:trPr>
          <w:trHeight w:val="586" w:hRule="atLeast"/>
        </w:trPr>
        <w:tc>
          <w:tcPr>
            <w:tcW w:w="2493" w:type="dxa"/>
            <w:tcBorders>
              <w:top w:val="single" w:color="auto" w:sz="6" w:space="0"/>
              <w:left w:val="single" w:color="auto" w:sz="6" w:space="0"/>
              <w:bottom w:val="single" w:color="auto" w:sz="4" w:space="0"/>
              <w:right w:val="single" w:color="auto" w:sz="6" w:space="0"/>
            </w:tcBorders>
            <w:noWrap w:val="0"/>
            <w:vAlign w:val="center"/>
          </w:tcPr>
          <w:p w14:paraId="2F500EF7">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754686F2">
            <w:pPr>
              <w:widowControl/>
              <w:spacing w:line="360" w:lineRule="auto"/>
              <w:jc w:val="left"/>
              <w:rPr>
                <w:rFonts w:hint="eastAsia" w:ascii="宋体" w:hAnsi="宋体" w:eastAsia="宋体" w:cs="宋体"/>
                <w:color w:val="auto"/>
                <w:sz w:val="21"/>
                <w:szCs w:val="21"/>
                <w:highlight w:val="none"/>
              </w:rPr>
            </w:pPr>
          </w:p>
        </w:tc>
      </w:tr>
      <w:tr w14:paraId="5BBAAB07">
        <w:tblPrEx>
          <w:tblCellMar>
            <w:top w:w="0" w:type="dxa"/>
            <w:left w:w="10" w:type="dxa"/>
            <w:bottom w:w="0" w:type="dxa"/>
            <w:right w:w="10" w:type="dxa"/>
          </w:tblCellMar>
        </w:tblPrEx>
        <w:trPr>
          <w:trHeight w:val="744" w:hRule="atLeast"/>
        </w:trPr>
        <w:tc>
          <w:tcPr>
            <w:tcW w:w="2493" w:type="dxa"/>
            <w:tcBorders>
              <w:top w:val="single" w:color="auto" w:sz="4" w:space="0"/>
              <w:left w:val="single" w:color="auto" w:sz="6" w:space="0"/>
              <w:bottom w:val="single" w:color="auto" w:sz="6" w:space="0"/>
              <w:right w:val="single" w:color="auto" w:sz="6" w:space="0"/>
            </w:tcBorders>
            <w:noWrap w:val="0"/>
            <w:vAlign w:val="center"/>
          </w:tcPr>
          <w:p w14:paraId="5E4AD8B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1BA28561">
            <w:pPr>
              <w:widowControl/>
              <w:spacing w:line="360" w:lineRule="auto"/>
              <w:jc w:val="left"/>
              <w:rPr>
                <w:rFonts w:hint="eastAsia" w:ascii="宋体" w:hAnsi="宋体" w:eastAsia="宋体" w:cs="宋体"/>
                <w:color w:val="auto"/>
                <w:sz w:val="21"/>
                <w:szCs w:val="21"/>
                <w:highlight w:val="none"/>
              </w:rPr>
            </w:pPr>
          </w:p>
        </w:tc>
      </w:tr>
      <w:tr w14:paraId="5184F295">
        <w:tblPrEx>
          <w:tblCellMar>
            <w:top w:w="0" w:type="dxa"/>
            <w:left w:w="10" w:type="dxa"/>
            <w:bottom w:w="0" w:type="dxa"/>
            <w:right w:w="10" w:type="dxa"/>
          </w:tblCellMar>
        </w:tblPrEx>
        <w:trPr>
          <w:trHeight w:val="696"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429E550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089A5F3">
            <w:pPr>
              <w:widowControl/>
              <w:spacing w:line="360" w:lineRule="auto"/>
              <w:jc w:val="left"/>
              <w:rPr>
                <w:rFonts w:hint="eastAsia" w:ascii="宋体" w:hAnsi="宋体" w:eastAsia="宋体" w:cs="宋体"/>
                <w:color w:val="auto"/>
                <w:sz w:val="21"/>
                <w:szCs w:val="21"/>
                <w:highlight w:val="none"/>
              </w:rPr>
            </w:pPr>
          </w:p>
        </w:tc>
      </w:tr>
    </w:tbl>
    <w:p w14:paraId="1A02DBB7">
      <w:pPr>
        <w:widowControl/>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p>
    <w:p w14:paraId="4401B1F7">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40AF4125">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14A3F126">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E93FCA8">
      <w:pPr>
        <w:widowControl/>
        <w:spacing w:beforeLines="0" w:afterLines="0" w:line="360" w:lineRule="auto"/>
        <w:jc w:val="left"/>
        <w:rPr>
          <w:rFonts w:hint="eastAsia" w:ascii="宋体" w:hAnsi="宋体" w:eastAsia="宋体" w:cs="宋体"/>
          <w:kern w:val="0"/>
          <w:szCs w:val="21"/>
          <w:highlight w:val="none"/>
        </w:rPr>
      </w:pPr>
    </w:p>
    <w:p w14:paraId="1D42515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04E8CF7F">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4D22C3AD">
      <w:pPr>
        <w:widowControl w:val="0"/>
        <w:adjustRightInd w:val="0"/>
        <w:snapToGrid w:val="0"/>
        <w:spacing w:before="0" w:beforeLines="0" w:after="0" w:afterLines="0"/>
        <w:jc w:val="center"/>
        <w:rPr>
          <w:rFonts w:hint="eastAsia" w:ascii="宋体" w:hAnsi="宋体" w:eastAsia="宋体" w:cs="宋体"/>
          <w:b/>
          <w:sz w:val="28"/>
          <w:szCs w:val="28"/>
          <w:highlight w:val="none"/>
        </w:rPr>
      </w:pPr>
      <w:bookmarkStart w:id="1036" w:name="_Toc91345073"/>
      <w:bookmarkStart w:id="1037" w:name="_Toc30440"/>
      <w:bookmarkStart w:id="1038" w:name="_Toc62034587"/>
      <w:r>
        <w:rPr>
          <w:rFonts w:hint="eastAsia" w:ascii="宋体" w:hAnsi="宋体" w:eastAsia="宋体" w:cs="宋体"/>
          <w:b/>
          <w:sz w:val="28"/>
          <w:szCs w:val="28"/>
          <w:highlight w:val="none"/>
        </w:rPr>
        <w:br w:type="page"/>
      </w:r>
    </w:p>
    <w:p w14:paraId="2D9F9FB4">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4"/>
          <w:szCs w:val="24"/>
          <w:highlight w:val="none"/>
          <w:lang w:val="en-US" w:eastAsia="zh-CN" w:bidi="ar-SA"/>
        </w:rPr>
      </w:pPr>
      <w:bookmarkStart w:id="1039" w:name="_Toc25724"/>
      <w:r>
        <w:rPr>
          <w:rFonts w:hint="eastAsia" w:ascii="宋体" w:hAnsi="宋体" w:eastAsia="宋体" w:cs="宋体"/>
          <w:b/>
          <w:bCs/>
          <w:kern w:val="2"/>
          <w:sz w:val="24"/>
          <w:szCs w:val="24"/>
          <w:highlight w:val="none"/>
          <w:lang w:val="en-US" w:eastAsia="zh-CN" w:bidi="ar-SA"/>
        </w:rPr>
        <w:t>二、法定代表人（单位负责人）身份证明</w:t>
      </w:r>
      <w:bookmarkEnd w:id="1028"/>
      <w:bookmarkEnd w:id="1029"/>
      <w:bookmarkEnd w:id="1036"/>
      <w:bookmarkEnd w:id="1037"/>
      <w:bookmarkEnd w:id="1038"/>
      <w:bookmarkEnd w:id="1039"/>
    </w:p>
    <w:p w14:paraId="5E431B48">
      <w:pPr>
        <w:spacing w:beforeLines="0" w:after="0" w:afterLines="0" w:line="240" w:lineRule="auto"/>
        <w:rPr>
          <w:rFonts w:hint="eastAsia" w:ascii="宋体" w:hAnsi="宋体" w:eastAsia="宋体" w:cs="宋体"/>
          <w:kern w:val="2"/>
          <w:sz w:val="28"/>
          <w:szCs w:val="28"/>
          <w:highlight w:val="none"/>
          <w:lang w:val="en-US" w:eastAsia="zh-CN" w:bidi="ar-SA"/>
        </w:rPr>
      </w:pPr>
    </w:p>
    <w:p w14:paraId="11738ED8">
      <w:pPr>
        <w:spacing w:before="0" w:beforeLines="0" w:after="0" w:afterLines="0" w:line="360" w:lineRule="auto"/>
        <w:ind w:firstLine="0" w:firstLineChars="0"/>
        <w:rPr>
          <w:rFonts w:hint="eastAsia" w:ascii="宋体" w:hAnsi="宋体" w:eastAsia="宋体" w:cs="宋体"/>
          <w:b/>
          <w:kern w:val="2"/>
          <w:sz w:val="25"/>
          <w:szCs w:val="22"/>
          <w:highlight w:val="none"/>
          <w:lang w:val="en-US" w:eastAsia="zh-CN" w:bidi="ar-SA"/>
        </w:rPr>
      </w:pPr>
    </w:p>
    <w:p w14:paraId="40471F4B">
      <w:pPr>
        <w:tabs>
          <w:tab w:val="left" w:pos="3928"/>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投标人名称：</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27054ABB">
      <w:pPr>
        <w:tabs>
          <w:tab w:val="left" w:pos="2412"/>
          <w:tab w:val="left" w:pos="3883"/>
          <w:tab w:val="left" w:pos="5352"/>
          <w:tab w:val="left" w:pos="6869"/>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姓名：</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性别：</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年龄：</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职务：</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440C4F42">
      <w:pPr>
        <w:tabs>
          <w:tab w:val="left" w:pos="2832"/>
        </w:tabs>
        <w:spacing w:before="0" w:beforeLines="0" w:after="0" w:afterLines="0" w:line="360" w:lineRule="auto"/>
        <w:ind w:firstLine="416"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SA"/>
        </w:rPr>
        <w:t>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投</w:t>
      </w:r>
      <w:r>
        <w:rPr>
          <w:rFonts w:hint="eastAsia" w:ascii="宋体" w:hAnsi="宋体" w:eastAsia="宋体" w:cs="宋体"/>
          <w:spacing w:val="-3"/>
          <w:kern w:val="2"/>
          <w:sz w:val="21"/>
          <w:szCs w:val="21"/>
          <w:highlight w:val="none"/>
          <w:lang w:val="en-US" w:eastAsia="zh-CN" w:bidi="ar-SA"/>
        </w:rPr>
        <w:t>标</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名</w:t>
      </w:r>
      <w:r>
        <w:rPr>
          <w:rFonts w:hint="eastAsia" w:ascii="宋体" w:hAnsi="宋体" w:eastAsia="宋体" w:cs="宋体"/>
          <w:kern w:val="2"/>
          <w:sz w:val="21"/>
          <w:szCs w:val="21"/>
          <w:highlight w:val="none"/>
          <w:lang w:val="en-US" w:eastAsia="zh-CN" w:bidi="ar-SA"/>
        </w:rPr>
        <w:t>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法定</w:t>
      </w:r>
      <w:r>
        <w:rPr>
          <w:rFonts w:hint="eastAsia" w:ascii="宋体" w:hAnsi="宋体" w:eastAsia="宋体" w:cs="宋体"/>
          <w:kern w:val="2"/>
          <w:sz w:val="21"/>
          <w:szCs w:val="21"/>
          <w:highlight w:val="none"/>
          <w:lang w:val="en-US" w:eastAsia="zh-CN" w:bidi="ar-SA"/>
        </w:rPr>
        <w:t>代表</w:t>
      </w:r>
      <w:r>
        <w:rPr>
          <w:rFonts w:hint="eastAsia" w:ascii="宋体" w:hAnsi="宋体" w:eastAsia="宋体" w:cs="宋体"/>
          <w:spacing w:val="-3"/>
          <w:kern w:val="2"/>
          <w:sz w:val="21"/>
          <w:szCs w:val="21"/>
          <w:highlight w:val="none"/>
          <w:lang w:val="en-US" w:eastAsia="zh-CN" w:bidi="ar-SA"/>
        </w:rPr>
        <w:t>人。</w:t>
      </w:r>
    </w:p>
    <w:p w14:paraId="0CD9BD92">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特此证明。</w:t>
      </w:r>
    </w:p>
    <w:p w14:paraId="64B3323A">
      <w:pPr>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附：法定代表人身份证原件扫描件。</w:t>
      </w:r>
    </w:p>
    <w:p w14:paraId="67A79035">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300DE21B">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64A7A3E1">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9C6B0FE">
      <w:pPr>
        <w:widowControl/>
        <w:spacing w:beforeLines="0" w:afterLines="0" w:line="360" w:lineRule="auto"/>
        <w:jc w:val="left"/>
        <w:rPr>
          <w:rFonts w:hint="eastAsia" w:ascii="宋体" w:hAnsi="宋体" w:eastAsia="宋体" w:cs="宋体"/>
          <w:kern w:val="0"/>
          <w:szCs w:val="21"/>
          <w:highlight w:val="none"/>
        </w:rPr>
      </w:pPr>
    </w:p>
    <w:p w14:paraId="3EA846AA">
      <w:pPr>
        <w:widowControl/>
        <w:spacing w:beforeLines="0" w:afterLines="0" w:line="360" w:lineRule="auto"/>
        <w:ind w:firstLine="0" w:firstLineChars="0"/>
        <w:jc w:val="right"/>
        <w:rPr>
          <w:rFonts w:hint="eastAsia" w:ascii="宋体" w:hAnsi="宋体" w:eastAsia="宋体" w:cs="宋体"/>
          <w:sz w:val="21"/>
          <w:szCs w:val="21"/>
          <w:highlight w:val="none"/>
        </w:rPr>
      </w:pPr>
    </w:p>
    <w:p w14:paraId="21977CDD">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7B085751">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5E59E802">
      <w:pPr>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sectPr>
          <w:footerReference r:id="rId6" w:type="default"/>
          <w:pgSz w:w="11905" w:h="16838"/>
          <w:pgMar w:top="1417" w:right="1417" w:bottom="1417" w:left="1417" w:header="794" w:footer="794" w:gutter="0"/>
          <w:pgNumType w:start="1"/>
          <w:cols w:space="720" w:num="1"/>
          <w:docGrid w:linePitch="286" w:charSpace="0"/>
        </w:sectPr>
      </w:pPr>
      <w:bookmarkStart w:id="1040" w:name="_Toc62034588"/>
      <w:bookmarkStart w:id="1041" w:name="_Toc54550869"/>
      <w:r>
        <w:rPr>
          <w:rFonts w:hint="eastAsia" w:ascii="宋体" w:hAnsi="宋体" w:eastAsia="宋体" w:cs="宋体"/>
          <w:szCs w:val="21"/>
          <w:highlight w:val="none"/>
        </w:rPr>
        <w:t>注：投标人如未授权代理人，则应在投标文件中提供本法定代表人身份证明。反之，则无需在投标文件中提供法定代表人身份证明。</w:t>
      </w:r>
      <w:bookmarkEnd w:id="1040"/>
      <w:bookmarkEnd w:id="1041"/>
    </w:p>
    <w:p w14:paraId="1591F2A5">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二、授权委托书</w:t>
      </w:r>
    </w:p>
    <w:p w14:paraId="2A75456B">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447A81D7">
      <w:pPr>
        <w:tabs>
          <w:tab w:val="left" w:pos="2421"/>
          <w:tab w:val="left" w:pos="5585"/>
        </w:tabs>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（投标人名称）的法定代表人（单位负责</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现</w:t>
      </w:r>
      <w:r>
        <w:rPr>
          <w:rFonts w:hint="eastAsia" w:ascii="宋体" w:hAnsi="宋体" w:eastAsia="宋体" w:cs="宋体"/>
          <w:kern w:val="2"/>
          <w:sz w:val="21"/>
          <w:szCs w:val="21"/>
          <w:highlight w:val="none"/>
          <w:lang w:val="en-US" w:eastAsia="zh-CN" w:bidi="ar-SA"/>
        </w:rPr>
        <w:t>委</w:t>
      </w:r>
      <w:r>
        <w:rPr>
          <w:rFonts w:hint="eastAsia" w:ascii="宋体" w:hAnsi="宋体" w:eastAsia="宋体" w:cs="宋体"/>
          <w:spacing w:val="-1"/>
          <w:kern w:val="2"/>
          <w:sz w:val="21"/>
          <w:szCs w:val="21"/>
          <w:highlight w:val="none"/>
          <w:lang w:val="en-US" w:eastAsia="zh-CN" w:bidi="ar-SA"/>
        </w:rPr>
        <w:t>托</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（姓名）为我</w:t>
      </w:r>
      <w:r>
        <w:rPr>
          <w:rFonts w:hint="eastAsia" w:ascii="宋体" w:hAnsi="宋体" w:eastAsia="宋体" w:cs="宋体"/>
          <w:spacing w:val="-3"/>
          <w:kern w:val="2"/>
          <w:sz w:val="21"/>
          <w:szCs w:val="21"/>
          <w:highlight w:val="none"/>
          <w:lang w:val="en-US" w:eastAsia="zh-CN" w:bidi="ar-SA"/>
        </w:rPr>
        <w:t>方代</w:t>
      </w:r>
      <w:r>
        <w:rPr>
          <w:rFonts w:hint="eastAsia" w:ascii="宋体" w:hAnsi="宋体" w:eastAsia="宋体" w:cs="宋体"/>
          <w:kern w:val="2"/>
          <w:sz w:val="21"/>
          <w:szCs w:val="21"/>
          <w:highlight w:val="none"/>
          <w:lang w:val="en-US" w:eastAsia="zh-CN" w:bidi="ar-SA"/>
        </w:rPr>
        <w:t>理人。代理</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根据授</w:t>
      </w:r>
      <w:r>
        <w:rPr>
          <w:rFonts w:hint="eastAsia" w:ascii="宋体" w:hAnsi="宋体" w:eastAsia="宋体" w:cs="宋体"/>
          <w:spacing w:val="-3"/>
          <w:kern w:val="2"/>
          <w:sz w:val="21"/>
          <w:szCs w:val="21"/>
          <w:highlight w:val="none"/>
          <w:lang w:val="en-US" w:eastAsia="zh-CN" w:bidi="ar-SA"/>
        </w:rPr>
        <w:t>权，</w:t>
      </w:r>
      <w:r>
        <w:rPr>
          <w:rFonts w:hint="eastAsia" w:ascii="宋体" w:hAnsi="宋体" w:eastAsia="宋体" w:cs="宋体"/>
          <w:kern w:val="2"/>
          <w:sz w:val="21"/>
          <w:szCs w:val="21"/>
          <w:highlight w:val="none"/>
          <w:lang w:val="en-US" w:eastAsia="zh-CN" w:bidi="ar-SA"/>
        </w:rPr>
        <w:t>以我方名义</w:t>
      </w:r>
      <w:r>
        <w:rPr>
          <w:rFonts w:hint="eastAsia" w:ascii="宋体" w:hAnsi="宋体" w:eastAsia="宋体" w:cs="宋体"/>
          <w:spacing w:val="-3"/>
          <w:kern w:val="2"/>
          <w:sz w:val="21"/>
          <w:szCs w:val="21"/>
          <w:highlight w:val="none"/>
          <w:lang w:val="en-US" w:eastAsia="zh-CN" w:bidi="ar-SA"/>
        </w:rPr>
        <w:t>签</w:t>
      </w:r>
      <w:r>
        <w:rPr>
          <w:rFonts w:hint="eastAsia" w:ascii="宋体" w:hAnsi="宋体" w:eastAsia="宋体" w:cs="宋体"/>
          <w:kern w:val="2"/>
          <w:sz w:val="21"/>
          <w:szCs w:val="21"/>
          <w:highlight w:val="none"/>
          <w:lang w:val="en-US" w:eastAsia="zh-CN" w:bidi="ar-SA"/>
        </w:rPr>
        <w:t>署、澄清确认、递交、撤回、修改设备采购招标项目投标文件、签订合同和处理有关事宜，其法律后果由我方承担。</w:t>
      </w:r>
    </w:p>
    <w:p w14:paraId="34EDB771">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委托期限：</w:t>
      </w:r>
      <w:bookmarkStart w:id="1042" w:name="_Toc221952026"/>
      <w:r>
        <w:rPr>
          <w:rFonts w:hint="eastAsia" w:ascii="宋体" w:hAnsi="宋体" w:eastAsia="宋体" w:cs="宋体"/>
          <w:sz w:val="21"/>
          <w:szCs w:val="21"/>
          <w:highlight w:val="none"/>
          <w:u w:val="single"/>
        </w:rPr>
        <w:t>自本授权委托书签署之日起至本工程的投标有效期结束止</w:t>
      </w:r>
      <w:r>
        <w:rPr>
          <w:rFonts w:hint="eastAsia" w:ascii="宋体" w:hAnsi="宋体" w:eastAsia="宋体" w:cs="宋体"/>
          <w:sz w:val="21"/>
          <w:szCs w:val="21"/>
          <w:highlight w:val="none"/>
        </w:rPr>
        <w:t>。</w:t>
      </w:r>
      <w:bookmarkEnd w:id="1042"/>
    </w:p>
    <w:p w14:paraId="77E9B6F1">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5F0A1D1E">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代理人无转委托权。</w:t>
      </w:r>
    </w:p>
    <w:p w14:paraId="1768DE22">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677C3611">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28F2A1F0">
      <w:pPr>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p>
    <w:p w14:paraId="4FF6CCB0">
      <w:pPr>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06E5E56D">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1D9E2E50">
      <w:pPr>
        <w:tabs>
          <w:tab w:val="left" w:pos="3216"/>
          <w:tab w:val="left" w:pos="3636"/>
          <w:tab w:val="left" w:pos="724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5902506A">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w:t>
      </w:r>
      <w:r>
        <w:rPr>
          <w:rFonts w:hint="eastAsia" w:ascii="宋体" w:hAnsi="宋体" w:eastAsia="宋体" w:cs="宋体"/>
          <w:spacing w:val="-3"/>
          <w:kern w:val="2"/>
          <w:sz w:val="21"/>
          <w:szCs w:val="21"/>
          <w:highlight w:val="none"/>
          <w:lang w:val="en-US" w:eastAsia="zh-CN" w:bidi="ar-SA"/>
        </w:rPr>
        <w:t>代</w:t>
      </w:r>
      <w:r>
        <w:rPr>
          <w:rFonts w:hint="eastAsia" w:ascii="宋体" w:hAnsi="宋体" w:eastAsia="宋体" w:cs="宋体"/>
          <w:kern w:val="2"/>
          <w:sz w:val="21"/>
          <w:szCs w:val="21"/>
          <w:highlight w:val="none"/>
          <w:lang w:val="en-US" w:eastAsia="zh-CN" w:bidi="ar-SA"/>
        </w:rPr>
        <w:t>表</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0FED7F03">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3A74737D">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委托代理人：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190C1E75">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21E15A6D">
      <w:pPr>
        <w:tabs>
          <w:tab w:val="left" w:pos="5352"/>
          <w:tab w:val="left" w:pos="6192"/>
          <w:tab w:val="left" w:pos="7032"/>
        </w:tabs>
        <w:spacing w:before="0" w:beforeLines="0" w:after="0" w:afterLines="0" w:line="360" w:lineRule="auto"/>
        <w:ind w:lef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日</w:t>
      </w:r>
    </w:p>
    <w:p w14:paraId="582AA562">
      <w:pPr>
        <w:widowControl/>
        <w:adjustRightInd w:val="0"/>
        <w:snapToGrid w:val="0"/>
        <w:spacing w:beforeLines="0" w:afterLines="0" w:line="360" w:lineRule="auto"/>
        <w:ind w:firstLine="420" w:firstLineChars="200"/>
        <w:jc w:val="both"/>
        <w:rPr>
          <w:rFonts w:hint="eastAsia" w:ascii="宋体" w:hAnsi="宋体" w:eastAsia="宋体" w:cs="宋体"/>
          <w:szCs w:val="21"/>
          <w:highlight w:val="none"/>
        </w:rPr>
      </w:pPr>
      <w:bookmarkStart w:id="1043" w:name="_Toc54550871"/>
      <w:bookmarkStart w:id="1044" w:name="_Toc62034590"/>
    </w:p>
    <w:p w14:paraId="4DCDC500">
      <w:pPr>
        <w:widowControl/>
        <w:adjustRightInd w:val="0"/>
        <w:snapToGrid w:val="0"/>
        <w:spacing w:beforeLines="0" w:afterLines="0" w:line="360" w:lineRule="auto"/>
        <w:ind w:firstLine="420" w:firstLineChars="200"/>
        <w:jc w:val="both"/>
        <w:rPr>
          <w:rFonts w:hint="eastAsia" w:ascii="宋体" w:hAnsi="宋体" w:eastAsia="宋体" w:cs="宋体"/>
          <w:b w:val="0"/>
          <w:bCs/>
          <w:szCs w:val="21"/>
          <w:highlight w:val="none"/>
        </w:rPr>
      </w:pPr>
      <w:r>
        <w:rPr>
          <w:rFonts w:hint="eastAsia" w:ascii="宋体" w:hAnsi="宋体" w:eastAsia="宋体" w:cs="宋体"/>
          <w:b w:val="0"/>
          <w:bCs/>
          <w:szCs w:val="21"/>
          <w:highlight w:val="none"/>
        </w:rPr>
        <w:t>注：1、投标人如授权代理人，则应在投标文件中需提供本授权委托书，并后附委托代理人身份证、劳动合同、依法缴纳社会保险证明，法定代表人身份证明等材料原件扫描件。反之，则无需在投标文件中提供本授权委托书及其要求的相关证明材料。</w:t>
      </w:r>
      <w:bookmarkEnd w:id="1043"/>
      <w:bookmarkEnd w:id="1044"/>
    </w:p>
    <w:p w14:paraId="11FD7FC5">
      <w:pPr>
        <w:adjustRightInd w:val="0"/>
        <w:snapToGrid w:val="0"/>
        <w:spacing w:beforeLines="0" w:afterLines="0" w:line="360" w:lineRule="auto"/>
        <w:ind w:firstLine="420" w:firstLineChars="200"/>
        <w:jc w:val="both"/>
        <w:rPr>
          <w:rFonts w:hint="eastAsia" w:ascii="宋体" w:hAnsi="宋体" w:eastAsia="宋体" w:cs="宋体"/>
          <w:b/>
          <w:szCs w:val="21"/>
          <w:highlight w:val="none"/>
        </w:rPr>
        <w:sectPr>
          <w:pgSz w:w="11905" w:h="16838"/>
          <w:pgMar w:top="1440" w:right="1803" w:bottom="1440" w:left="1803" w:header="794" w:footer="794" w:gutter="0"/>
          <w:cols w:space="720" w:num="1"/>
          <w:docGrid w:linePitch="286" w:charSpace="0"/>
        </w:sectPr>
      </w:pPr>
      <w:r>
        <w:rPr>
          <w:rFonts w:hint="eastAsia" w:ascii="宋体" w:hAnsi="宋体" w:eastAsia="宋体" w:cs="宋体"/>
          <w:b w:val="0"/>
          <w:bCs/>
          <w:szCs w:val="21"/>
          <w:highlight w:val="none"/>
        </w:rPr>
        <w:t>2、投标人制作电子投标文件时，上传签字、盖章后的授权委托书扫描件</w:t>
      </w:r>
      <w:r>
        <w:rPr>
          <w:rFonts w:hint="eastAsia" w:ascii="宋体" w:hAnsi="宋体" w:eastAsia="宋体" w:cs="宋体"/>
          <w:b/>
          <w:szCs w:val="21"/>
          <w:highlight w:val="none"/>
        </w:rPr>
        <w:t>。</w:t>
      </w:r>
    </w:p>
    <w:p w14:paraId="7B99711C">
      <w:pPr>
        <w:widowControl w:val="0"/>
        <w:autoSpaceDE w:val="0"/>
        <w:autoSpaceDN w:val="0"/>
        <w:bidi w:val="0"/>
        <w:adjustRightInd w:val="0"/>
        <w:spacing w:line="360" w:lineRule="auto"/>
        <w:ind w:left="100" w:right="113"/>
        <w:jc w:val="center"/>
        <w:outlineLvl w:val="1"/>
        <w:rPr>
          <w:rFonts w:hint="eastAsia" w:ascii="Microsoft JhengHei" w:hAnsi="Microsoft JhengHei" w:eastAsia="宋体" w:cs="Microsoft JhengHei"/>
          <w:b/>
          <w:bCs/>
          <w:sz w:val="24"/>
          <w:szCs w:val="32"/>
          <w:lang w:val="en-US" w:eastAsia="zh-CN" w:bidi="ar-SA"/>
        </w:rPr>
      </w:pPr>
      <w:r>
        <w:rPr>
          <w:rFonts w:hint="eastAsia" w:ascii="Microsoft JhengHei" w:hAnsi="Microsoft JhengHei" w:eastAsia="宋体" w:cs="Microsoft JhengHei"/>
          <w:b/>
          <w:bCs/>
          <w:sz w:val="24"/>
          <w:szCs w:val="32"/>
          <w:lang w:val="en-US" w:eastAsia="zh-CN" w:bidi="ar-SA"/>
        </w:rPr>
        <w:t>三、投标保证金交纳证明</w:t>
      </w:r>
    </w:p>
    <w:p w14:paraId="20DD2989">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u w:val="single"/>
        </w:rPr>
      </w:pPr>
    </w:p>
    <w:p w14:paraId="0609123C">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61B7D9FA">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49EBE5C5">
      <w:pPr>
        <w:pageBreakBefore w:val="0"/>
        <w:widowControl w:val="0"/>
        <w:kinsoku/>
        <w:wordWrap w:val="0"/>
        <w:overflowPunct/>
        <w:topLinePunct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8C2D1B4">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00E1C2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5FAB5FDB">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C861EEA">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7C3770B6">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w:t>
      </w:r>
      <w:r>
        <w:rPr>
          <w:rFonts w:hint="eastAsia" w:ascii="宋体" w:hAnsi="宋体" w:eastAsia="宋体" w:cs="宋体"/>
          <w:color w:val="auto"/>
          <w:kern w:val="0"/>
          <w:sz w:val="21"/>
          <w:szCs w:val="21"/>
          <w:highlight w:val="none"/>
          <w:lang w:val="en-US" w:eastAsia="zh-CN"/>
        </w:rPr>
        <w:t>或盖章</w:t>
      </w:r>
      <w:r>
        <w:rPr>
          <w:rFonts w:hint="eastAsia" w:ascii="宋体" w:hAnsi="宋体" w:eastAsia="宋体" w:cs="宋体"/>
          <w:color w:val="auto"/>
          <w:kern w:val="0"/>
          <w:sz w:val="21"/>
          <w:szCs w:val="21"/>
          <w:highlight w:val="none"/>
        </w:rPr>
        <w:t>）</w:t>
      </w:r>
    </w:p>
    <w:p w14:paraId="30CD79D3">
      <w:pPr>
        <w:pageBreakBefore w:val="0"/>
        <w:widowControl w:val="0"/>
        <w:kinsoku/>
        <w:wordWrap w:val="0"/>
        <w:overflowPunct/>
        <w:topLinePunct w:val="0"/>
        <w:autoSpaceDE w:val="0"/>
        <w:autoSpaceDN w:val="0"/>
        <w:bidi w:val="0"/>
        <w:adjustRightInd w:val="0"/>
        <w:spacing w:line="400" w:lineRule="exact"/>
        <w:ind w:right="-34" w:rightChars="-16" w:firstLine="5124" w:firstLineChars="244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69E05757">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2336;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520DD864">
      <w:pPr>
        <w:pageBreakBefore w:val="0"/>
        <w:widowControl w:val="0"/>
        <w:kinsoku/>
        <w:wordWrap w:val="0"/>
        <w:overflowPunct/>
        <w:topLinePunct w:val="0"/>
        <w:autoSpaceDE w:val="0"/>
        <w:autoSpaceDN w:val="0"/>
        <w:bidi w:val="0"/>
        <w:adjustRightInd w:val="0"/>
        <w:spacing w:line="400" w:lineRule="exact"/>
        <w:ind w:right="-34" w:rightChars="-16" w:firstLine="0"/>
        <w:jc w:val="center"/>
        <w:textAlignment w:val="baseline"/>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2" name="矩形 2"/>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3360;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qc+9cAAAAHAQAADwAA&#10;AAAAAAABACAAAAAiAAAAZHJzL2Rvd25yZXYueG1sUEsBAhQAFAAAAAgAh07iQDheDCgXAgAASQQA&#10;AA4AAAAAAAAAAQAgAAAAJgEAAGRycy9lMm9Eb2MueG1sUEsFBgAAAAAGAAYAWQEAAK8FAAAAAA==&#10;">
                <v:fill on="t" focussize="0,0"/>
                <v:stroke weight="1.5pt" color="#000000" joinstyle="miter" dashstyle="dashDot"/>
                <v:imagedata o:title=""/>
                <o:lock v:ext="edit" aspectratio="f"/>
                <v:textbo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v:textbox>
              </v:rect>
            </w:pict>
          </mc:Fallback>
        </mc:AlternateContent>
      </w:r>
    </w:p>
    <w:p w14:paraId="76E8F008">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472FB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15BD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866ED9A">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D01D4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726D8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3708D2A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9A6D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2D337F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E7B4B2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C1DB0E0">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6F1B7C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A2C0BE1">
      <w:pPr>
        <w:widowControl/>
        <w:spacing w:beforeLines="0" w:afterLines="0" w:line="240" w:lineRule="auto"/>
        <w:jc w:val="left"/>
        <w:rPr>
          <w:rFonts w:hint="eastAsia" w:ascii="宋体" w:hAnsi="宋体" w:eastAsia="宋体" w:cs="宋体"/>
          <w:kern w:val="0"/>
          <w:szCs w:val="21"/>
          <w:highlight w:val="none"/>
        </w:rPr>
      </w:pPr>
    </w:p>
    <w:p w14:paraId="7D66A4F6">
      <w:pPr>
        <w:widowControl/>
        <w:spacing w:beforeLines="0" w:afterLines="0" w:line="240" w:lineRule="auto"/>
        <w:jc w:val="left"/>
        <w:rPr>
          <w:rFonts w:hint="eastAsia" w:ascii="宋体" w:hAnsi="宋体" w:eastAsia="宋体" w:cs="宋体"/>
          <w:kern w:val="0"/>
          <w:szCs w:val="21"/>
          <w:highlight w:val="none"/>
        </w:rPr>
      </w:pPr>
    </w:p>
    <w:p w14:paraId="035C2084">
      <w:pPr>
        <w:widowControl/>
        <w:spacing w:beforeLines="0" w:afterLines="0" w:line="240" w:lineRule="auto"/>
        <w:jc w:val="left"/>
        <w:rPr>
          <w:rFonts w:hint="eastAsia" w:ascii="宋体" w:hAnsi="宋体" w:eastAsia="宋体" w:cs="宋体"/>
          <w:kern w:val="0"/>
          <w:szCs w:val="21"/>
          <w:highlight w:val="none"/>
        </w:rPr>
      </w:pPr>
    </w:p>
    <w:p w14:paraId="3E292396">
      <w:pPr>
        <w:widowControl/>
        <w:spacing w:beforeLines="0" w:afterLines="0" w:line="240" w:lineRule="auto"/>
        <w:jc w:val="left"/>
        <w:rPr>
          <w:rFonts w:hint="eastAsia" w:ascii="宋体" w:hAnsi="宋体" w:eastAsia="宋体" w:cs="宋体"/>
          <w:kern w:val="0"/>
          <w:szCs w:val="21"/>
          <w:highlight w:val="none"/>
        </w:rPr>
      </w:pPr>
    </w:p>
    <w:p w14:paraId="5B31B4D2">
      <w:pPr>
        <w:widowControl/>
        <w:spacing w:beforeLines="0" w:afterLines="0" w:line="240" w:lineRule="auto"/>
        <w:jc w:val="left"/>
        <w:rPr>
          <w:rFonts w:hint="eastAsia" w:ascii="宋体" w:hAnsi="宋体" w:eastAsia="宋体" w:cs="宋体"/>
          <w:kern w:val="0"/>
          <w:szCs w:val="21"/>
          <w:highlight w:val="none"/>
        </w:rPr>
      </w:pPr>
    </w:p>
    <w:p w14:paraId="37FADF53">
      <w:pPr>
        <w:widowControl/>
        <w:spacing w:beforeLines="0" w:afterLines="0" w:line="240" w:lineRule="auto"/>
        <w:jc w:val="left"/>
        <w:rPr>
          <w:rFonts w:hint="eastAsia" w:ascii="宋体" w:hAnsi="宋体" w:eastAsia="宋体" w:cs="宋体"/>
          <w:kern w:val="0"/>
          <w:szCs w:val="21"/>
          <w:highlight w:val="none"/>
        </w:rPr>
      </w:pPr>
    </w:p>
    <w:p w14:paraId="4C6A4A76">
      <w:pPr>
        <w:widowControl/>
        <w:spacing w:beforeLines="0" w:afterLines="0" w:line="240" w:lineRule="auto"/>
        <w:jc w:val="left"/>
        <w:rPr>
          <w:rFonts w:hint="eastAsia" w:ascii="宋体" w:hAnsi="宋体" w:eastAsia="宋体" w:cs="宋体"/>
          <w:kern w:val="0"/>
          <w:szCs w:val="21"/>
          <w:highlight w:val="none"/>
        </w:rPr>
      </w:pPr>
    </w:p>
    <w:p w14:paraId="33FC0988">
      <w:pPr>
        <w:widowControl/>
        <w:spacing w:beforeLines="0" w:afterLines="0" w:line="240" w:lineRule="auto"/>
        <w:jc w:val="left"/>
        <w:rPr>
          <w:rFonts w:hint="eastAsia" w:ascii="宋体" w:hAnsi="宋体" w:eastAsia="宋体" w:cs="宋体"/>
          <w:b/>
          <w:bCs/>
          <w:sz w:val="24"/>
          <w:szCs w:val="22"/>
          <w:highlight w:val="none"/>
        </w:rPr>
      </w:pPr>
    </w:p>
    <w:p w14:paraId="6A7A503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C3481C1">
      <w:pPr>
        <w:widowControl/>
        <w:spacing w:beforeLines="0" w:afterLines="0" w:line="240" w:lineRule="auto"/>
        <w:jc w:val="left"/>
        <w:rPr>
          <w:rFonts w:hint="eastAsia" w:ascii="宋体" w:hAnsi="宋体" w:eastAsia="宋体" w:cs="宋体"/>
          <w:b/>
          <w:bCs/>
          <w:sz w:val="24"/>
          <w:szCs w:val="22"/>
          <w:highlight w:val="none"/>
        </w:rPr>
      </w:pPr>
    </w:p>
    <w:p w14:paraId="7B33BC9A">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br w:type="page"/>
      </w:r>
      <w:bookmarkStart w:id="1045" w:name="_Toc91345076"/>
      <w:bookmarkStart w:id="1046" w:name="_Toc62034592"/>
      <w:bookmarkStart w:id="1047" w:name="_Toc3923"/>
      <w:bookmarkStart w:id="1048" w:name="_Toc3383"/>
      <w:r>
        <w:rPr>
          <w:rFonts w:hint="eastAsia" w:ascii="宋体" w:hAnsi="宋体" w:eastAsia="宋体" w:cs="宋体"/>
          <w:b/>
          <w:bCs/>
          <w:kern w:val="2"/>
          <w:sz w:val="24"/>
          <w:szCs w:val="24"/>
          <w:highlight w:val="none"/>
          <w:lang w:val="en-US" w:eastAsia="zh-CN" w:bidi="ar-SA"/>
        </w:rPr>
        <w:t>四、技术偏差表</w:t>
      </w:r>
      <w:bookmarkEnd w:id="1045"/>
      <w:bookmarkEnd w:id="1046"/>
      <w:bookmarkEnd w:id="1047"/>
      <w:bookmarkEnd w:id="1048"/>
    </w:p>
    <w:p w14:paraId="5B651D7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tbl>
      <w:tblPr>
        <w:tblStyle w:val="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2693"/>
        <w:gridCol w:w="2979"/>
        <w:gridCol w:w="1625"/>
      </w:tblGrid>
      <w:tr w14:paraId="367A3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center"/>
          </w:tcPr>
          <w:p w14:paraId="6946C742">
            <w:pPr>
              <w:widowControl w:val="0"/>
              <w:spacing w:before="0" w:beforeLines="0" w:afterLines="0" w:line="240" w:lineRule="auto"/>
              <w:ind w:right="0"/>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zh-CN" w:bidi="ar-SA"/>
              </w:rPr>
              <w:t>序号</w:t>
            </w:r>
          </w:p>
        </w:tc>
        <w:tc>
          <w:tcPr>
            <w:tcW w:w="2693" w:type="dxa"/>
            <w:noWrap w:val="0"/>
            <w:vAlign w:val="center"/>
          </w:tcPr>
          <w:p w14:paraId="4CC1B892">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招标文件章节及条款号</w:t>
            </w:r>
          </w:p>
        </w:tc>
        <w:tc>
          <w:tcPr>
            <w:tcW w:w="2979" w:type="dxa"/>
            <w:noWrap w:val="0"/>
            <w:vAlign w:val="center"/>
          </w:tcPr>
          <w:p w14:paraId="15440623">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投标文件章节及条款号</w:t>
            </w:r>
          </w:p>
        </w:tc>
        <w:tc>
          <w:tcPr>
            <w:tcW w:w="1625" w:type="dxa"/>
            <w:noWrap w:val="0"/>
            <w:vAlign w:val="center"/>
          </w:tcPr>
          <w:p w14:paraId="5CDEC639">
            <w:pPr>
              <w:widowControl w:val="0"/>
              <w:spacing w:before="0" w:beforeLines="0" w:afterLines="0" w:line="240" w:lineRule="auto"/>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en-US" w:bidi="ar-SA"/>
              </w:rPr>
              <w:t>偏差说明</w:t>
            </w:r>
          </w:p>
        </w:tc>
      </w:tr>
      <w:tr w14:paraId="002D6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exact"/>
          <w:jc w:val="center"/>
        </w:trPr>
        <w:tc>
          <w:tcPr>
            <w:tcW w:w="926" w:type="dxa"/>
            <w:noWrap w:val="0"/>
            <w:vAlign w:val="top"/>
          </w:tcPr>
          <w:p w14:paraId="7A9EB260">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0C4BE819">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1</w:t>
            </w:r>
          </w:p>
        </w:tc>
        <w:tc>
          <w:tcPr>
            <w:tcW w:w="2693" w:type="dxa"/>
            <w:noWrap w:val="0"/>
            <w:vAlign w:val="top"/>
          </w:tcPr>
          <w:p w14:paraId="219FB498">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53B7549B">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5ACDE5E7">
            <w:pPr>
              <w:widowControl/>
              <w:spacing w:beforeLines="0" w:afterLines="0" w:line="240" w:lineRule="auto"/>
              <w:jc w:val="left"/>
              <w:rPr>
                <w:rFonts w:hint="eastAsia" w:ascii="宋体" w:hAnsi="宋体" w:eastAsia="宋体" w:cs="宋体"/>
                <w:sz w:val="21"/>
                <w:szCs w:val="21"/>
                <w:highlight w:val="none"/>
              </w:rPr>
            </w:pPr>
          </w:p>
        </w:tc>
      </w:tr>
      <w:tr w14:paraId="07CF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top"/>
          </w:tcPr>
          <w:p w14:paraId="2B094F4E">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6624AD6F">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2</w:t>
            </w:r>
          </w:p>
        </w:tc>
        <w:tc>
          <w:tcPr>
            <w:tcW w:w="2693" w:type="dxa"/>
            <w:noWrap w:val="0"/>
            <w:vAlign w:val="top"/>
          </w:tcPr>
          <w:p w14:paraId="0EC193F6">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0B0328D8">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56B51C9">
            <w:pPr>
              <w:widowControl/>
              <w:spacing w:beforeLines="0" w:afterLines="0" w:line="240" w:lineRule="auto"/>
              <w:jc w:val="left"/>
              <w:rPr>
                <w:rFonts w:hint="eastAsia" w:ascii="宋体" w:hAnsi="宋体" w:eastAsia="宋体" w:cs="宋体"/>
                <w:sz w:val="21"/>
                <w:szCs w:val="21"/>
                <w:highlight w:val="none"/>
              </w:rPr>
            </w:pPr>
          </w:p>
        </w:tc>
      </w:tr>
      <w:tr w14:paraId="30802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2A9B377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7E8F94BA">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3</w:t>
            </w:r>
          </w:p>
        </w:tc>
        <w:tc>
          <w:tcPr>
            <w:tcW w:w="2693" w:type="dxa"/>
            <w:noWrap w:val="0"/>
            <w:vAlign w:val="top"/>
          </w:tcPr>
          <w:p w14:paraId="222F9291">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F0FA723">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33C237F1">
            <w:pPr>
              <w:widowControl/>
              <w:spacing w:beforeLines="0" w:afterLines="0" w:line="240" w:lineRule="auto"/>
              <w:jc w:val="left"/>
              <w:rPr>
                <w:rFonts w:hint="eastAsia" w:ascii="宋体" w:hAnsi="宋体" w:eastAsia="宋体" w:cs="宋体"/>
                <w:sz w:val="21"/>
                <w:szCs w:val="21"/>
                <w:highlight w:val="none"/>
              </w:rPr>
            </w:pPr>
          </w:p>
        </w:tc>
      </w:tr>
      <w:tr w14:paraId="2C2B3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3C8BB290">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62AF262E">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4</w:t>
            </w:r>
          </w:p>
        </w:tc>
        <w:tc>
          <w:tcPr>
            <w:tcW w:w="2693" w:type="dxa"/>
            <w:noWrap w:val="0"/>
            <w:vAlign w:val="top"/>
          </w:tcPr>
          <w:p w14:paraId="5F26524F">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054F95E9">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6870E1F">
            <w:pPr>
              <w:widowControl/>
              <w:spacing w:beforeLines="0" w:afterLines="0" w:line="240" w:lineRule="auto"/>
              <w:jc w:val="left"/>
              <w:rPr>
                <w:rFonts w:hint="eastAsia" w:ascii="宋体" w:hAnsi="宋体" w:eastAsia="宋体" w:cs="宋体"/>
                <w:sz w:val="21"/>
                <w:szCs w:val="21"/>
                <w:highlight w:val="none"/>
              </w:rPr>
            </w:pPr>
          </w:p>
        </w:tc>
      </w:tr>
      <w:tr w14:paraId="734A3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exact"/>
          <w:jc w:val="center"/>
        </w:trPr>
        <w:tc>
          <w:tcPr>
            <w:tcW w:w="926" w:type="dxa"/>
            <w:noWrap w:val="0"/>
            <w:vAlign w:val="top"/>
          </w:tcPr>
          <w:p w14:paraId="33EE7EFD">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52CE4E6E">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5</w:t>
            </w:r>
          </w:p>
        </w:tc>
        <w:tc>
          <w:tcPr>
            <w:tcW w:w="2693" w:type="dxa"/>
            <w:noWrap w:val="0"/>
            <w:vAlign w:val="top"/>
          </w:tcPr>
          <w:p w14:paraId="17211F6B">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1AE7E445">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44FBA170">
            <w:pPr>
              <w:widowControl/>
              <w:spacing w:beforeLines="0" w:afterLines="0" w:line="240" w:lineRule="auto"/>
              <w:jc w:val="left"/>
              <w:rPr>
                <w:rFonts w:hint="eastAsia" w:ascii="宋体" w:hAnsi="宋体" w:eastAsia="宋体" w:cs="宋体"/>
                <w:sz w:val="21"/>
                <w:szCs w:val="21"/>
                <w:highlight w:val="none"/>
              </w:rPr>
            </w:pPr>
          </w:p>
        </w:tc>
      </w:tr>
      <w:tr w14:paraId="0481B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exact"/>
          <w:jc w:val="center"/>
        </w:trPr>
        <w:tc>
          <w:tcPr>
            <w:tcW w:w="926" w:type="dxa"/>
            <w:noWrap w:val="0"/>
            <w:vAlign w:val="top"/>
          </w:tcPr>
          <w:p w14:paraId="412BB3F1">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036A6390">
            <w:pPr>
              <w:widowControl w:val="0"/>
              <w:spacing w:beforeLines="0" w:afterLines="0" w:line="240" w:lineRule="auto"/>
              <w:ind w:left="0" w:right="0"/>
              <w:jc w:val="center"/>
              <w:rPr>
                <w:rFonts w:hint="eastAsia" w:ascii="宋体" w:hAnsi="宋体" w:eastAsia="宋体" w:cs="宋体"/>
                <w:i/>
                <w:kern w:val="0"/>
                <w:sz w:val="21"/>
                <w:szCs w:val="21"/>
                <w:highlight w:val="none"/>
                <w:lang w:val="en-US" w:eastAsia="en-US" w:bidi="ar-SA"/>
              </w:rPr>
            </w:pPr>
            <w:r>
              <w:rPr>
                <w:rFonts w:hint="eastAsia" w:ascii="宋体" w:hAnsi="宋体" w:eastAsia="宋体" w:cs="宋体"/>
                <w:i/>
                <w:w w:val="115"/>
                <w:kern w:val="0"/>
                <w:sz w:val="21"/>
                <w:szCs w:val="21"/>
                <w:highlight w:val="none"/>
                <w:lang w:val="en-US" w:eastAsia="en-US" w:bidi="ar-SA"/>
              </w:rPr>
              <w:t>……</w:t>
            </w:r>
          </w:p>
        </w:tc>
        <w:tc>
          <w:tcPr>
            <w:tcW w:w="2693" w:type="dxa"/>
            <w:noWrap w:val="0"/>
            <w:vAlign w:val="top"/>
          </w:tcPr>
          <w:p w14:paraId="4ED3A045">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42E34FC8">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46458E3D">
            <w:pPr>
              <w:widowControl/>
              <w:spacing w:beforeLines="0" w:afterLines="0" w:line="240" w:lineRule="auto"/>
              <w:jc w:val="left"/>
              <w:rPr>
                <w:rFonts w:hint="eastAsia" w:ascii="宋体" w:hAnsi="宋体" w:eastAsia="宋体" w:cs="宋体"/>
                <w:sz w:val="21"/>
                <w:szCs w:val="21"/>
                <w:highlight w:val="none"/>
              </w:rPr>
            </w:pPr>
          </w:p>
        </w:tc>
      </w:tr>
    </w:tbl>
    <w:p w14:paraId="1674C964">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2BF3C61C">
      <w:pPr>
        <w:spacing w:before="0" w:beforeLines="0" w:after="0" w:afterLines="0" w:line="240" w:lineRule="auto"/>
        <w:ind w:left="0"/>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投标人保证：除技术偏差表列出的偏差外，投标人响应招标文件的全部要求。</w:t>
      </w:r>
    </w:p>
    <w:p w14:paraId="4C61B0C6">
      <w:pPr>
        <w:widowControl/>
        <w:spacing w:beforeLines="0" w:afterLines="0" w:line="240" w:lineRule="auto"/>
        <w:jc w:val="left"/>
        <w:rPr>
          <w:rFonts w:hint="eastAsia" w:ascii="宋体" w:hAnsi="宋体" w:eastAsia="宋体" w:cs="宋体"/>
          <w:szCs w:val="22"/>
          <w:highlight w:val="none"/>
        </w:rPr>
      </w:pPr>
    </w:p>
    <w:p w14:paraId="04CA60B6">
      <w:pPr>
        <w:widowControl/>
        <w:spacing w:beforeLines="0" w:afterLines="0" w:line="240" w:lineRule="auto"/>
        <w:jc w:val="left"/>
        <w:rPr>
          <w:rFonts w:hint="eastAsia" w:ascii="宋体" w:hAnsi="宋体" w:eastAsia="宋体" w:cs="宋体"/>
          <w:szCs w:val="22"/>
          <w:highlight w:val="none"/>
        </w:rPr>
      </w:pPr>
    </w:p>
    <w:p w14:paraId="6D2063A5">
      <w:pPr>
        <w:widowControl/>
        <w:spacing w:beforeLines="0" w:afterLines="0" w:line="240" w:lineRule="auto"/>
        <w:jc w:val="left"/>
        <w:rPr>
          <w:rFonts w:hint="eastAsia" w:ascii="宋体" w:hAnsi="宋体" w:eastAsia="宋体" w:cs="宋体"/>
          <w:szCs w:val="22"/>
          <w:highlight w:val="none"/>
        </w:rPr>
      </w:pPr>
    </w:p>
    <w:p w14:paraId="062DB7AE">
      <w:pPr>
        <w:widowControl/>
        <w:spacing w:beforeLines="0" w:afterLines="0" w:line="240" w:lineRule="auto"/>
        <w:jc w:val="left"/>
        <w:rPr>
          <w:rFonts w:hint="eastAsia" w:ascii="宋体" w:hAnsi="宋体" w:eastAsia="宋体" w:cs="宋体"/>
          <w:szCs w:val="22"/>
          <w:highlight w:val="none"/>
        </w:rPr>
      </w:pPr>
    </w:p>
    <w:p w14:paraId="403B5B96">
      <w:pPr>
        <w:widowControl/>
        <w:spacing w:beforeLines="0" w:afterLines="0" w:line="240" w:lineRule="auto"/>
        <w:jc w:val="left"/>
        <w:rPr>
          <w:rFonts w:hint="eastAsia" w:ascii="宋体" w:hAnsi="宋体" w:eastAsia="宋体" w:cs="宋体"/>
          <w:szCs w:val="22"/>
          <w:highlight w:val="none"/>
        </w:rPr>
      </w:pPr>
    </w:p>
    <w:p w14:paraId="31CAC94E">
      <w:pPr>
        <w:widowControl/>
        <w:spacing w:beforeLines="0" w:afterLines="0" w:line="240" w:lineRule="auto"/>
        <w:jc w:val="left"/>
        <w:rPr>
          <w:rFonts w:hint="eastAsia" w:ascii="宋体" w:hAnsi="宋体" w:eastAsia="宋体" w:cs="宋体"/>
          <w:szCs w:val="22"/>
          <w:highlight w:val="none"/>
        </w:rPr>
      </w:pPr>
    </w:p>
    <w:p w14:paraId="4BDB26C6">
      <w:pPr>
        <w:widowControl/>
        <w:spacing w:beforeLines="0" w:afterLines="0" w:line="240" w:lineRule="auto"/>
        <w:jc w:val="left"/>
        <w:rPr>
          <w:rFonts w:hint="eastAsia" w:ascii="宋体" w:hAnsi="宋体" w:eastAsia="宋体" w:cs="宋体"/>
          <w:szCs w:val="22"/>
          <w:highlight w:val="none"/>
        </w:rPr>
      </w:pPr>
    </w:p>
    <w:p w14:paraId="52138EA7">
      <w:pPr>
        <w:widowControl/>
        <w:spacing w:beforeLines="0" w:afterLines="0" w:line="240" w:lineRule="auto"/>
        <w:jc w:val="left"/>
        <w:rPr>
          <w:rFonts w:hint="eastAsia" w:ascii="宋体" w:hAnsi="宋体" w:eastAsia="宋体" w:cs="宋体"/>
          <w:szCs w:val="22"/>
          <w:highlight w:val="none"/>
        </w:rPr>
      </w:pPr>
    </w:p>
    <w:p w14:paraId="4A379E39">
      <w:pPr>
        <w:widowControl/>
        <w:spacing w:beforeLines="0" w:afterLines="0" w:line="240" w:lineRule="auto"/>
        <w:jc w:val="left"/>
        <w:rPr>
          <w:rFonts w:hint="eastAsia" w:ascii="宋体" w:hAnsi="宋体" w:eastAsia="宋体" w:cs="宋体"/>
          <w:szCs w:val="22"/>
          <w:highlight w:val="none"/>
        </w:rPr>
      </w:pPr>
    </w:p>
    <w:p w14:paraId="18738B2D">
      <w:pPr>
        <w:widowControl/>
        <w:spacing w:beforeLines="0" w:afterLines="0" w:line="240" w:lineRule="auto"/>
        <w:jc w:val="left"/>
        <w:rPr>
          <w:rFonts w:hint="eastAsia" w:ascii="宋体" w:hAnsi="宋体" w:eastAsia="宋体" w:cs="宋体"/>
          <w:szCs w:val="22"/>
          <w:highlight w:val="none"/>
        </w:rPr>
      </w:pPr>
    </w:p>
    <w:p w14:paraId="2BBDEC79">
      <w:pPr>
        <w:widowControl/>
        <w:spacing w:beforeLines="0" w:afterLines="0" w:line="240" w:lineRule="auto"/>
        <w:jc w:val="left"/>
        <w:rPr>
          <w:rFonts w:hint="eastAsia" w:ascii="宋体" w:hAnsi="宋体" w:eastAsia="宋体" w:cs="宋体"/>
          <w:szCs w:val="22"/>
          <w:highlight w:val="none"/>
        </w:rPr>
      </w:pPr>
    </w:p>
    <w:p w14:paraId="048EF510">
      <w:pPr>
        <w:widowControl/>
        <w:spacing w:beforeLines="0" w:afterLines="0" w:line="240" w:lineRule="auto"/>
        <w:jc w:val="left"/>
        <w:rPr>
          <w:rFonts w:hint="eastAsia" w:ascii="宋体" w:hAnsi="宋体" w:eastAsia="宋体" w:cs="宋体"/>
          <w:szCs w:val="22"/>
          <w:highlight w:val="none"/>
        </w:rPr>
      </w:pPr>
    </w:p>
    <w:p w14:paraId="2057642C">
      <w:pPr>
        <w:widowControl/>
        <w:spacing w:beforeLines="0" w:afterLines="0" w:line="240" w:lineRule="auto"/>
        <w:jc w:val="left"/>
        <w:rPr>
          <w:rFonts w:hint="eastAsia" w:ascii="宋体" w:hAnsi="宋体" w:eastAsia="宋体" w:cs="宋体"/>
          <w:szCs w:val="22"/>
          <w:highlight w:val="none"/>
        </w:rPr>
      </w:pPr>
    </w:p>
    <w:p w14:paraId="2486A0EF">
      <w:pPr>
        <w:widowControl/>
        <w:spacing w:beforeLines="0" w:afterLines="0" w:line="240" w:lineRule="auto"/>
        <w:jc w:val="left"/>
        <w:rPr>
          <w:rFonts w:hint="eastAsia" w:ascii="宋体" w:hAnsi="宋体" w:eastAsia="宋体" w:cs="宋体"/>
          <w:szCs w:val="22"/>
          <w:highlight w:val="none"/>
        </w:rPr>
      </w:pPr>
    </w:p>
    <w:p w14:paraId="7BCBEAA2">
      <w:pPr>
        <w:widowControl/>
        <w:spacing w:beforeLines="0" w:afterLines="0" w:line="240" w:lineRule="auto"/>
        <w:jc w:val="left"/>
        <w:rPr>
          <w:rFonts w:hint="eastAsia" w:ascii="宋体" w:hAnsi="宋体" w:eastAsia="宋体" w:cs="宋体"/>
          <w:szCs w:val="22"/>
          <w:highlight w:val="none"/>
        </w:rPr>
      </w:pPr>
    </w:p>
    <w:p w14:paraId="5EC33658">
      <w:pPr>
        <w:widowControl/>
        <w:spacing w:beforeLines="0" w:afterLines="0" w:line="240" w:lineRule="auto"/>
        <w:jc w:val="left"/>
        <w:rPr>
          <w:rFonts w:hint="eastAsia" w:ascii="宋体" w:hAnsi="宋体" w:eastAsia="宋体" w:cs="宋体"/>
          <w:szCs w:val="22"/>
          <w:highlight w:val="none"/>
        </w:rPr>
      </w:pPr>
    </w:p>
    <w:p w14:paraId="57D44CAB">
      <w:pPr>
        <w:widowControl/>
        <w:spacing w:beforeLines="0" w:afterLines="0" w:line="240" w:lineRule="auto"/>
        <w:jc w:val="left"/>
        <w:rPr>
          <w:rFonts w:hint="eastAsia" w:ascii="宋体" w:hAnsi="宋体" w:eastAsia="宋体" w:cs="宋体"/>
          <w:szCs w:val="22"/>
          <w:highlight w:val="none"/>
        </w:rPr>
      </w:pPr>
    </w:p>
    <w:p w14:paraId="477DCF56">
      <w:pPr>
        <w:widowControl/>
        <w:spacing w:beforeLines="0" w:afterLines="0" w:line="240" w:lineRule="auto"/>
        <w:jc w:val="left"/>
        <w:rPr>
          <w:rFonts w:hint="eastAsia" w:ascii="宋体" w:hAnsi="宋体" w:eastAsia="宋体" w:cs="宋体"/>
          <w:szCs w:val="22"/>
          <w:highlight w:val="none"/>
        </w:rPr>
      </w:pPr>
    </w:p>
    <w:p w14:paraId="60D029FB">
      <w:pPr>
        <w:widowControl/>
        <w:spacing w:beforeLines="0" w:afterLines="0" w:line="240" w:lineRule="auto"/>
        <w:jc w:val="left"/>
        <w:rPr>
          <w:rFonts w:hint="eastAsia" w:ascii="宋体" w:hAnsi="宋体" w:eastAsia="宋体" w:cs="宋体"/>
          <w:szCs w:val="22"/>
          <w:highlight w:val="none"/>
        </w:rPr>
      </w:pPr>
    </w:p>
    <w:p w14:paraId="058E98E1">
      <w:pPr>
        <w:widowControl/>
        <w:spacing w:beforeLines="0" w:afterLines="0" w:line="240" w:lineRule="auto"/>
        <w:jc w:val="left"/>
        <w:rPr>
          <w:rFonts w:hint="eastAsia" w:ascii="宋体" w:hAnsi="宋体" w:eastAsia="宋体" w:cs="宋体"/>
          <w:szCs w:val="22"/>
          <w:highlight w:val="none"/>
        </w:rPr>
      </w:pPr>
    </w:p>
    <w:p w14:paraId="1A865DD6">
      <w:pPr>
        <w:widowControl/>
        <w:spacing w:beforeLines="0" w:afterLines="0" w:line="240" w:lineRule="auto"/>
        <w:jc w:val="left"/>
        <w:rPr>
          <w:rFonts w:hint="eastAsia" w:ascii="宋体" w:hAnsi="宋体" w:eastAsia="宋体" w:cs="宋体"/>
          <w:szCs w:val="22"/>
          <w:highlight w:val="none"/>
        </w:rPr>
      </w:pPr>
    </w:p>
    <w:p w14:paraId="4C2DE205">
      <w:pPr>
        <w:widowControl/>
        <w:spacing w:beforeLines="0" w:afterLines="0" w:line="240" w:lineRule="auto"/>
        <w:jc w:val="left"/>
        <w:rPr>
          <w:rFonts w:hint="eastAsia" w:ascii="宋体" w:hAnsi="宋体" w:eastAsia="宋体" w:cs="宋体"/>
          <w:szCs w:val="22"/>
          <w:highlight w:val="none"/>
        </w:rPr>
      </w:pPr>
    </w:p>
    <w:p w14:paraId="4612F747">
      <w:pPr>
        <w:widowControl/>
        <w:spacing w:beforeLines="0" w:afterLines="0" w:line="240" w:lineRule="auto"/>
        <w:jc w:val="left"/>
        <w:rPr>
          <w:rFonts w:hint="eastAsia" w:ascii="宋体" w:hAnsi="宋体" w:eastAsia="宋体" w:cs="宋体"/>
          <w:szCs w:val="22"/>
          <w:highlight w:val="none"/>
        </w:rPr>
      </w:pPr>
    </w:p>
    <w:p w14:paraId="513D681B">
      <w:pPr>
        <w:widowControl/>
        <w:spacing w:beforeLines="0" w:afterLines="0" w:line="240" w:lineRule="auto"/>
        <w:jc w:val="left"/>
        <w:rPr>
          <w:rFonts w:hint="eastAsia" w:ascii="宋体" w:hAnsi="宋体" w:eastAsia="宋体" w:cs="宋体"/>
          <w:szCs w:val="22"/>
          <w:highlight w:val="none"/>
        </w:rPr>
      </w:pPr>
    </w:p>
    <w:p w14:paraId="6B4823B1">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8"/>
          <w:szCs w:val="28"/>
          <w:highlight w:val="none"/>
          <w:lang w:val="en-US" w:eastAsia="zh-CN" w:bidi="ar-SA"/>
        </w:rPr>
      </w:pPr>
      <w:bookmarkStart w:id="1049" w:name="_Toc30928"/>
      <w:bookmarkStart w:id="1050" w:name="_Toc534572433"/>
      <w:r>
        <w:rPr>
          <w:rFonts w:hint="eastAsia" w:ascii="宋体" w:hAnsi="宋体" w:eastAsia="宋体" w:cs="宋体"/>
          <w:b/>
          <w:bCs/>
          <w:kern w:val="0"/>
          <w:sz w:val="30"/>
          <w:szCs w:val="30"/>
          <w:highlight w:val="none"/>
          <w:lang w:val="en-US" w:eastAsia="zh-CN" w:bidi="ar-SA"/>
        </w:rPr>
        <w:br w:type="page"/>
      </w:r>
      <w:bookmarkStart w:id="1051" w:name="_Toc16500"/>
      <w:bookmarkStart w:id="1052" w:name="_Toc62034593"/>
      <w:bookmarkStart w:id="1053" w:name="_Toc25416"/>
      <w:bookmarkStart w:id="1054" w:name="_Toc91345077"/>
      <w:r>
        <w:rPr>
          <w:rFonts w:hint="eastAsia" w:ascii="宋体" w:hAnsi="宋体" w:eastAsia="宋体" w:cs="宋体"/>
          <w:b/>
          <w:bCs/>
          <w:kern w:val="2"/>
          <w:sz w:val="24"/>
          <w:szCs w:val="24"/>
          <w:highlight w:val="none"/>
          <w:lang w:val="en-US" w:eastAsia="zh-CN" w:bidi="ar-SA"/>
        </w:rPr>
        <w:t>五、分项报价表</w:t>
      </w:r>
      <w:bookmarkEnd w:id="1049"/>
      <w:bookmarkEnd w:id="1050"/>
      <w:bookmarkEnd w:id="1051"/>
      <w:bookmarkEnd w:id="1052"/>
      <w:bookmarkEnd w:id="1053"/>
      <w:bookmarkEnd w:id="1054"/>
    </w:p>
    <w:p w14:paraId="300F51DB">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1055" w:name="_Toc4650"/>
      <w:bookmarkStart w:id="1056" w:name="_Toc3311"/>
      <w:bookmarkStart w:id="1057" w:name="_Toc8594"/>
      <w:bookmarkStart w:id="1058" w:name="_Toc15581"/>
      <w:r>
        <w:rPr>
          <w:rFonts w:hint="eastAsia" w:ascii="宋体" w:hAnsi="宋体" w:eastAsia="宋体" w:cs="宋体"/>
          <w:b/>
          <w:bCs/>
          <w:sz w:val="21"/>
          <w:szCs w:val="21"/>
          <w:highlight w:val="none"/>
        </w:rPr>
        <w:t>1.分项报价表说明</w:t>
      </w:r>
      <w:bookmarkEnd w:id="1055"/>
      <w:bookmarkEnd w:id="1056"/>
      <w:bookmarkEnd w:id="1057"/>
      <w:bookmarkEnd w:id="1058"/>
    </w:p>
    <w:p w14:paraId="37D7876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1.1 分项报价表应与招标文件中的投标人须知、通用合同条款、专用合同条款、供货要求等一起阅读和理解。</w:t>
      </w:r>
    </w:p>
    <w:p w14:paraId="4F7C6374">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1.2分项报价表中各项目的工作内容和要求应符合相关供货要求的规定。</w:t>
      </w:r>
    </w:p>
    <w:p w14:paraId="16F8F5C3">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1.3合同价款的支付遵循合同条款的约定。</w:t>
      </w:r>
    </w:p>
    <w:p w14:paraId="711A3AE3">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1.4除招标文件另有约定外，投标人不得随意增加、删除或涂改招标文件分项报价表中的任何内容。分项报价表中列明的所有需要填写的单价和合价，投标人均应填写；未填写的单价和合价，视为已包括在分项报价表的其他单价和合价中。</w:t>
      </w:r>
    </w:p>
    <w:p w14:paraId="6340A1B7">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1.5分项报价表中的单价是采购完成分项报价表中一个质量合格的产品所必需的设计、制造、工厂试验、包装、保险、运输和交货（不含工地卸货）以及生产产品所必需设备费、材料费、利润、保险和税金（增值税），并考虑到风险因素。</w:t>
      </w:r>
    </w:p>
    <w:p w14:paraId="4453F6DE">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1.6投标金额（价格）均应以人民币表示，保留两位小数。</w:t>
      </w:r>
    </w:p>
    <w:p w14:paraId="6D72BD94">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1.7已标价工程量清单中每一个项目，都需填入单价及合价，且只允许有一个报价。</w:t>
      </w:r>
    </w:p>
    <w:p w14:paraId="281F601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bookmarkStart w:id="1059" w:name="_Toc62034594"/>
      <w:bookmarkStart w:id="1060" w:name="_Toc54550875"/>
      <w:r>
        <w:rPr>
          <w:rFonts w:hint="eastAsia" w:ascii="宋体" w:hAnsi="宋体" w:eastAsia="宋体" w:cs="宋体"/>
          <w:sz w:val="21"/>
          <w:szCs w:val="21"/>
          <w:highlight w:val="none"/>
        </w:rPr>
        <w:t>1.8算术修正</w:t>
      </w:r>
      <w:bookmarkEnd w:id="1059"/>
      <w:bookmarkEnd w:id="1060"/>
      <w:r>
        <w:rPr>
          <w:rFonts w:hint="eastAsia" w:ascii="宋体" w:hAnsi="宋体" w:eastAsia="宋体" w:cs="宋体"/>
          <w:sz w:val="21"/>
          <w:szCs w:val="21"/>
          <w:highlight w:val="none"/>
        </w:rPr>
        <w:t xml:space="preserve"> </w:t>
      </w:r>
    </w:p>
    <w:p w14:paraId="36B0C2A8">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报价有算术错误的，评审小组按以下原则对报价进行修正，修正的价格经投标人确认后具有约束力。卖方不接受修正价格的，评审小组应否决其投标； </w:t>
      </w:r>
    </w:p>
    <w:p w14:paraId="1B0CE19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(1)总价中的大写金额与小写金额不一致的，以大写金额为准； </w:t>
      </w:r>
    </w:p>
    <w:p w14:paraId="4B9A258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(2)总价金额与依据单价计算出的结果不一致的，以单价金额为准修正总价，但单价金额小数点有明显错误的除外； </w:t>
      </w:r>
    </w:p>
    <w:p w14:paraId="3B7C92C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(3)当单价与数量相乗不等于合价时，以单价计算为准，如果单价有明显的小数点位置差错，应以标出的合价为准，同时对单价予以修正； </w:t>
      </w:r>
    </w:p>
    <w:p w14:paraId="49365A0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(4)当各子目的合价累计不等于总价时，应以各子目合价累计数为准，修正总价。 </w:t>
      </w:r>
    </w:p>
    <w:p w14:paraId="6F4017AB">
      <w:pPr>
        <w:widowControl/>
        <w:adjustRightInd w:val="0"/>
        <w:snapToGrid w:val="0"/>
        <w:spacing w:beforeLines="0" w:afterLines="0" w:line="360" w:lineRule="auto"/>
        <w:ind w:firstLine="420" w:firstLineChars="200"/>
        <w:jc w:val="both"/>
        <w:rPr>
          <w:rFonts w:hint="eastAsia" w:ascii="宋体" w:hAnsi="宋体" w:eastAsia="宋体" w:cs="宋体"/>
          <w:sz w:val="24"/>
          <w:szCs w:val="24"/>
          <w:highlight w:val="none"/>
        </w:rPr>
      </w:pPr>
      <w:r>
        <w:rPr>
          <w:rFonts w:hint="eastAsia" w:ascii="宋体" w:hAnsi="宋体" w:eastAsia="宋体" w:cs="宋体"/>
          <w:sz w:val="21"/>
          <w:szCs w:val="21"/>
          <w:highlight w:val="none"/>
        </w:rPr>
        <w:t>1.8.2修正后的最终报价若超过最高投标限价(如有)，评审小组应否决其投标</w:t>
      </w:r>
      <w:r>
        <w:rPr>
          <w:rFonts w:hint="eastAsia" w:ascii="宋体" w:hAnsi="宋体" w:eastAsia="宋体" w:cs="宋体"/>
          <w:sz w:val="24"/>
          <w:szCs w:val="24"/>
          <w:highlight w:val="none"/>
        </w:rPr>
        <w:t>。</w:t>
      </w:r>
    </w:p>
    <w:p w14:paraId="114FF2BF">
      <w:pPr>
        <w:widowControl/>
        <w:adjustRightInd/>
        <w:snapToGrid/>
        <w:spacing w:beforeLines="-2147483648" w:afterLines="-2147483648" w:line="240" w:lineRule="auto"/>
        <w:jc w:val="left"/>
        <w:outlineLvl w:val="9"/>
        <w:rPr>
          <w:rFonts w:hint="eastAsia" w:ascii="宋体" w:hAnsi="宋体" w:eastAsia="宋体" w:cs="宋体"/>
          <w:b/>
          <w:sz w:val="24"/>
          <w:szCs w:val="24"/>
          <w:highlight w:val="none"/>
        </w:rPr>
      </w:pPr>
      <w:bookmarkStart w:id="1061" w:name="_Toc215"/>
      <w:r>
        <w:rPr>
          <w:rFonts w:hint="eastAsia" w:ascii="宋体" w:hAnsi="宋体" w:eastAsia="宋体" w:cs="宋体"/>
          <w:b/>
          <w:sz w:val="24"/>
          <w:szCs w:val="24"/>
          <w:highlight w:val="none"/>
        </w:rPr>
        <w:br w:type="page"/>
      </w:r>
    </w:p>
    <w:p w14:paraId="201F77E9">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1062" w:name="_Toc11380"/>
      <w:bookmarkStart w:id="1063" w:name="_Toc4671"/>
      <w:bookmarkStart w:id="1064" w:name="_Toc12473"/>
      <w:r>
        <w:rPr>
          <w:rFonts w:hint="eastAsia" w:ascii="宋体" w:hAnsi="宋体" w:eastAsia="宋体" w:cs="宋体"/>
          <w:b/>
          <w:bCs/>
          <w:sz w:val="21"/>
          <w:szCs w:val="21"/>
          <w:highlight w:val="none"/>
        </w:rPr>
        <w:t>2.分项报价表</w:t>
      </w:r>
      <w:bookmarkEnd w:id="1061"/>
      <w:bookmarkEnd w:id="1062"/>
      <w:bookmarkEnd w:id="1063"/>
      <w:bookmarkEnd w:id="1064"/>
    </w:p>
    <w:p w14:paraId="4F4E8E59">
      <w:pPr>
        <w:widowControl/>
        <w:overflowPunct w:val="0"/>
        <w:adjustRightInd w:val="0"/>
        <w:snapToGrid w:val="0"/>
        <w:spacing w:beforeLines="0" w:afterLines="0" w:line="240" w:lineRule="auto"/>
        <w:jc w:val="right"/>
        <w:rPr>
          <w:rFonts w:hint="eastAsia" w:ascii="宋体" w:hAnsi="宋体" w:eastAsia="宋体" w:cs="宋体"/>
          <w:b/>
          <w:sz w:val="21"/>
          <w:szCs w:val="21"/>
          <w:highlight w:val="none"/>
        </w:rPr>
      </w:pPr>
      <w:r>
        <w:rPr>
          <w:rFonts w:hint="eastAsia" w:ascii="宋体" w:hAnsi="宋体" w:eastAsia="宋体" w:cs="宋体"/>
          <w:b/>
          <w:sz w:val="21"/>
          <w:szCs w:val="21"/>
          <w:highlight w:val="none"/>
        </w:rPr>
        <w:t>单位：人民币元</w:t>
      </w:r>
    </w:p>
    <w:tbl>
      <w:tblPr>
        <w:tblStyle w:val="2"/>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4"/>
        <w:gridCol w:w="3609"/>
        <w:gridCol w:w="976"/>
        <w:gridCol w:w="891"/>
        <w:gridCol w:w="933"/>
        <w:gridCol w:w="1006"/>
        <w:gridCol w:w="768"/>
      </w:tblGrid>
      <w:tr w14:paraId="47C1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66A4DE87">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编号</w:t>
            </w:r>
          </w:p>
        </w:tc>
        <w:tc>
          <w:tcPr>
            <w:tcW w:w="3609" w:type="dxa"/>
            <w:shd w:val="clear" w:color="auto" w:fill="FFFFFF"/>
            <w:noWrap w:val="0"/>
            <w:tcMar>
              <w:top w:w="15" w:type="dxa"/>
              <w:left w:w="15" w:type="dxa"/>
              <w:right w:w="15" w:type="dxa"/>
            </w:tcMar>
            <w:vAlign w:val="center"/>
          </w:tcPr>
          <w:p w14:paraId="29F3210B">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项目或费用名称</w:t>
            </w:r>
          </w:p>
        </w:tc>
        <w:tc>
          <w:tcPr>
            <w:tcW w:w="976" w:type="dxa"/>
            <w:shd w:val="clear" w:color="auto" w:fill="FFFFFF"/>
            <w:noWrap w:val="0"/>
            <w:tcMar>
              <w:top w:w="15" w:type="dxa"/>
              <w:left w:w="15" w:type="dxa"/>
              <w:right w:w="15" w:type="dxa"/>
            </w:tcMar>
            <w:vAlign w:val="center"/>
          </w:tcPr>
          <w:p w14:paraId="2D4D857E">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计量单位</w:t>
            </w:r>
          </w:p>
        </w:tc>
        <w:tc>
          <w:tcPr>
            <w:tcW w:w="891" w:type="dxa"/>
            <w:shd w:val="clear" w:color="auto" w:fill="FFFFFF"/>
            <w:noWrap w:val="0"/>
            <w:tcMar>
              <w:top w:w="15" w:type="dxa"/>
              <w:left w:w="15" w:type="dxa"/>
              <w:right w:w="15" w:type="dxa"/>
            </w:tcMar>
            <w:vAlign w:val="center"/>
          </w:tcPr>
          <w:p w14:paraId="011A8000">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数量</w:t>
            </w:r>
          </w:p>
        </w:tc>
        <w:tc>
          <w:tcPr>
            <w:tcW w:w="933" w:type="dxa"/>
            <w:shd w:val="clear" w:color="auto" w:fill="FFFFFF"/>
            <w:noWrap w:val="0"/>
            <w:tcMar>
              <w:top w:w="15" w:type="dxa"/>
              <w:left w:w="15" w:type="dxa"/>
              <w:right w:w="15" w:type="dxa"/>
            </w:tcMar>
            <w:vAlign w:val="center"/>
          </w:tcPr>
          <w:p w14:paraId="6155165D">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单价(元)</w:t>
            </w:r>
          </w:p>
        </w:tc>
        <w:tc>
          <w:tcPr>
            <w:tcW w:w="1006" w:type="dxa"/>
            <w:shd w:val="clear" w:color="auto" w:fill="FFFFFF"/>
            <w:noWrap w:val="0"/>
            <w:tcMar>
              <w:top w:w="15" w:type="dxa"/>
              <w:left w:w="15" w:type="dxa"/>
              <w:right w:w="15" w:type="dxa"/>
            </w:tcMar>
            <w:vAlign w:val="center"/>
          </w:tcPr>
          <w:p w14:paraId="5F38CC18">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合价(元)</w:t>
            </w:r>
          </w:p>
        </w:tc>
        <w:tc>
          <w:tcPr>
            <w:tcW w:w="768" w:type="dxa"/>
            <w:shd w:val="clear" w:color="auto" w:fill="FFFFFF"/>
            <w:noWrap w:val="0"/>
            <w:tcMar>
              <w:top w:w="15" w:type="dxa"/>
              <w:left w:w="15" w:type="dxa"/>
              <w:right w:w="15" w:type="dxa"/>
            </w:tcMar>
            <w:vAlign w:val="center"/>
          </w:tcPr>
          <w:p w14:paraId="21E00F0D">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备注</w:t>
            </w:r>
          </w:p>
        </w:tc>
      </w:tr>
      <w:tr w14:paraId="1663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073C750F">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40313128">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62063883">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2780DB0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6AD0CEDE">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10EE926E">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44736B3D">
            <w:pPr>
              <w:widowControl/>
              <w:spacing w:beforeLines="0" w:afterLines="0" w:line="240" w:lineRule="auto"/>
              <w:jc w:val="center"/>
              <w:rPr>
                <w:rFonts w:hint="eastAsia" w:ascii="宋体" w:hAnsi="宋体" w:eastAsia="宋体" w:cs="宋体"/>
                <w:b w:val="0"/>
                <w:bCs/>
                <w:sz w:val="21"/>
                <w:szCs w:val="21"/>
                <w:highlight w:val="none"/>
              </w:rPr>
            </w:pPr>
          </w:p>
        </w:tc>
      </w:tr>
      <w:tr w14:paraId="64EF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45B1C2CC">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605D29A5">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1411AF7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23E559FC">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0BDC21A5">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70C2286B">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44127BA0">
            <w:pPr>
              <w:widowControl/>
              <w:spacing w:beforeLines="0" w:afterLines="0" w:line="240" w:lineRule="auto"/>
              <w:jc w:val="center"/>
              <w:rPr>
                <w:rFonts w:hint="eastAsia" w:ascii="宋体" w:hAnsi="宋体" w:eastAsia="宋体" w:cs="宋体"/>
                <w:b w:val="0"/>
                <w:bCs/>
                <w:sz w:val="21"/>
                <w:szCs w:val="21"/>
                <w:highlight w:val="none"/>
              </w:rPr>
            </w:pPr>
          </w:p>
        </w:tc>
      </w:tr>
      <w:tr w14:paraId="7301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394BECD9">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678ABEB9">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4628C8F9">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44B2825F">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26F9C445">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24EA342">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51931DBD">
            <w:pPr>
              <w:widowControl/>
              <w:spacing w:beforeLines="0" w:afterLines="0" w:line="240" w:lineRule="auto"/>
              <w:jc w:val="center"/>
              <w:rPr>
                <w:rFonts w:hint="eastAsia" w:ascii="宋体" w:hAnsi="宋体" w:eastAsia="宋体" w:cs="宋体"/>
                <w:b w:val="0"/>
                <w:bCs/>
                <w:sz w:val="21"/>
                <w:szCs w:val="21"/>
                <w:highlight w:val="none"/>
              </w:rPr>
            </w:pPr>
          </w:p>
        </w:tc>
      </w:tr>
      <w:tr w14:paraId="79E77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24198499">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7974BE45">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73D6ADF9">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5A16B3B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45A1BD01">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389A7846">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6CEEAF96">
            <w:pPr>
              <w:widowControl/>
              <w:spacing w:beforeLines="0" w:afterLines="0" w:line="240" w:lineRule="auto"/>
              <w:jc w:val="center"/>
              <w:rPr>
                <w:rFonts w:hint="eastAsia" w:ascii="宋体" w:hAnsi="宋体" w:eastAsia="宋体" w:cs="宋体"/>
                <w:b w:val="0"/>
                <w:bCs/>
                <w:sz w:val="21"/>
                <w:szCs w:val="21"/>
                <w:highlight w:val="none"/>
              </w:rPr>
            </w:pPr>
          </w:p>
        </w:tc>
      </w:tr>
      <w:tr w14:paraId="5631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217" w:type="dxa"/>
            <w:gridSpan w:val="7"/>
            <w:shd w:val="clear" w:color="auto" w:fill="FFFFFF"/>
            <w:noWrap w:val="0"/>
            <w:tcMar>
              <w:top w:w="15" w:type="dxa"/>
              <w:left w:w="15" w:type="dxa"/>
              <w:right w:w="15" w:type="dxa"/>
            </w:tcMar>
            <w:vAlign w:val="center"/>
          </w:tcPr>
          <w:p w14:paraId="1D5D106B">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合计报价（小写）：</w:t>
            </w:r>
          </w:p>
        </w:tc>
      </w:tr>
      <w:tr w14:paraId="649C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4" w:hRule="atLeast"/>
          <w:jc w:val="center"/>
        </w:trPr>
        <w:tc>
          <w:tcPr>
            <w:tcW w:w="9217" w:type="dxa"/>
            <w:gridSpan w:val="7"/>
            <w:shd w:val="clear" w:color="auto" w:fill="FFFFFF"/>
            <w:noWrap w:val="0"/>
            <w:tcMar>
              <w:top w:w="15" w:type="dxa"/>
              <w:left w:w="15" w:type="dxa"/>
              <w:right w:w="15" w:type="dxa"/>
            </w:tcMar>
            <w:vAlign w:val="center"/>
          </w:tcPr>
          <w:p w14:paraId="26C57AF7">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合计报价（大写）：</w:t>
            </w:r>
          </w:p>
        </w:tc>
      </w:tr>
    </w:tbl>
    <w:p w14:paraId="72A5887D">
      <w:pPr>
        <w:widowControl/>
        <w:spacing w:beforeLines="0" w:afterLines="0" w:line="240" w:lineRule="auto"/>
        <w:ind w:firstLine="0" w:firstLineChars="0"/>
        <w:jc w:val="left"/>
        <w:rPr>
          <w:rFonts w:hint="eastAsia" w:ascii="宋体" w:hAnsi="宋体" w:eastAsia="宋体" w:cs="宋体"/>
          <w:sz w:val="24"/>
          <w:szCs w:val="24"/>
          <w:highlight w:val="none"/>
        </w:rPr>
      </w:pPr>
    </w:p>
    <w:p w14:paraId="03BCDE46">
      <w:pPr>
        <w:widowControl/>
        <w:adjustRightInd w:val="0"/>
        <w:snapToGrid w:val="0"/>
        <w:spacing w:beforeLines="0" w:afterLines="0" w:line="360" w:lineRule="auto"/>
        <w:jc w:val="both"/>
        <w:outlineLvl w:val="9"/>
        <w:rPr>
          <w:rFonts w:hint="eastAsia" w:ascii="宋体" w:hAnsi="宋体" w:eastAsia="宋体" w:cs="宋体"/>
          <w:b/>
          <w:sz w:val="24"/>
          <w:szCs w:val="24"/>
          <w:highlight w:val="none"/>
        </w:rPr>
      </w:pPr>
      <w:bookmarkStart w:id="1065" w:name="_Toc91345078"/>
      <w:r>
        <w:rPr>
          <w:rFonts w:hint="eastAsia" w:ascii="宋体" w:hAnsi="宋体" w:eastAsia="宋体" w:cs="宋体"/>
          <w:b/>
          <w:sz w:val="24"/>
          <w:szCs w:val="24"/>
          <w:highlight w:val="none"/>
        </w:rPr>
        <w:br w:type="page"/>
      </w:r>
      <w:bookmarkStart w:id="1066" w:name="_Toc13110"/>
      <w:bookmarkStart w:id="1067" w:name="_Toc19288"/>
      <w:bookmarkStart w:id="1068" w:name="_Toc13635"/>
      <w:bookmarkStart w:id="1069" w:name="_Toc24478"/>
      <w:r>
        <w:rPr>
          <w:rFonts w:hint="eastAsia" w:ascii="宋体" w:hAnsi="宋体" w:eastAsia="宋体" w:cs="宋体"/>
          <w:b/>
          <w:sz w:val="24"/>
          <w:szCs w:val="24"/>
          <w:highlight w:val="none"/>
        </w:rPr>
        <w:t>3.单价分析表</w:t>
      </w:r>
      <w:bookmarkEnd w:id="1065"/>
      <w:bookmarkEnd w:id="1066"/>
      <w:bookmarkEnd w:id="1067"/>
      <w:bookmarkEnd w:id="1068"/>
      <w:bookmarkEnd w:id="1069"/>
    </w:p>
    <w:p w14:paraId="5BFE7A81">
      <w:pPr>
        <w:widowControl/>
        <w:tabs>
          <w:tab w:val="left" w:pos="140"/>
        </w:tabs>
        <w:spacing w:beforeLines="0" w:afterLines="0" w:line="360" w:lineRule="auto"/>
        <w:ind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投标人应按下列表格格式编制设备清单中主要项目的单价分析表，每种单价一份，项目名称应与设备清单一致。</w:t>
      </w:r>
    </w:p>
    <w:p w14:paraId="10D627F1">
      <w:pPr>
        <w:widowControl w:val="0"/>
        <w:adjustRightInd w:val="0"/>
        <w:spacing w:beforeLines="0" w:afterLines="0" w:line="24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单 价 分 析 表</w:t>
      </w:r>
    </w:p>
    <w:p w14:paraId="5ED4FF46">
      <w:pPr>
        <w:widowControl w:val="0"/>
        <w:adjustRightInd w:val="0"/>
        <w:spacing w:beforeLines="0" w:afterLines="0" w:line="360"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设备名称：                                设备单价：</w:t>
      </w:r>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5"/>
        <w:gridCol w:w="7"/>
        <w:gridCol w:w="1693"/>
        <w:gridCol w:w="912"/>
        <w:gridCol w:w="1464"/>
        <w:gridCol w:w="1245"/>
        <w:gridCol w:w="1245"/>
        <w:gridCol w:w="1302"/>
      </w:tblGrid>
      <w:tr w14:paraId="3EDD5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12" w:space="0"/>
              <w:bottom w:val="single" w:color="auto" w:sz="6" w:space="0"/>
            </w:tcBorders>
            <w:noWrap w:val="0"/>
            <w:vAlign w:val="center"/>
          </w:tcPr>
          <w:p w14:paraId="2DD5E51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序号</w:t>
            </w:r>
          </w:p>
        </w:tc>
        <w:tc>
          <w:tcPr>
            <w:tcW w:w="1693" w:type="dxa"/>
            <w:tcBorders>
              <w:top w:val="single" w:color="auto" w:sz="12" w:space="0"/>
              <w:bottom w:val="single" w:color="auto" w:sz="6" w:space="0"/>
            </w:tcBorders>
            <w:noWrap w:val="0"/>
            <w:vAlign w:val="center"/>
          </w:tcPr>
          <w:p w14:paraId="04810D5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项目及规格</w:t>
            </w:r>
          </w:p>
        </w:tc>
        <w:tc>
          <w:tcPr>
            <w:tcW w:w="912" w:type="dxa"/>
            <w:tcBorders>
              <w:top w:val="single" w:color="auto" w:sz="12" w:space="0"/>
              <w:bottom w:val="single" w:color="auto" w:sz="6" w:space="0"/>
            </w:tcBorders>
            <w:noWrap w:val="0"/>
            <w:vAlign w:val="center"/>
          </w:tcPr>
          <w:p w14:paraId="1AB8DAD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w:t>
            </w:r>
          </w:p>
        </w:tc>
        <w:tc>
          <w:tcPr>
            <w:tcW w:w="1464" w:type="dxa"/>
            <w:tcBorders>
              <w:top w:val="single" w:color="auto" w:sz="12" w:space="0"/>
              <w:bottom w:val="single" w:color="auto" w:sz="6" w:space="0"/>
            </w:tcBorders>
            <w:noWrap w:val="0"/>
            <w:vAlign w:val="center"/>
          </w:tcPr>
          <w:p w14:paraId="01ED22C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单价（元）</w:t>
            </w:r>
          </w:p>
        </w:tc>
        <w:tc>
          <w:tcPr>
            <w:tcW w:w="1245" w:type="dxa"/>
            <w:tcBorders>
              <w:top w:val="single" w:color="auto" w:sz="12" w:space="0"/>
              <w:bottom w:val="single" w:color="auto" w:sz="6" w:space="0"/>
            </w:tcBorders>
            <w:noWrap w:val="0"/>
            <w:vAlign w:val="center"/>
          </w:tcPr>
          <w:p w14:paraId="5B01AD2D">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耗用数量</w:t>
            </w:r>
          </w:p>
        </w:tc>
        <w:tc>
          <w:tcPr>
            <w:tcW w:w="1245" w:type="dxa"/>
            <w:tcBorders>
              <w:top w:val="single" w:color="auto" w:sz="12" w:space="0"/>
              <w:bottom w:val="single" w:color="auto" w:sz="6" w:space="0"/>
            </w:tcBorders>
            <w:noWrap w:val="0"/>
            <w:vAlign w:val="center"/>
          </w:tcPr>
          <w:p w14:paraId="0964DD8E">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合计（元）</w:t>
            </w:r>
          </w:p>
        </w:tc>
        <w:tc>
          <w:tcPr>
            <w:tcW w:w="1302" w:type="dxa"/>
            <w:tcBorders>
              <w:top w:val="single" w:color="auto" w:sz="12" w:space="0"/>
              <w:bottom w:val="single" w:color="auto" w:sz="6" w:space="0"/>
            </w:tcBorders>
            <w:noWrap w:val="0"/>
            <w:vAlign w:val="center"/>
          </w:tcPr>
          <w:p w14:paraId="66314E77">
            <w:pPr>
              <w:tabs>
                <w:tab w:val="left" w:pos="140"/>
              </w:tabs>
              <w:spacing w:beforeLines="0" w:afterLines="0" w:line="360" w:lineRule="auto"/>
              <w:ind w:left="0" w:leftChars="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备注</w:t>
            </w:r>
          </w:p>
        </w:tc>
      </w:tr>
      <w:tr w14:paraId="28912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4EE33EF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w:t>
            </w:r>
          </w:p>
        </w:tc>
        <w:tc>
          <w:tcPr>
            <w:tcW w:w="1693" w:type="dxa"/>
            <w:tcBorders>
              <w:top w:val="single" w:color="auto" w:sz="6" w:space="0"/>
              <w:bottom w:val="single" w:color="auto" w:sz="6" w:space="0"/>
            </w:tcBorders>
            <w:noWrap w:val="0"/>
            <w:vAlign w:val="center"/>
          </w:tcPr>
          <w:p w14:paraId="2D6D495E">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00B40CF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4C673F0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820825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657910F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752C281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7105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73378FB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w:t>
            </w:r>
          </w:p>
        </w:tc>
        <w:tc>
          <w:tcPr>
            <w:tcW w:w="1693" w:type="dxa"/>
            <w:tcBorders>
              <w:top w:val="single" w:color="auto" w:sz="6" w:space="0"/>
              <w:bottom w:val="single" w:color="auto" w:sz="6" w:space="0"/>
            </w:tcBorders>
            <w:noWrap w:val="0"/>
            <w:vAlign w:val="center"/>
          </w:tcPr>
          <w:p w14:paraId="49B17F3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155D3E83">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6A0297A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3ACFEF8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18DFCDB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4B31C55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3F9B3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1D61E6C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w:t>
            </w:r>
          </w:p>
        </w:tc>
        <w:tc>
          <w:tcPr>
            <w:tcW w:w="1693" w:type="dxa"/>
            <w:tcBorders>
              <w:top w:val="single" w:color="auto" w:sz="6" w:space="0"/>
              <w:bottom w:val="single" w:color="auto" w:sz="6" w:space="0"/>
            </w:tcBorders>
            <w:noWrap w:val="0"/>
            <w:vAlign w:val="center"/>
          </w:tcPr>
          <w:p w14:paraId="110EAE5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5413AB4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02FCDB4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0B6D25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6644413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5FB59CF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29710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5A20BB6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w:t>
            </w:r>
          </w:p>
        </w:tc>
        <w:tc>
          <w:tcPr>
            <w:tcW w:w="1693" w:type="dxa"/>
            <w:tcBorders>
              <w:top w:val="single" w:color="auto" w:sz="6" w:space="0"/>
              <w:bottom w:val="single" w:color="auto" w:sz="6" w:space="0"/>
            </w:tcBorders>
            <w:noWrap w:val="0"/>
            <w:vAlign w:val="center"/>
          </w:tcPr>
          <w:p w14:paraId="47C9996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3EB10EAD">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4B7036B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6C2E19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49CE31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4E7B67F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5A8778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2014ECD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693" w:type="dxa"/>
            <w:tcBorders>
              <w:top w:val="single" w:color="auto" w:sz="6" w:space="0"/>
              <w:bottom w:val="single" w:color="auto" w:sz="6" w:space="0"/>
            </w:tcBorders>
            <w:noWrap w:val="0"/>
            <w:vAlign w:val="center"/>
          </w:tcPr>
          <w:p w14:paraId="5C9558A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0FDE192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02F3150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419B38A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268C5C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5ACCAAA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5760E5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05" w:type="dxa"/>
            <w:tcBorders>
              <w:top w:val="single" w:color="auto" w:sz="6" w:space="0"/>
              <w:bottom w:val="single" w:color="auto" w:sz="12" w:space="0"/>
              <w:right w:val="single" w:color="auto" w:sz="4" w:space="0"/>
            </w:tcBorders>
            <w:noWrap w:val="0"/>
            <w:vAlign w:val="center"/>
          </w:tcPr>
          <w:p w14:paraId="2923C50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700" w:type="dxa"/>
            <w:gridSpan w:val="2"/>
            <w:tcBorders>
              <w:top w:val="single" w:color="auto" w:sz="6" w:space="0"/>
              <w:left w:val="single" w:color="auto" w:sz="4" w:space="0"/>
              <w:bottom w:val="single" w:color="auto" w:sz="12" w:space="0"/>
            </w:tcBorders>
            <w:noWrap w:val="0"/>
            <w:vAlign w:val="center"/>
          </w:tcPr>
          <w:p w14:paraId="69BA93F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w:t>
            </w:r>
          </w:p>
        </w:tc>
        <w:tc>
          <w:tcPr>
            <w:tcW w:w="912" w:type="dxa"/>
            <w:tcBorders>
              <w:top w:val="single" w:color="auto" w:sz="6" w:space="0"/>
              <w:bottom w:val="single" w:color="auto" w:sz="12" w:space="0"/>
            </w:tcBorders>
            <w:noWrap w:val="0"/>
            <w:vAlign w:val="center"/>
          </w:tcPr>
          <w:p w14:paraId="39F4B43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12" w:space="0"/>
            </w:tcBorders>
            <w:noWrap w:val="0"/>
            <w:vAlign w:val="center"/>
          </w:tcPr>
          <w:p w14:paraId="20B4528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2DF13B5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3347EF03">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12" w:space="0"/>
            </w:tcBorders>
            <w:noWrap w:val="0"/>
            <w:vAlign w:val="center"/>
          </w:tcPr>
          <w:p w14:paraId="624898B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bl>
    <w:p w14:paraId="2BEEABB5">
      <w:pPr>
        <w:widowControl/>
        <w:spacing w:beforeLines="0" w:afterLines="0"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rPr>
        <w:t>注：每台设备价格包括成本、包装费、运输费、保险费、税金、利润、附件及专用工具和技术服务费等所有费用。</w:t>
      </w:r>
    </w:p>
    <w:p w14:paraId="57D4A6DD">
      <w:pPr>
        <w:widowControl w:val="0"/>
        <w:adjustRightInd w:val="0"/>
        <w:spacing w:beforeLines="0" w:afterLines="0" w:line="360" w:lineRule="auto"/>
        <w:jc w:val="both"/>
        <w:rPr>
          <w:rFonts w:hint="eastAsia" w:ascii="宋体" w:hAnsi="宋体" w:eastAsia="宋体" w:cs="宋体"/>
          <w:color w:val="000000"/>
          <w:kern w:val="0"/>
          <w:sz w:val="21"/>
          <w:szCs w:val="21"/>
          <w:highlight w:val="none"/>
          <w:lang w:val="en-US" w:eastAsia="zh-CN" w:bidi="ar-SA"/>
        </w:rPr>
      </w:pPr>
    </w:p>
    <w:p w14:paraId="54C5487A">
      <w:pPr>
        <w:widowControl/>
        <w:spacing w:beforeLines="0" w:afterLines="0" w:line="360" w:lineRule="auto"/>
        <w:jc w:val="right"/>
        <w:rPr>
          <w:rFonts w:hint="eastAsia" w:ascii="宋体" w:hAnsi="宋体" w:eastAsia="宋体" w:cs="宋体"/>
          <w:sz w:val="21"/>
          <w:szCs w:val="21"/>
          <w:highlight w:val="none"/>
        </w:rPr>
      </w:pPr>
    </w:p>
    <w:p w14:paraId="339DF7D3">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73BE82D3">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57CD0F9F">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388F480B">
      <w:pPr>
        <w:keepNext/>
        <w:keepLines/>
        <w:spacing w:before="0" w:after="0" w:line="360" w:lineRule="auto"/>
        <w:jc w:val="center"/>
        <w:outlineLvl w:val="1"/>
        <w:rPr>
          <w:rFonts w:hint="eastAsia" w:ascii="宋体" w:hAnsi="宋体" w:eastAsia="宋体" w:cs="宋体"/>
          <w:b/>
          <w:bCs/>
          <w:kern w:val="0"/>
          <w:sz w:val="28"/>
          <w:szCs w:val="28"/>
          <w:highlight w:val="none"/>
          <w:lang w:val="en-US" w:eastAsia="zh-CN" w:bidi="ar-SA"/>
        </w:rPr>
      </w:pPr>
      <w:r>
        <w:rPr>
          <w:rFonts w:hint="eastAsia" w:ascii="宋体" w:hAnsi="宋体" w:eastAsia="宋体" w:cs="宋体"/>
          <w:b/>
          <w:bCs/>
          <w:spacing w:val="8"/>
          <w:kern w:val="0"/>
          <w:sz w:val="32"/>
          <w:szCs w:val="21"/>
          <w:highlight w:val="none"/>
          <w:lang w:val="en-US" w:eastAsia="zh-CN" w:bidi="ar-SA"/>
        </w:rPr>
        <w:br w:type="page"/>
      </w:r>
      <w:bookmarkStart w:id="1070" w:name="_Toc21252"/>
      <w:bookmarkStart w:id="1071" w:name="_Toc91345079"/>
      <w:bookmarkStart w:id="1072" w:name="_Toc32447"/>
      <w:r>
        <w:rPr>
          <w:rFonts w:hint="eastAsia" w:ascii="宋体" w:hAnsi="宋体" w:eastAsia="宋体" w:cs="宋体"/>
          <w:b/>
          <w:bCs/>
          <w:kern w:val="2"/>
          <w:sz w:val="24"/>
          <w:szCs w:val="24"/>
          <w:highlight w:val="none"/>
          <w:lang w:val="en-US" w:eastAsia="zh-CN" w:bidi="ar-SA"/>
        </w:rPr>
        <w:t>六、资格审查资料</w:t>
      </w:r>
      <w:bookmarkEnd w:id="1070"/>
      <w:bookmarkEnd w:id="1071"/>
      <w:bookmarkEnd w:id="1072"/>
    </w:p>
    <w:p w14:paraId="3666F5B2">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bookmarkStart w:id="1073" w:name="_Toc15087"/>
      <w:bookmarkStart w:id="1074" w:name="_Toc18023"/>
      <w:bookmarkStart w:id="1075" w:name="_Toc6823"/>
      <w:bookmarkStart w:id="1076" w:name="_Toc2335"/>
      <w:r>
        <w:rPr>
          <w:rFonts w:hint="eastAsia" w:ascii="宋体" w:hAnsi="宋体" w:eastAsia="宋体" w:cs="宋体"/>
          <w:b/>
          <w:bCs w:val="0"/>
          <w:color w:val="auto"/>
          <w:kern w:val="0"/>
          <w:sz w:val="24"/>
          <w:szCs w:val="24"/>
          <w:highlight w:val="none"/>
          <w:lang w:val="en-US" w:eastAsia="zh-CN" w:bidi="ar-SA"/>
        </w:rPr>
        <w:t>（一）基本情况表</w:t>
      </w:r>
      <w:bookmarkEnd w:id="1073"/>
      <w:bookmarkEnd w:id="1074"/>
      <w:bookmarkEnd w:id="1075"/>
      <w:bookmarkEnd w:id="1076"/>
    </w:p>
    <w:tbl>
      <w:tblPr>
        <w:tblStyle w:val="2"/>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2"/>
        <w:gridCol w:w="1215"/>
        <w:gridCol w:w="1916"/>
        <w:gridCol w:w="1260"/>
        <w:gridCol w:w="2186"/>
      </w:tblGrid>
      <w:tr w14:paraId="4916D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72C470E5">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bookmarkStart w:id="1077" w:name="_bookmark164"/>
            <w:bookmarkEnd w:id="1077"/>
            <w:r>
              <w:rPr>
                <w:rFonts w:hint="eastAsia" w:ascii="宋体" w:hAnsi="宋体" w:eastAsia="宋体" w:cs="宋体"/>
                <w:kern w:val="0"/>
                <w:sz w:val="21"/>
                <w:szCs w:val="21"/>
                <w:highlight w:val="none"/>
                <w:lang w:val="en-US" w:eastAsia="en-US" w:bidi="ar-SA"/>
              </w:rPr>
              <w:t>投标人名称</w:t>
            </w:r>
          </w:p>
        </w:tc>
        <w:tc>
          <w:tcPr>
            <w:tcW w:w="6577" w:type="dxa"/>
            <w:gridSpan w:val="4"/>
            <w:noWrap w:val="0"/>
            <w:vAlign w:val="center"/>
          </w:tcPr>
          <w:p w14:paraId="35875ACB">
            <w:pPr>
              <w:widowControl/>
              <w:spacing w:beforeLines="0" w:afterLines="0" w:line="360" w:lineRule="auto"/>
              <w:jc w:val="center"/>
              <w:rPr>
                <w:rFonts w:hint="eastAsia" w:ascii="宋体" w:hAnsi="宋体" w:eastAsia="宋体" w:cs="宋体"/>
                <w:sz w:val="21"/>
                <w:szCs w:val="21"/>
                <w:highlight w:val="none"/>
              </w:rPr>
            </w:pPr>
          </w:p>
        </w:tc>
      </w:tr>
      <w:tr w14:paraId="540F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FB78BD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注册资金</w:t>
            </w:r>
          </w:p>
        </w:tc>
        <w:tc>
          <w:tcPr>
            <w:tcW w:w="3131" w:type="dxa"/>
            <w:gridSpan w:val="2"/>
            <w:noWrap w:val="0"/>
            <w:vAlign w:val="center"/>
          </w:tcPr>
          <w:p w14:paraId="39A97F03">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1C62B10">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成立时间</w:t>
            </w:r>
          </w:p>
        </w:tc>
        <w:tc>
          <w:tcPr>
            <w:tcW w:w="2186" w:type="dxa"/>
            <w:noWrap w:val="0"/>
            <w:vAlign w:val="center"/>
          </w:tcPr>
          <w:p w14:paraId="57284126">
            <w:pPr>
              <w:widowControl/>
              <w:spacing w:beforeLines="0" w:afterLines="0" w:line="360" w:lineRule="auto"/>
              <w:jc w:val="center"/>
              <w:rPr>
                <w:rFonts w:hint="eastAsia" w:ascii="宋体" w:hAnsi="宋体" w:eastAsia="宋体" w:cs="宋体"/>
                <w:sz w:val="21"/>
                <w:szCs w:val="21"/>
                <w:highlight w:val="none"/>
              </w:rPr>
            </w:pPr>
          </w:p>
        </w:tc>
      </w:tr>
      <w:tr w14:paraId="14DB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59BBD3C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注册地址</w:t>
            </w:r>
          </w:p>
        </w:tc>
        <w:tc>
          <w:tcPr>
            <w:tcW w:w="6577" w:type="dxa"/>
            <w:gridSpan w:val="4"/>
            <w:noWrap w:val="0"/>
            <w:vAlign w:val="center"/>
          </w:tcPr>
          <w:p w14:paraId="1DC090C7">
            <w:pPr>
              <w:widowControl/>
              <w:spacing w:beforeLines="0" w:afterLines="0" w:line="360" w:lineRule="auto"/>
              <w:jc w:val="center"/>
              <w:rPr>
                <w:rFonts w:hint="eastAsia" w:ascii="宋体" w:hAnsi="宋体" w:eastAsia="宋体" w:cs="宋体"/>
                <w:sz w:val="21"/>
                <w:szCs w:val="21"/>
                <w:highlight w:val="none"/>
              </w:rPr>
            </w:pPr>
          </w:p>
        </w:tc>
      </w:tr>
      <w:tr w14:paraId="5E626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0780CC21">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邮政编码</w:t>
            </w:r>
          </w:p>
        </w:tc>
        <w:tc>
          <w:tcPr>
            <w:tcW w:w="3131" w:type="dxa"/>
            <w:gridSpan w:val="2"/>
            <w:noWrap w:val="0"/>
            <w:vAlign w:val="center"/>
          </w:tcPr>
          <w:p w14:paraId="2D2D0029">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636B1C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员工总数</w:t>
            </w:r>
          </w:p>
        </w:tc>
        <w:tc>
          <w:tcPr>
            <w:tcW w:w="2186" w:type="dxa"/>
            <w:noWrap w:val="0"/>
            <w:vAlign w:val="center"/>
          </w:tcPr>
          <w:p w14:paraId="5024F955">
            <w:pPr>
              <w:widowControl/>
              <w:spacing w:beforeLines="0" w:afterLines="0" w:line="360" w:lineRule="auto"/>
              <w:jc w:val="center"/>
              <w:rPr>
                <w:rFonts w:hint="eastAsia" w:ascii="宋体" w:hAnsi="宋体" w:eastAsia="宋体" w:cs="宋体"/>
                <w:sz w:val="21"/>
                <w:szCs w:val="21"/>
                <w:highlight w:val="none"/>
              </w:rPr>
            </w:pPr>
          </w:p>
        </w:tc>
      </w:tr>
      <w:tr w14:paraId="47F01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vMerge w:val="restart"/>
            <w:noWrap w:val="0"/>
            <w:vAlign w:val="center"/>
          </w:tcPr>
          <w:p w14:paraId="4E7FBD3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1215" w:type="dxa"/>
            <w:noWrap w:val="0"/>
            <w:vAlign w:val="center"/>
          </w:tcPr>
          <w:p w14:paraId="260D615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1916" w:type="dxa"/>
            <w:noWrap w:val="0"/>
            <w:vAlign w:val="center"/>
          </w:tcPr>
          <w:p w14:paraId="28FE5021">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295675D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2186" w:type="dxa"/>
            <w:noWrap w:val="0"/>
            <w:vAlign w:val="center"/>
          </w:tcPr>
          <w:p w14:paraId="43090625">
            <w:pPr>
              <w:widowControl/>
              <w:spacing w:beforeLines="0" w:afterLines="0" w:line="360" w:lineRule="auto"/>
              <w:jc w:val="center"/>
              <w:rPr>
                <w:rFonts w:hint="eastAsia" w:ascii="宋体" w:hAnsi="宋体" w:eastAsia="宋体" w:cs="宋体"/>
                <w:sz w:val="21"/>
                <w:szCs w:val="21"/>
                <w:highlight w:val="none"/>
              </w:rPr>
            </w:pPr>
          </w:p>
        </w:tc>
      </w:tr>
      <w:tr w14:paraId="1ED7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vMerge w:val="continue"/>
            <w:noWrap w:val="0"/>
            <w:vAlign w:val="center"/>
          </w:tcPr>
          <w:p w14:paraId="4E8D6BA1">
            <w:pPr>
              <w:widowControl/>
              <w:spacing w:beforeLines="0" w:afterLines="0" w:line="360" w:lineRule="auto"/>
              <w:jc w:val="center"/>
              <w:rPr>
                <w:rFonts w:hint="eastAsia" w:ascii="宋体" w:hAnsi="宋体" w:eastAsia="宋体" w:cs="宋体"/>
                <w:sz w:val="21"/>
                <w:szCs w:val="21"/>
                <w:highlight w:val="none"/>
              </w:rPr>
            </w:pPr>
          </w:p>
        </w:tc>
        <w:tc>
          <w:tcPr>
            <w:tcW w:w="1215" w:type="dxa"/>
            <w:noWrap w:val="0"/>
            <w:vAlign w:val="center"/>
          </w:tcPr>
          <w:p w14:paraId="6CD56A7D">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网址</w:t>
            </w:r>
          </w:p>
        </w:tc>
        <w:tc>
          <w:tcPr>
            <w:tcW w:w="1916" w:type="dxa"/>
            <w:noWrap w:val="0"/>
            <w:vAlign w:val="center"/>
          </w:tcPr>
          <w:p w14:paraId="2593EF40">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F4FFEB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p>
        </w:tc>
        <w:tc>
          <w:tcPr>
            <w:tcW w:w="2186" w:type="dxa"/>
            <w:noWrap w:val="0"/>
            <w:vAlign w:val="center"/>
          </w:tcPr>
          <w:p w14:paraId="61971A33">
            <w:pPr>
              <w:widowControl/>
              <w:spacing w:beforeLines="0" w:afterLines="0" w:line="360" w:lineRule="auto"/>
              <w:jc w:val="center"/>
              <w:rPr>
                <w:rFonts w:hint="eastAsia" w:ascii="宋体" w:hAnsi="宋体" w:eastAsia="宋体" w:cs="宋体"/>
                <w:sz w:val="21"/>
                <w:szCs w:val="21"/>
                <w:highlight w:val="none"/>
              </w:rPr>
            </w:pPr>
          </w:p>
        </w:tc>
      </w:tr>
      <w:tr w14:paraId="34A3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exact"/>
          <w:jc w:val="center"/>
        </w:trPr>
        <w:tc>
          <w:tcPr>
            <w:tcW w:w="2462" w:type="dxa"/>
            <w:noWrap w:val="0"/>
            <w:vAlign w:val="center"/>
          </w:tcPr>
          <w:p w14:paraId="57A66F3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法定代表人</w:t>
            </w:r>
          </w:p>
          <w:p w14:paraId="5A0DF17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（单位负责人）</w:t>
            </w:r>
          </w:p>
        </w:tc>
        <w:tc>
          <w:tcPr>
            <w:tcW w:w="1215" w:type="dxa"/>
            <w:noWrap w:val="0"/>
            <w:vAlign w:val="center"/>
          </w:tcPr>
          <w:p w14:paraId="392E62B7">
            <w:pPr>
              <w:widowControl w:val="0"/>
              <w:spacing w:beforeLines="0" w:afterLines="0" w:line="360" w:lineRule="auto"/>
              <w:jc w:val="center"/>
              <w:rPr>
                <w:rFonts w:hint="eastAsia" w:ascii="宋体" w:hAnsi="宋体" w:eastAsia="宋体" w:cs="宋体"/>
                <w:kern w:val="0"/>
                <w:sz w:val="21"/>
                <w:szCs w:val="21"/>
                <w:highlight w:val="none"/>
                <w:lang w:val="en-US" w:eastAsia="zh-CN" w:bidi="ar-SA"/>
              </w:rPr>
            </w:pPr>
          </w:p>
          <w:p w14:paraId="7A728C6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姓名</w:t>
            </w:r>
          </w:p>
        </w:tc>
        <w:tc>
          <w:tcPr>
            <w:tcW w:w="1916" w:type="dxa"/>
            <w:noWrap w:val="0"/>
            <w:vAlign w:val="center"/>
          </w:tcPr>
          <w:p w14:paraId="0C8EE9F6">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3B45EE2">
            <w:pPr>
              <w:widowControl w:val="0"/>
              <w:spacing w:beforeLines="0" w:afterLines="0" w:line="360" w:lineRule="auto"/>
              <w:jc w:val="center"/>
              <w:rPr>
                <w:rFonts w:hint="eastAsia" w:ascii="宋体" w:hAnsi="宋体" w:eastAsia="宋体" w:cs="宋体"/>
                <w:kern w:val="0"/>
                <w:sz w:val="21"/>
                <w:szCs w:val="21"/>
                <w:highlight w:val="none"/>
                <w:lang w:val="en-US" w:eastAsia="en-US" w:bidi="ar-SA"/>
              </w:rPr>
            </w:pPr>
          </w:p>
          <w:p w14:paraId="1593E28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电话</w:t>
            </w:r>
          </w:p>
        </w:tc>
        <w:tc>
          <w:tcPr>
            <w:tcW w:w="2186" w:type="dxa"/>
            <w:noWrap w:val="0"/>
            <w:vAlign w:val="center"/>
          </w:tcPr>
          <w:p w14:paraId="1ACA3C48">
            <w:pPr>
              <w:widowControl/>
              <w:spacing w:beforeLines="0" w:afterLines="0" w:line="360" w:lineRule="auto"/>
              <w:jc w:val="center"/>
              <w:rPr>
                <w:rFonts w:hint="eastAsia" w:ascii="宋体" w:hAnsi="宋体" w:eastAsia="宋体" w:cs="宋体"/>
                <w:sz w:val="21"/>
                <w:szCs w:val="21"/>
                <w:highlight w:val="none"/>
              </w:rPr>
            </w:pPr>
          </w:p>
        </w:tc>
      </w:tr>
      <w:tr w14:paraId="33A0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2EE01FD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基本账户开户银行</w:t>
            </w:r>
          </w:p>
        </w:tc>
        <w:tc>
          <w:tcPr>
            <w:tcW w:w="6577" w:type="dxa"/>
            <w:gridSpan w:val="4"/>
            <w:noWrap w:val="0"/>
            <w:vAlign w:val="top"/>
          </w:tcPr>
          <w:p w14:paraId="716ED116">
            <w:pPr>
              <w:widowControl/>
              <w:spacing w:beforeLines="0" w:afterLines="0" w:line="360" w:lineRule="auto"/>
              <w:jc w:val="left"/>
              <w:rPr>
                <w:rFonts w:hint="eastAsia" w:ascii="宋体" w:hAnsi="宋体" w:eastAsia="宋体" w:cs="宋体"/>
                <w:sz w:val="21"/>
                <w:szCs w:val="21"/>
                <w:highlight w:val="none"/>
              </w:rPr>
            </w:pPr>
          </w:p>
        </w:tc>
      </w:tr>
      <w:tr w14:paraId="72C1C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B28433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基本账户银行账号</w:t>
            </w:r>
          </w:p>
        </w:tc>
        <w:tc>
          <w:tcPr>
            <w:tcW w:w="6577" w:type="dxa"/>
            <w:gridSpan w:val="4"/>
            <w:noWrap w:val="0"/>
            <w:vAlign w:val="top"/>
          </w:tcPr>
          <w:p w14:paraId="517EA122">
            <w:pPr>
              <w:widowControl/>
              <w:spacing w:beforeLines="0" w:afterLines="0" w:line="360" w:lineRule="auto"/>
              <w:jc w:val="left"/>
              <w:rPr>
                <w:rFonts w:hint="eastAsia" w:ascii="宋体" w:hAnsi="宋体" w:eastAsia="宋体" w:cs="宋体"/>
                <w:sz w:val="21"/>
                <w:szCs w:val="21"/>
                <w:highlight w:val="none"/>
              </w:rPr>
            </w:pPr>
          </w:p>
        </w:tc>
      </w:tr>
      <w:tr w14:paraId="06376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5" w:hRule="exact"/>
          <w:jc w:val="center"/>
        </w:trPr>
        <w:tc>
          <w:tcPr>
            <w:tcW w:w="2462" w:type="dxa"/>
            <w:noWrap w:val="0"/>
            <w:vAlign w:val="center"/>
          </w:tcPr>
          <w:p w14:paraId="742BA179">
            <w:pPr>
              <w:widowControl w:val="0"/>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投标人关联企业情况</w:t>
            </w:r>
          </w:p>
          <w:p w14:paraId="62BEEE41">
            <w:pPr>
              <w:widowControl w:val="0"/>
              <w:spacing w:beforeLines="0" w:afterLines="0" w:line="360" w:lineRule="auto"/>
              <w:ind w:left="0" w:righ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（包括但不限于与投标人法定代表人（单位负责人）为同一人或者存在控股、管理</w:t>
            </w:r>
            <w:r>
              <w:rPr>
                <w:rFonts w:hint="eastAsia" w:ascii="宋体" w:hAnsi="宋体" w:eastAsia="宋体" w:cs="宋体"/>
                <w:kern w:val="0"/>
                <w:sz w:val="21"/>
                <w:szCs w:val="21"/>
                <w:highlight w:val="none"/>
                <w:lang w:val="en-US" w:eastAsia="en-US" w:bidi="ar-SA"/>
              </w:rPr>
              <w:t>关系的不同单位</w:t>
            </w:r>
          </w:p>
        </w:tc>
        <w:tc>
          <w:tcPr>
            <w:tcW w:w="6577" w:type="dxa"/>
            <w:gridSpan w:val="4"/>
            <w:noWrap w:val="0"/>
            <w:vAlign w:val="top"/>
          </w:tcPr>
          <w:p w14:paraId="58B4F34D">
            <w:pPr>
              <w:widowControl/>
              <w:spacing w:beforeLines="0" w:afterLines="0" w:line="360" w:lineRule="auto"/>
              <w:jc w:val="left"/>
              <w:rPr>
                <w:rFonts w:hint="eastAsia" w:ascii="宋体" w:hAnsi="宋体" w:eastAsia="宋体" w:cs="宋体"/>
                <w:sz w:val="21"/>
                <w:szCs w:val="21"/>
                <w:highlight w:val="none"/>
              </w:rPr>
            </w:pPr>
          </w:p>
        </w:tc>
      </w:tr>
      <w:tr w14:paraId="55CBD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exact"/>
          <w:jc w:val="center"/>
        </w:trPr>
        <w:tc>
          <w:tcPr>
            <w:tcW w:w="2462" w:type="dxa"/>
            <w:noWrap w:val="0"/>
            <w:vAlign w:val="center"/>
          </w:tcPr>
          <w:p w14:paraId="0BEBAFFE">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投标设备制造商名称</w:t>
            </w:r>
          </w:p>
        </w:tc>
        <w:tc>
          <w:tcPr>
            <w:tcW w:w="6577" w:type="dxa"/>
            <w:gridSpan w:val="4"/>
            <w:noWrap w:val="0"/>
            <w:vAlign w:val="top"/>
          </w:tcPr>
          <w:p w14:paraId="1338AB22">
            <w:pPr>
              <w:widowControl/>
              <w:spacing w:beforeLines="0" w:afterLines="0" w:line="360" w:lineRule="auto"/>
              <w:jc w:val="left"/>
              <w:rPr>
                <w:rFonts w:hint="eastAsia" w:ascii="宋体" w:hAnsi="宋体" w:eastAsia="宋体" w:cs="宋体"/>
                <w:sz w:val="21"/>
                <w:szCs w:val="21"/>
                <w:highlight w:val="none"/>
              </w:rPr>
            </w:pPr>
          </w:p>
        </w:tc>
      </w:tr>
      <w:tr w14:paraId="64FD4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exact"/>
          <w:jc w:val="center"/>
        </w:trPr>
        <w:tc>
          <w:tcPr>
            <w:tcW w:w="2462" w:type="dxa"/>
            <w:noWrap w:val="0"/>
            <w:vAlign w:val="top"/>
          </w:tcPr>
          <w:p w14:paraId="51A7C2D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备注</w:t>
            </w:r>
          </w:p>
        </w:tc>
        <w:tc>
          <w:tcPr>
            <w:tcW w:w="6577" w:type="dxa"/>
            <w:gridSpan w:val="4"/>
            <w:noWrap w:val="0"/>
            <w:vAlign w:val="top"/>
          </w:tcPr>
          <w:p w14:paraId="56CFA027">
            <w:pPr>
              <w:widowControl/>
              <w:spacing w:beforeLines="0" w:afterLines="0" w:line="360" w:lineRule="auto"/>
              <w:jc w:val="left"/>
              <w:rPr>
                <w:rFonts w:hint="eastAsia" w:ascii="宋体" w:hAnsi="宋体" w:eastAsia="宋体" w:cs="宋体"/>
                <w:sz w:val="21"/>
                <w:szCs w:val="21"/>
                <w:highlight w:val="none"/>
              </w:rPr>
            </w:pPr>
          </w:p>
        </w:tc>
      </w:tr>
    </w:tbl>
    <w:p w14:paraId="7C69029D">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bCs/>
          <w:szCs w:val="21"/>
          <w:highlight w:val="none"/>
        </w:rPr>
      </w:pPr>
      <w:r>
        <w:rPr>
          <w:rFonts w:hint="eastAsia" w:ascii="宋体" w:hAnsi="宋体" w:eastAsia="宋体" w:cs="宋体"/>
          <w:b w:val="0"/>
          <w:bCs w:val="0"/>
          <w:sz w:val="21"/>
          <w:szCs w:val="21"/>
          <w:highlight w:val="none"/>
        </w:rPr>
        <w:t>注：本表后附营业执照等相关证明材料的原件扫描件。</w:t>
      </w:r>
    </w:p>
    <w:p w14:paraId="46D34697">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rPr>
      </w:pPr>
      <w:bookmarkStart w:id="1078" w:name="_Toc19774"/>
    </w:p>
    <w:p w14:paraId="50285E37">
      <w:pPr>
        <w:widowControl/>
        <w:jc w:val="left"/>
        <w:rPr>
          <w:rFonts w:hint="eastAsia" w:ascii="宋体" w:hAnsi="宋体" w:eastAsia="宋体" w:cs="宋体"/>
          <w:b/>
          <w:bCs w:val="0"/>
          <w:color w:val="auto"/>
          <w:kern w:val="0"/>
          <w:sz w:val="24"/>
          <w:szCs w:val="24"/>
          <w:highlight w:val="none"/>
          <w:lang w:val="en-US" w:eastAsia="zh-CN" w:bidi="ar-SA"/>
        </w:rPr>
      </w:pPr>
      <w:bookmarkStart w:id="1079" w:name="_Toc12692"/>
      <w:bookmarkStart w:id="1080" w:name="_Toc13639"/>
      <w:bookmarkStart w:id="1081" w:name="_Toc6833"/>
      <w:r>
        <w:rPr>
          <w:rFonts w:hint="eastAsia" w:ascii="宋体" w:hAnsi="宋体" w:eastAsia="宋体" w:cs="宋体"/>
          <w:b/>
          <w:bCs w:val="0"/>
          <w:color w:val="auto"/>
          <w:kern w:val="0"/>
          <w:sz w:val="24"/>
          <w:szCs w:val="24"/>
          <w:highlight w:val="none"/>
          <w:lang w:val="en-US" w:eastAsia="zh-CN" w:bidi="ar-SA"/>
        </w:rPr>
        <w:br w:type="page"/>
      </w:r>
    </w:p>
    <w:p w14:paraId="6792AA7E">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（二）近年财务状况表</w:t>
      </w:r>
      <w:bookmarkEnd w:id="1078"/>
      <w:bookmarkEnd w:id="1079"/>
      <w:bookmarkEnd w:id="1080"/>
      <w:bookmarkEnd w:id="1081"/>
    </w:p>
    <w:p w14:paraId="03C23B1F">
      <w:pPr>
        <w:widowControl/>
        <w:spacing w:beforeLines="0" w:afterLines="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财务状况表</w:t>
      </w:r>
    </w:p>
    <w:tbl>
      <w:tblPr>
        <w:tblStyle w:val="2"/>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5"/>
        <w:gridCol w:w="1755"/>
        <w:gridCol w:w="1755"/>
        <w:gridCol w:w="1755"/>
        <w:gridCol w:w="1756"/>
      </w:tblGrid>
      <w:tr w14:paraId="2754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1DA197A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755" w:type="dxa"/>
            <w:noWrap w:val="0"/>
            <w:vAlign w:val="center"/>
          </w:tcPr>
          <w:p w14:paraId="4AB73B0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755" w:type="dxa"/>
            <w:noWrap w:val="0"/>
            <w:vAlign w:val="center"/>
          </w:tcPr>
          <w:p w14:paraId="1047572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年度</w:t>
            </w:r>
          </w:p>
        </w:tc>
        <w:tc>
          <w:tcPr>
            <w:tcW w:w="1755" w:type="dxa"/>
            <w:noWrap w:val="0"/>
            <w:vAlign w:val="center"/>
          </w:tcPr>
          <w:p w14:paraId="254D450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年度</w:t>
            </w:r>
          </w:p>
        </w:tc>
        <w:tc>
          <w:tcPr>
            <w:tcW w:w="1756" w:type="dxa"/>
            <w:noWrap w:val="0"/>
            <w:vAlign w:val="center"/>
          </w:tcPr>
          <w:p w14:paraId="29F5C0C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年度</w:t>
            </w:r>
          </w:p>
        </w:tc>
      </w:tr>
      <w:tr w14:paraId="7210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668FBFA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一、注册资金</w:t>
            </w:r>
          </w:p>
        </w:tc>
        <w:tc>
          <w:tcPr>
            <w:tcW w:w="1755" w:type="dxa"/>
            <w:noWrap w:val="0"/>
            <w:vAlign w:val="center"/>
          </w:tcPr>
          <w:p w14:paraId="540D6DD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EF4D92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6200B1A7">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19D7819">
            <w:pPr>
              <w:widowControl/>
              <w:spacing w:beforeLines="0" w:afterLines="0" w:line="360" w:lineRule="auto"/>
              <w:jc w:val="center"/>
              <w:rPr>
                <w:rFonts w:hint="eastAsia" w:ascii="宋体" w:hAnsi="宋体" w:eastAsia="宋体" w:cs="宋体"/>
                <w:sz w:val="21"/>
                <w:szCs w:val="21"/>
                <w:highlight w:val="none"/>
              </w:rPr>
            </w:pPr>
          </w:p>
        </w:tc>
      </w:tr>
      <w:tr w14:paraId="0E76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6A4A736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二、净资产</w:t>
            </w:r>
          </w:p>
        </w:tc>
        <w:tc>
          <w:tcPr>
            <w:tcW w:w="1755" w:type="dxa"/>
            <w:noWrap w:val="0"/>
            <w:vAlign w:val="center"/>
          </w:tcPr>
          <w:p w14:paraId="6D9D6B7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FE0E10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A240AE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0BEDD2E">
            <w:pPr>
              <w:widowControl/>
              <w:spacing w:beforeLines="0" w:afterLines="0" w:line="360" w:lineRule="auto"/>
              <w:jc w:val="center"/>
              <w:rPr>
                <w:rFonts w:hint="eastAsia" w:ascii="宋体" w:hAnsi="宋体" w:eastAsia="宋体" w:cs="宋体"/>
                <w:sz w:val="21"/>
                <w:szCs w:val="21"/>
                <w:highlight w:val="none"/>
              </w:rPr>
            </w:pPr>
          </w:p>
        </w:tc>
      </w:tr>
      <w:tr w14:paraId="6954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462AA28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三、总资产</w:t>
            </w:r>
          </w:p>
        </w:tc>
        <w:tc>
          <w:tcPr>
            <w:tcW w:w="1755" w:type="dxa"/>
            <w:noWrap w:val="0"/>
            <w:vAlign w:val="center"/>
          </w:tcPr>
          <w:p w14:paraId="0D7D8A94">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5ACB5A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D39C82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3D52C23">
            <w:pPr>
              <w:widowControl/>
              <w:spacing w:beforeLines="0" w:afterLines="0" w:line="360" w:lineRule="auto"/>
              <w:jc w:val="center"/>
              <w:rPr>
                <w:rFonts w:hint="eastAsia" w:ascii="宋体" w:hAnsi="宋体" w:eastAsia="宋体" w:cs="宋体"/>
                <w:sz w:val="21"/>
                <w:szCs w:val="21"/>
                <w:highlight w:val="none"/>
              </w:rPr>
            </w:pPr>
          </w:p>
        </w:tc>
      </w:tr>
      <w:tr w14:paraId="7CFE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4EB232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四、固定资产</w:t>
            </w:r>
          </w:p>
        </w:tc>
        <w:tc>
          <w:tcPr>
            <w:tcW w:w="1755" w:type="dxa"/>
            <w:noWrap w:val="0"/>
            <w:vAlign w:val="center"/>
          </w:tcPr>
          <w:p w14:paraId="0259785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75F660C">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320628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7FA6764A">
            <w:pPr>
              <w:widowControl/>
              <w:spacing w:beforeLines="0" w:afterLines="0" w:line="360" w:lineRule="auto"/>
              <w:jc w:val="center"/>
              <w:rPr>
                <w:rFonts w:hint="eastAsia" w:ascii="宋体" w:hAnsi="宋体" w:eastAsia="宋体" w:cs="宋体"/>
                <w:sz w:val="21"/>
                <w:szCs w:val="21"/>
                <w:highlight w:val="none"/>
              </w:rPr>
            </w:pPr>
          </w:p>
        </w:tc>
      </w:tr>
      <w:tr w14:paraId="6E6F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5176118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五、流动资产</w:t>
            </w:r>
          </w:p>
        </w:tc>
        <w:tc>
          <w:tcPr>
            <w:tcW w:w="1755" w:type="dxa"/>
            <w:noWrap w:val="0"/>
            <w:vAlign w:val="center"/>
          </w:tcPr>
          <w:p w14:paraId="612ACF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59DC6A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A60841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BB9B673">
            <w:pPr>
              <w:widowControl/>
              <w:spacing w:beforeLines="0" w:afterLines="0" w:line="360" w:lineRule="auto"/>
              <w:jc w:val="center"/>
              <w:rPr>
                <w:rFonts w:hint="eastAsia" w:ascii="宋体" w:hAnsi="宋体" w:eastAsia="宋体" w:cs="宋体"/>
                <w:sz w:val="21"/>
                <w:szCs w:val="21"/>
                <w:highlight w:val="none"/>
              </w:rPr>
            </w:pPr>
          </w:p>
        </w:tc>
      </w:tr>
      <w:tr w14:paraId="7B4B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276CCE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六、流动负债</w:t>
            </w:r>
          </w:p>
        </w:tc>
        <w:tc>
          <w:tcPr>
            <w:tcW w:w="1755" w:type="dxa"/>
            <w:noWrap w:val="0"/>
            <w:vAlign w:val="center"/>
          </w:tcPr>
          <w:p w14:paraId="5A698F3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D08E08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9AA1729">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5D13C9E">
            <w:pPr>
              <w:widowControl/>
              <w:spacing w:beforeLines="0" w:afterLines="0" w:line="360" w:lineRule="auto"/>
              <w:jc w:val="center"/>
              <w:rPr>
                <w:rFonts w:hint="eastAsia" w:ascii="宋体" w:hAnsi="宋体" w:eastAsia="宋体" w:cs="宋体"/>
                <w:sz w:val="21"/>
                <w:szCs w:val="21"/>
                <w:highlight w:val="none"/>
              </w:rPr>
            </w:pPr>
          </w:p>
        </w:tc>
      </w:tr>
      <w:tr w14:paraId="2A1E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3701547">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七、负债合计</w:t>
            </w:r>
          </w:p>
        </w:tc>
        <w:tc>
          <w:tcPr>
            <w:tcW w:w="1755" w:type="dxa"/>
            <w:noWrap w:val="0"/>
            <w:vAlign w:val="center"/>
          </w:tcPr>
          <w:p w14:paraId="03F3056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0C0615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253F4D9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E0C27F7">
            <w:pPr>
              <w:widowControl/>
              <w:spacing w:beforeLines="0" w:afterLines="0" w:line="360" w:lineRule="auto"/>
              <w:jc w:val="center"/>
              <w:rPr>
                <w:rFonts w:hint="eastAsia" w:ascii="宋体" w:hAnsi="宋体" w:eastAsia="宋体" w:cs="宋体"/>
                <w:sz w:val="21"/>
                <w:szCs w:val="21"/>
                <w:highlight w:val="none"/>
              </w:rPr>
            </w:pPr>
          </w:p>
        </w:tc>
      </w:tr>
      <w:tr w14:paraId="4D2F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73CE5C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八、营业收入</w:t>
            </w:r>
          </w:p>
        </w:tc>
        <w:tc>
          <w:tcPr>
            <w:tcW w:w="1755" w:type="dxa"/>
            <w:noWrap w:val="0"/>
            <w:vAlign w:val="center"/>
          </w:tcPr>
          <w:p w14:paraId="2B58121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B2E36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A0C08E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3F6EA4E0">
            <w:pPr>
              <w:widowControl/>
              <w:spacing w:beforeLines="0" w:afterLines="0" w:line="360" w:lineRule="auto"/>
              <w:jc w:val="center"/>
              <w:rPr>
                <w:rFonts w:hint="eastAsia" w:ascii="宋体" w:hAnsi="宋体" w:eastAsia="宋体" w:cs="宋体"/>
                <w:sz w:val="21"/>
                <w:szCs w:val="21"/>
                <w:highlight w:val="none"/>
              </w:rPr>
            </w:pPr>
          </w:p>
        </w:tc>
      </w:tr>
      <w:tr w14:paraId="0737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775EF64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九、净利润</w:t>
            </w:r>
          </w:p>
        </w:tc>
        <w:tc>
          <w:tcPr>
            <w:tcW w:w="1755" w:type="dxa"/>
            <w:noWrap w:val="0"/>
            <w:vAlign w:val="center"/>
          </w:tcPr>
          <w:p w14:paraId="150D3DE9">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27E20C8">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056FABE">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98A8B72">
            <w:pPr>
              <w:widowControl/>
              <w:spacing w:beforeLines="0" w:afterLines="0" w:line="360" w:lineRule="auto"/>
              <w:jc w:val="center"/>
              <w:rPr>
                <w:rFonts w:hint="eastAsia" w:ascii="宋体" w:hAnsi="宋体" w:eastAsia="宋体" w:cs="宋体"/>
                <w:sz w:val="21"/>
                <w:szCs w:val="21"/>
                <w:highlight w:val="none"/>
              </w:rPr>
            </w:pPr>
          </w:p>
        </w:tc>
      </w:tr>
      <w:tr w14:paraId="798E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755" w:type="dxa"/>
            <w:noWrap w:val="0"/>
            <w:vAlign w:val="center"/>
          </w:tcPr>
          <w:p w14:paraId="5A88F55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755" w:type="dxa"/>
            <w:noWrap w:val="0"/>
            <w:vAlign w:val="center"/>
          </w:tcPr>
          <w:p w14:paraId="3036375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E3C05FF">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676145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588FE325">
            <w:pPr>
              <w:widowControl/>
              <w:spacing w:beforeLines="0" w:afterLines="0" w:line="360" w:lineRule="auto"/>
              <w:jc w:val="center"/>
              <w:rPr>
                <w:rFonts w:hint="eastAsia" w:ascii="宋体" w:hAnsi="宋体" w:eastAsia="宋体" w:cs="宋体"/>
                <w:sz w:val="21"/>
                <w:szCs w:val="21"/>
                <w:highlight w:val="none"/>
              </w:rPr>
            </w:pPr>
          </w:p>
        </w:tc>
      </w:tr>
    </w:tbl>
    <w:p w14:paraId="195095EE">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注： 提供近三年（20</w:t>
      </w:r>
      <w:r>
        <w:rPr>
          <w:rFonts w:hint="eastAsia" w:ascii="宋体" w:hAnsi="宋体" w:eastAsia="宋体" w:cs="宋体"/>
          <w:b w:val="0"/>
          <w:bCs w:val="0"/>
          <w:szCs w:val="21"/>
          <w:highlight w:val="none"/>
          <w:lang w:val="en-US" w:eastAsia="zh-CN"/>
        </w:rPr>
        <w:t>23</w:t>
      </w:r>
      <w:r>
        <w:rPr>
          <w:rFonts w:hint="eastAsia" w:ascii="宋体" w:hAnsi="宋体" w:eastAsia="宋体" w:cs="宋体"/>
          <w:b w:val="0"/>
          <w:bCs w:val="0"/>
          <w:szCs w:val="21"/>
          <w:highlight w:val="none"/>
        </w:rPr>
        <w:t>、20</w:t>
      </w:r>
      <w:r>
        <w:rPr>
          <w:rFonts w:hint="eastAsia" w:ascii="宋体" w:hAnsi="宋体" w:eastAsia="宋体" w:cs="宋体"/>
          <w:b w:val="0"/>
          <w:bCs w:val="0"/>
          <w:szCs w:val="21"/>
          <w:highlight w:val="none"/>
          <w:lang w:val="en-US" w:eastAsia="zh-CN"/>
        </w:rPr>
        <w:t>24</w:t>
      </w:r>
      <w:r>
        <w:rPr>
          <w:rFonts w:hint="eastAsia" w:ascii="宋体" w:hAnsi="宋体" w:eastAsia="宋体" w:cs="宋体"/>
          <w:b w:val="0"/>
          <w:bCs w:val="0"/>
          <w:szCs w:val="21"/>
          <w:highlight w:val="none"/>
        </w:rPr>
        <w:t>、202</w:t>
      </w:r>
      <w:r>
        <w:rPr>
          <w:rFonts w:hint="eastAsia" w:ascii="宋体" w:hAnsi="宋体" w:eastAsia="宋体" w:cs="宋体"/>
          <w:b w:val="0"/>
          <w:bCs w:val="0"/>
          <w:szCs w:val="21"/>
          <w:highlight w:val="none"/>
          <w:lang w:val="en-US" w:eastAsia="zh-CN"/>
        </w:rPr>
        <w:t>5</w:t>
      </w:r>
      <w:r>
        <w:rPr>
          <w:rFonts w:hint="eastAsia" w:ascii="宋体" w:hAnsi="宋体" w:eastAsia="宋体" w:cs="宋体"/>
          <w:b w:val="0"/>
          <w:bCs w:val="0"/>
          <w:szCs w:val="21"/>
          <w:highlight w:val="none"/>
        </w:rPr>
        <w:t>）经会计师事务所或审计机构审计的财务</w:t>
      </w:r>
      <w:r>
        <w:rPr>
          <w:rFonts w:hint="eastAsia" w:ascii="宋体" w:hAnsi="宋体" w:eastAsia="宋体" w:cs="宋体"/>
          <w:b w:val="0"/>
          <w:bCs w:val="0"/>
          <w:szCs w:val="21"/>
          <w:highlight w:val="none"/>
          <w:lang w:val="en-US" w:eastAsia="zh-CN"/>
        </w:rPr>
        <w:t>审计</w:t>
      </w:r>
      <w:r>
        <w:rPr>
          <w:rFonts w:hint="eastAsia" w:ascii="宋体" w:hAnsi="宋体" w:eastAsia="宋体" w:cs="宋体"/>
          <w:b w:val="0"/>
          <w:bCs w:val="0"/>
          <w:szCs w:val="21"/>
          <w:highlight w:val="none"/>
        </w:rPr>
        <w:t>报告。</w:t>
      </w:r>
    </w:p>
    <w:p w14:paraId="21AFE7FB">
      <w:pPr>
        <w:widowControl/>
        <w:spacing w:before="0" w:beforeLines="0" w:afterLines="0" w:line="240" w:lineRule="auto"/>
        <w:ind w:left="0" w:leftChars="0" w:firstLine="0" w:firstLineChars="0"/>
        <w:jc w:val="left"/>
        <w:rPr>
          <w:rFonts w:hint="eastAsia" w:ascii="宋体" w:hAnsi="宋体" w:eastAsia="宋体" w:cs="宋体"/>
          <w:sz w:val="24"/>
          <w:szCs w:val="24"/>
          <w:highlight w:val="none"/>
        </w:rPr>
      </w:pPr>
    </w:p>
    <w:p w14:paraId="16565956">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2CB87761">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rPr>
      </w:pPr>
      <w:r>
        <w:rPr>
          <w:rFonts w:hint="eastAsia" w:ascii="宋体" w:hAnsi="宋体" w:eastAsia="宋体" w:cs="宋体"/>
          <w:b/>
          <w:szCs w:val="22"/>
          <w:highlight w:val="none"/>
        </w:rPr>
        <w:br w:type="page"/>
      </w:r>
      <w:bookmarkStart w:id="1082" w:name="_Toc24130"/>
      <w:bookmarkStart w:id="1083" w:name="_Toc14927"/>
      <w:bookmarkStart w:id="1084" w:name="_Toc230"/>
      <w:bookmarkStart w:id="1085" w:name="_Toc26942"/>
      <w:r>
        <w:rPr>
          <w:rFonts w:hint="eastAsia" w:ascii="宋体" w:hAnsi="宋体" w:eastAsia="宋体" w:cs="宋体"/>
          <w:b/>
          <w:bCs w:val="0"/>
          <w:color w:val="auto"/>
          <w:kern w:val="0"/>
          <w:sz w:val="24"/>
          <w:szCs w:val="24"/>
          <w:highlight w:val="none"/>
          <w:lang w:val="en-US" w:eastAsia="zh-CN" w:bidi="ar-SA"/>
        </w:rPr>
        <w:t>（三）</w:t>
      </w:r>
      <w:bookmarkEnd w:id="1082"/>
      <w:bookmarkEnd w:id="1083"/>
      <w:bookmarkEnd w:id="1084"/>
      <w:bookmarkEnd w:id="1085"/>
      <w:r>
        <w:rPr>
          <w:rFonts w:hint="eastAsia" w:ascii="宋体" w:hAnsi="宋体" w:eastAsia="宋体" w:cs="宋体"/>
          <w:b/>
          <w:bCs w:val="0"/>
          <w:color w:val="auto"/>
          <w:kern w:val="0"/>
          <w:sz w:val="24"/>
          <w:szCs w:val="24"/>
          <w:highlight w:val="none"/>
          <w:lang w:val="en-US" w:eastAsia="zh-CN" w:bidi="ar-SA"/>
        </w:rPr>
        <w:t>类似项目情况表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169"/>
        <w:gridCol w:w="1505"/>
        <w:gridCol w:w="1505"/>
        <w:gridCol w:w="1506"/>
        <w:gridCol w:w="1514"/>
      </w:tblGrid>
      <w:tr w14:paraId="4A11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40" w:type="dxa"/>
            <w:gridSpan w:val="6"/>
            <w:noWrap w:val="0"/>
            <w:vAlign w:val="top"/>
          </w:tcPr>
          <w:p w14:paraId="3E7C76E7">
            <w:pPr>
              <w:keepNext w:val="0"/>
              <w:keepLines w:val="0"/>
              <w:widowControl/>
              <w:suppressLineNumbers w:val="0"/>
              <w:spacing w:before="0" w:beforeLines="0" w:beforeAutospacing="0" w:after="0" w:afterLines="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类似项目汇总表</w:t>
            </w:r>
          </w:p>
        </w:tc>
      </w:tr>
      <w:tr w14:paraId="5F4A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4E5B9B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vertAlign w:val="baseline"/>
                <w:lang w:val="en-US" w:eastAsia="zh-CN"/>
              </w:rPr>
              <w:t>序号</w:t>
            </w:r>
          </w:p>
        </w:tc>
        <w:tc>
          <w:tcPr>
            <w:tcW w:w="2169" w:type="dxa"/>
            <w:noWrap w:val="0"/>
            <w:vAlign w:val="top"/>
          </w:tcPr>
          <w:p w14:paraId="1F61EDC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项目名称</w:t>
            </w:r>
          </w:p>
        </w:tc>
        <w:tc>
          <w:tcPr>
            <w:tcW w:w="1505" w:type="dxa"/>
            <w:noWrap w:val="0"/>
            <w:vAlign w:val="top"/>
          </w:tcPr>
          <w:p w14:paraId="0B7902B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发包人</w:t>
            </w:r>
          </w:p>
        </w:tc>
        <w:tc>
          <w:tcPr>
            <w:tcW w:w="1505" w:type="dxa"/>
            <w:noWrap w:val="0"/>
            <w:vAlign w:val="top"/>
          </w:tcPr>
          <w:p w14:paraId="65D6EE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合同金额</w:t>
            </w:r>
          </w:p>
        </w:tc>
        <w:tc>
          <w:tcPr>
            <w:tcW w:w="1506" w:type="dxa"/>
            <w:noWrap w:val="0"/>
            <w:vAlign w:val="top"/>
          </w:tcPr>
          <w:p w14:paraId="522BDD9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签订时间</w:t>
            </w:r>
          </w:p>
        </w:tc>
        <w:tc>
          <w:tcPr>
            <w:tcW w:w="1514" w:type="dxa"/>
            <w:noWrap w:val="0"/>
            <w:vAlign w:val="top"/>
          </w:tcPr>
          <w:p w14:paraId="6A35E5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项目负责人</w:t>
            </w:r>
          </w:p>
        </w:tc>
      </w:tr>
      <w:tr w14:paraId="043B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69BF195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68F0AC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7152B7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91AD66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6F6492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CE085E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43A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3CE6A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778A3A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2FCE44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DFF3BC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7CE6A0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AB85D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4318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D0BB13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808EDF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FE15D7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D20D64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B63544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749A413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3AEB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E4720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541477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816390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84495D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B80947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7D94B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5E1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46BC2E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0BC3885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217FD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BA8F8D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0742F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4818220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7DAB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602804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D89926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357751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2AE5C7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5E41C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5C99551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1F9E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20E4DA0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27A4EE4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90B698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7D98DC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61D5B5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62B8E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031CC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41" w:type="dxa"/>
            <w:noWrap w:val="0"/>
            <w:vAlign w:val="top"/>
          </w:tcPr>
          <w:p w14:paraId="3874225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3566EBB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413682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A4AE4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44F9919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08AA9BD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bl>
    <w:p w14:paraId="41EA6E10">
      <w:pPr>
        <w:widowControl/>
        <w:spacing w:beforeLines="0" w:afterLines="0"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注：后附单项情况表。</w:t>
      </w:r>
    </w:p>
    <w:p w14:paraId="000013AB">
      <w:pPr>
        <w:widowControl/>
        <w:spacing w:beforeLines="0" w:afterLines="0"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2"/>
          <w:highlight w:val="none"/>
        </w:rPr>
        <w:br w:type="page"/>
      </w:r>
      <w:r>
        <w:rPr>
          <w:rFonts w:hint="eastAsia" w:ascii="宋体" w:hAnsi="宋体" w:eastAsia="宋体" w:cs="宋体"/>
          <w:color w:val="auto"/>
          <w:sz w:val="21"/>
          <w:szCs w:val="21"/>
          <w:highlight w:val="none"/>
          <w:lang w:val="en-US" w:eastAsia="zh-CN"/>
        </w:rPr>
        <w:t>序号：</w:t>
      </w:r>
    </w:p>
    <w:tbl>
      <w:tblPr>
        <w:tblStyle w:val="2"/>
        <w:tblW w:w="8499"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51"/>
        <w:gridCol w:w="6148"/>
      </w:tblGrid>
      <w:tr w14:paraId="071C0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exact"/>
        </w:trPr>
        <w:tc>
          <w:tcPr>
            <w:tcW w:w="2351" w:type="dxa"/>
            <w:noWrap w:val="0"/>
            <w:vAlign w:val="center"/>
          </w:tcPr>
          <w:p w14:paraId="2F82758B">
            <w:pPr>
              <w:widowControl/>
              <w:jc w:val="left"/>
              <w:rPr>
                <w:rFonts w:ascii="Times New Roman" w:hAnsi="Times New Roman" w:eastAsia="宋体" w:cs="Times New Roman"/>
                <w:szCs w:val="22"/>
              </w:rPr>
            </w:pPr>
          </w:p>
          <w:p w14:paraId="2DE4640E">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设备名称</w:t>
            </w:r>
          </w:p>
        </w:tc>
        <w:tc>
          <w:tcPr>
            <w:tcW w:w="6148" w:type="dxa"/>
            <w:noWrap w:val="0"/>
            <w:vAlign w:val="top"/>
          </w:tcPr>
          <w:p w14:paraId="296BA194">
            <w:pPr>
              <w:widowControl/>
              <w:spacing w:beforeLines="0" w:afterLines="0" w:line="360" w:lineRule="auto"/>
              <w:jc w:val="left"/>
              <w:rPr>
                <w:rFonts w:hint="eastAsia" w:ascii="宋体" w:hAnsi="宋体" w:eastAsia="宋体" w:cs="宋体"/>
                <w:color w:val="auto"/>
                <w:sz w:val="21"/>
                <w:szCs w:val="21"/>
                <w:highlight w:val="none"/>
              </w:rPr>
            </w:pPr>
          </w:p>
        </w:tc>
      </w:tr>
      <w:tr w14:paraId="2202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exact"/>
        </w:trPr>
        <w:tc>
          <w:tcPr>
            <w:tcW w:w="2351" w:type="dxa"/>
            <w:noWrap w:val="0"/>
            <w:vAlign w:val="center"/>
          </w:tcPr>
          <w:p w14:paraId="11A2D636">
            <w:pPr>
              <w:widowControl/>
              <w:jc w:val="left"/>
              <w:rPr>
                <w:rFonts w:ascii="Times New Roman" w:hAnsi="Times New Roman" w:eastAsia="宋体" w:cs="Times New Roman"/>
                <w:szCs w:val="22"/>
              </w:rPr>
            </w:pPr>
          </w:p>
          <w:p w14:paraId="50CCA959">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规格和型号</w:t>
            </w:r>
          </w:p>
        </w:tc>
        <w:tc>
          <w:tcPr>
            <w:tcW w:w="6148" w:type="dxa"/>
            <w:noWrap w:val="0"/>
            <w:vAlign w:val="top"/>
          </w:tcPr>
          <w:p w14:paraId="72FBBC61">
            <w:pPr>
              <w:widowControl/>
              <w:spacing w:beforeLines="0" w:afterLines="0" w:line="360" w:lineRule="auto"/>
              <w:jc w:val="left"/>
              <w:rPr>
                <w:rFonts w:hint="eastAsia" w:ascii="宋体" w:hAnsi="宋体" w:eastAsia="宋体" w:cs="宋体"/>
                <w:color w:val="auto"/>
                <w:sz w:val="21"/>
                <w:szCs w:val="21"/>
                <w:highlight w:val="none"/>
              </w:rPr>
            </w:pPr>
          </w:p>
        </w:tc>
      </w:tr>
      <w:tr w14:paraId="64EA8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exact"/>
        </w:trPr>
        <w:tc>
          <w:tcPr>
            <w:tcW w:w="2351" w:type="dxa"/>
            <w:noWrap w:val="0"/>
            <w:vAlign w:val="center"/>
          </w:tcPr>
          <w:p w14:paraId="6ECC707C">
            <w:pPr>
              <w:widowControl/>
              <w:jc w:val="left"/>
              <w:rPr>
                <w:rFonts w:ascii="Times New Roman" w:hAnsi="Times New Roman" w:eastAsia="宋体" w:cs="Times New Roman"/>
                <w:szCs w:val="22"/>
              </w:rPr>
            </w:pPr>
          </w:p>
          <w:p w14:paraId="6941C823">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项目名称</w:t>
            </w:r>
          </w:p>
        </w:tc>
        <w:tc>
          <w:tcPr>
            <w:tcW w:w="6148" w:type="dxa"/>
            <w:noWrap w:val="0"/>
            <w:vAlign w:val="top"/>
          </w:tcPr>
          <w:p w14:paraId="3204AC7D">
            <w:pPr>
              <w:widowControl/>
              <w:spacing w:beforeLines="0" w:afterLines="0" w:line="360" w:lineRule="auto"/>
              <w:jc w:val="left"/>
              <w:rPr>
                <w:rFonts w:hint="eastAsia" w:ascii="宋体" w:hAnsi="宋体" w:eastAsia="宋体" w:cs="宋体"/>
                <w:color w:val="auto"/>
                <w:sz w:val="21"/>
                <w:szCs w:val="21"/>
                <w:highlight w:val="none"/>
              </w:rPr>
            </w:pPr>
          </w:p>
        </w:tc>
      </w:tr>
      <w:tr w14:paraId="0C0CD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exact"/>
        </w:trPr>
        <w:tc>
          <w:tcPr>
            <w:tcW w:w="2351" w:type="dxa"/>
            <w:noWrap w:val="0"/>
            <w:vAlign w:val="center"/>
          </w:tcPr>
          <w:p w14:paraId="597504DF">
            <w:pPr>
              <w:widowControl/>
              <w:jc w:val="left"/>
              <w:rPr>
                <w:rFonts w:ascii="Times New Roman" w:hAnsi="Times New Roman" w:eastAsia="宋体" w:cs="Times New Roman"/>
                <w:szCs w:val="22"/>
              </w:rPr>
            </w:pPr>
          </w:p>
          <w:p w14:paraId="3C50958F">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买方名称</w:t>
            </w:r>
          </w:p>
        </w:tc>
        <w:tc>
          <w:tcPr>
            <w:tcW w:w="6148" w:type="dxa"/>
            <w:noWrap w:val="0"/>
            <w:vAlign w:val="top"/>
          </w:tcPr>
          <w:p w14:paraId="552627DF">
            <w:pPr>
              <w:widowControl/>
              <w:spacing w:beforeLines="0" w:afterLines="0" w:line="360" w:lineRule="auto"/>
              <w:jc w:val="left"/>
              <w:rPr>
                <w:rFonts w:hint="eastAsia" w:ascii="宋体" w:hAnsi="宋体" w:eastAsia="宋体" w:cs="宋体"/>
                <w:color w:val="auto"/>
                <w:sz w:val="21"/>
                <w:szCs w:val="21"/>
                <w:highlight w:val="none"/>
              </w:rPr>
            </w:pPr>
          </w:p>
        </w:tc>
      </w:tr>
      <w:tr w14:paraId="4645E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exact"/>
        </w:trPr>
        <w:tc>
          <w:tcPr>
            <w:tcW w:w="2351" w:type="dxa"/>
            <w:noWrap w:val="0"/>
            <w:vAlign w:val="center"/>
          </w:tcPr>
          <w:p w14:paraId="2B9D79BC">
            <w:pPr>
              <w:widowControl/>
              <w:jc w:val="left"/>
              <w:rPr>
                <w:rFonts w:ascii="Times New Roman" w:hAnsi="Times New Roman" w:eastAsia="宋体" w:cs="Times New Roman"/>
                <w:szCs w:val="22"/>
              </w:rPr>
            </w:pPr>
          </w:p>
          <w:p w14:paraId="5AB85AB0">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买方联系人及电话</w:t>
            </w:r>
          </w:p>
        </w:tc>
        <w:tc>
          <w:tcPr>
            <w:tcW w:w="6148" w:type="dxa"/>
            <w:noWrap w:val="0"/>
            <w:vAlign w:val="top"/>
          </w:tcPr>
          <w:p w14:paraId="48B5089F">
            <w:pPr>
              <w:widowControl/>
              <w:spacing w:beforeLines="0" w:afterLines="0" w:line="360" w:lineRule="auto"/>
              <w:jc w:val="left"/>
              <w:rPr>
                <w:rFonts w:hint="eastAsia" w:ascii="宋体" w:hAnsi="宋体" w:eastAsia="宋体" w:cs="宋体"/>
                <w:color w:val="auto"/>
                <w:sz w:val="21"/>
                <w:szCs w:val="21"/>
                <w:highlight w:val="none"/>
              </w:rPr>
            </w:pPr>
          </w:p>
        </w:tc>
      </w:tr>
      <w:tr w14:paraId="65DC0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trPr>
        <w:tc>
          <w:tcPr>
            <w:tcW w:w="2351" w:type="dxa"/>
            <w:noWrap w:val="0"/>
            <w:vAlign w:val="center"/>
          </w:tcPr>
          <w:p w14:paraId="156B94C2">
            <w:pPr>
              <w:widowControl/>
              <w:jc w:val="left"/>
              <w:rPr>
                <w:rFonts w:ascii="Times New Roman" w:hAnsi="Times New Roman" w:eastAsia="宋体" w:cs="Times New Roman"/>
                <w:szCs w:val="22"/>
              </w:rPr>
            </w:pPr>
          </w:p>
          <w:p w14:paraId="377AEEC6">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签约合同价</w:t>
            </w:r>
          </w:p>
        </w:tc>
        <w:tc>
          <w:tcPr>
            <w:tcW w:w="6148" w:type="dxa"/>
            <w:noWrap w:val="0"/>
            <w:vAlign w:val="top"/>
          </w:tcPr>
          <w:p w14:paraId="42EF9365">
            <w:pPr>
              <w:widowControl/>
              <w:spacing w:beforeLines="0" w:afterLines="0" w:line="360" w:lineRule="auto"/>
              <w:jc w:val="left"/>
              <w:rPr>
                <w:rFonts w:hint="eastAsia" w:ascii="宋体" w:hAnsi="宋体" w:eastAsia="宋体" w:cs="宋体"/>
                <w:color w:val="auto"/>
                <w:sz w:val="21"/>
                <w:szCs w:val="21"/>
                <w:highlight w:val="none"/>
              </w:rPr>
            </w:pPr>
          </w:p>
        </w:tc>
      </w:tr>
      <w:tr w14:paraId="153F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2" w:hRule="exact"/>
        </w:trPr>
        <w:tc>
          <w:tcPr>
            <w:tcW w:w="2351" w:type="dxa"/>
            <w:noWrap w:val="0"/>
            <w:vAlign w:val="center"/>
          </w:tcPr>
          <w:p w14:paraId="5A4D8B6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4AD4915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028BB9F8">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65565C46">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199CAD02">
            <w:pPr>
              <w:widowControl w:val="0"/>
              <w:spacing w:before="0" w:beforeLines="0" w:afterLines="0" w:line="360" w:lineRule="auto"/>
              <w:ind w:left="0" w:right="0" w:firstLine="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项目概况及投标人履 约情况</w:t>
            </w:r>
          </w:p>
        </w:tc>
        <w:tc>
          <w:tcPr>
            <w:tcW w:w="6148" w:type="dxa"/>
            <w:noWrap w:val="0"/>
            <w:vAlign w:val="top"/>
          </w:tcPr>
          <w:p w14:paraId="39C7684E">
            <w:pPr>
              <w:widowControl/>
              <w:spacing w:beforeLines="0" w:afterLines="0" w:line="360" w:lineRule="auto"/>
              <w:jc w:val="left"/>
              <w:rPr>
                <w:rFonts w:hint="eastAsia" w:ascii="宋体" w:hAnsi="宋体" w:eastAsia="宋体" w:cs="宋体"/>
                <w:color w:val="auto"/>
                <w:sz w:val="21"/>
                <w:szCs w:val="21"/>
                <w:highlight w:val="none"/>
              </w:rPr>
            </w:pPr>
          </w:p>
        </w:tc>
      </w:tr>
      <w:tr w14:paraId="12181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exact"/>
        </w:trPr>
        <w:tc>
          <w:tcPr>
            <w:tcW w:w="2351" w:type="dxa"/>
            <w:noWrap w:val="0"/>
            <w:vAlign w:val="center"/>
          </w:tcPr>
          <w:p w14:paraId="1B50BE4F">
            <w:pPr>
              <w:widowControl/>
              <w:jc w:val="left"/>
              <w:rPr>
                <w:rFonts w:ascii="Times New Roman" w:hAnsi="Times New Roman" w:eastAsia="宋体" w:cs="Times New Roman"/>
                <w:szCs w:val="22"/>
              </w:rPr>
            </w:pPr>
          </w:p>
          <w:p w14:paraId="1860FDA1">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备注</w:t>
            </w:r>
          </w:p>
        </w:tc>
        <w:tc>
          <w:tcPr>
            <w:tcW w:w="6148" w:type="dxa"/>
            <w:noWrap w:val="0"/>
            <w:vAlign w:val="top"/>
          </w:tcPr>
          <w:p w14:paraId="2FC47538">
            <w:pPr>
              <w:widowControl/>
              <w:spacing w:beforeLines="0" w:afterLines="0" w:line="360" w:lineRule="auto"/>
              <w:jc w:val="left"/>
              <w:rPr>
                <w:rFonts w:hint="eastAsia" w:ascii="宋体" w:hAnsi="宋体" w:eastAsia="宋体" w:cs="宋体"/>
                <w:color w:val="auto"/>
                <w:sz w:val="21"/>
                <w:szCs w:val="21"/>
                <w:highlight w:val="none"/>
              </w:rPr>
            </w:pPr>
          </w:p>
        </w:tc>
      </w:tr>
    </w:tbl>
    <w:p w14:paraId="02891EA9">
      <w:pPr>
        <w:spacing w:before="0" w:beforeLines="0" w:after="0" w:afterLines="0" w:line="360" w:lineRule="auto"/>
        <w:ind w:left="0" w:right="0" w:firstLine="0"/>
        <w:rPr>
          <w:rFonts w:hint="eastAsia" w:ascii="宋体" w:hAnsi="宋体" w:eastAsia="宋体" w:cs="宋体"/>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注：投标人如实填写表格中内容并在本表后附中标通知书、合同协议书原件的扫描件（或照片）</w:t>
      </w:r>
      <w:r>
        <w:rPr>
          <w:rFonts w:hint="eastAsia" w:ascii="宋体" w:hAnsi="宋体" w:eastAsia="宋体" w:cs="宋体"/>
          <w:b/>
          <w:bCs/>
          <w:kern w:val="2"/>
          <w:sz w:val="21"/>
          <w:szCs w:val="21"/>
          <w:highlight w:val="none"/>
          <w:lang w:val="en-US" w:eastAsia="zh-CN" w:bidi="ar-SA"/>
        </w:rPr>
        <w:t>。</w:t>
      </w:r>
    </w:p>
    <w:p w14:paraId="7BD54250">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557E1AA5">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4"/>
          <w:szCs w:val="24"/>
          <w:highlight w:val="none"/>
        </w:rPr>
      </w:pPr>
      <w:r>
        <w:rPr>
          <w:rFonts w:hint="eastAsia" w:ascii="宋体" w:hAnsi="宋体" w:eastAsia="宋体" w:cs="宋体"/>
          <w:b/>
          <w:szCs w:val="22"/>
          <w:highlight w:val="none"/>
        </w:rPr>
        <w:br w:type="page"/>
      </w:r>
      <w:bookmarkStart w:id="1086" w:name="_Toc32663"/>
      <w:bookmarkStart w:id="1087" w:name="_Toc11083"/>
      <w:bookmarkStart w:id="1088" w:name="_Toc3032"/>
      <w:bookmarkStart w:id="1089" w:name="_Toc294"/>
      <w:bookmarkStart w:id="1090" w:name="_Toc20297"/>
      <w:bookmarkStart w:id="1091" w:name="_Toc50026439"/>
      <w:r>
        <w:rPr>
          <w:rFonts w:hint="eastAsia" w:ascii="宋体" w:hAnsi="宋体" w:eastAsia="宋体" w:cs="宋体"/>
          <w:b/>
          <w:bCs w:val="0"/>
          <w:color w:val="auto"/>
          <w:kern w:val="0"/>
          <w:sz w:val="24"/>
          <w:szCs w:val="24"/>
          <w:highlight w:val="none"/>
          <w:lang w:val="en-US" w:eastAsia="zh-CN" w:bidi="ar-SA"/>
        </w:rPr>
        <w:t>（四）项目实施团队人员配置表</w:t>
      </w:r>
      <w:bookmarkEnd w:id="1086"/>
      <w:bookmarkEnd w:id="1087"/>
      <w:bookmarkEnd w:id="1088"/>
      <w:bookmarkEnd w:id="1089"/>
      <w:bookmarkEnd w:id="1090"/>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1B3F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034" w:type="dxa"/>
            <w:noWrap w:val="0"/>
            <w:vAlign w:val="center"/>
          </w:tcPr>
          <w:p w14:paraId="7725C38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序号</w:t>
            </w:r>
          </w:p>
        </w:tc>
        <w:tc>
          <w:tcPr>
            <w:tcW w:w="1034" w:type="dxa"/>
            <w:noWrap w:val="0"/>
            <w:vAlign w:val="center"/>
          </w:tcPr>
          <w:p w14:paraId="7F3BF9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035" w:type="dxa"/>
            <w:noWrap w:val="0"/>
            <w:vAlign w:val="center"/>
          </w:tcPr>
          <w:p w14:paraId="4B12E5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职称</w:t>
            </w:r>
          </w:p>
        </w:tc>
        <w:tc>
          <w:tcPr>
            <w:tcW w:w="1157" w:type="dxa"/>
            <w:noWrap w:val="0"/>
            <w:vAlign w:val="center"/>
          </w:tcPr>
          <w:p w14:paraId="65A1CB0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证书名称</w:t>
            </w:r>
          </w:p>
        </w:tc>
        <w:tc>
          <w:tcPr>
            <w:tcW w:w="913" w:type="dxa"/>
            <w:noWrap w:val="0"/>
            <w:vAlign w:val="center"/>
          </w:tcPr>
          <w:p w14:paraId="1AE5DB4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级别</w:t>
            </w:r>
          </w:p>
        </w:tc>
        <w:tc>
          <w:tcPr>
            <w:tcW w:w="1035" w:type="dxa"/>
            <w:noWrap w:val="0"/>
            <w:vAlign w:val="center"/>
          </w:tcPr>
          <w:p w14:paraId="2E076C9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证书编号</w:t>
            </w:r>
          </w:p>
        </w:tc>
        <w:tc>
          <w:tcPr>
            <w:tcW w:w="1035" w:type="dxa"/>
            <w:noWrap w:val="0"/>
            <w:vAlign w:val="center"/>
          </w:tcPr>
          <w:p w14:paraId="1502DB4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w:t>
            </w:r>
          </w:p>
        </w:tc>
        <w:tc>
          <w:tcPr>
            <w:tcW w:w="1169" w:type="dxa"/>
            <w:noWrap w:val="0"/>
            <w:vAlign w:val="center"/>
          </w:tcPr>
          <w:p w14:paraId="0F80C73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54CF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949A2A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978D15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246C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2967C4F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131EAD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E871B2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4E8D6B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0FAD803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E5E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BA2DC2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9AFFD1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D85216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4A863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28040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96C737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6A7E1F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B03D0A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C05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14F349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7A200AC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BD81C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5430CD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0829E7E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558784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F4FC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02FA0A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951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3382A5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C7828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59C23E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98B7B6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B64FA9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F46D9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648C94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F4C762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7F85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CA988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35D05E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B5B33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F2E16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35AE6A6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68872F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BC90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D4D3DB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87B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2DDD7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501C6D9">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ADAE47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16154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4647085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BE012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74FE48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4CA996A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B28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C0362A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10E56F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3E8E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0AA5B17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1888BC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9FBCA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D2DDBC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7194E05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DE0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F0585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2BA8177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92836A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3EEF58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29CC8C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D4C9D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0B0C7E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3480F1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1CC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42C5F3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5F97E1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989D35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C9665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6C5F55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86A3C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46FCF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A91B8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1658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034" w:type="dxa"/>
            <w:noWrap w:val="0"/>
            <w:vAlign w:val="center"/>
          </w:tcPr>
          <w:p w14:paraId="0E927CA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C73C9B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C19B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6BDEE3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901ED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54C73F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20FF0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B98BEE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bl>
    <w:p w14:paraId="599392BD">
      <w:pPr>
        <w:widowControl w:val="0"/>
        <w:autoSpaceDE w:val="0"/>
        <w:autoSpaceDN w:val="0"/>
        <w:adjustRightInd w:val="0"/>
        <w:spacing w:beforeLines="0" w:afterLines="0" w:line="360" w:lineRule="auto"/>
        <w:ind w:left="120" w:hanging="120"/>
        <w:jc w:val="left"/>
        <w:rPr>
          <w:rFonts w:hint="eastAsia" w:ascii="宋体" w:hAnsi="宋体" w:eastAsia="宋体" w:cs="宋体"/>
          <w:b w:val="0"/>
          <w:bCs w:val="0"/>
          <w:color w:val="000000"/>
          <w:kern w:val="0"/>
          <w:sz w:val="21"/>
          <w:szCs w:val="21"/>
          <w:highlight w:val="none"/>
          <w:lang w:val="en-US" w:eastAsia="zh-CN" w:bidi="ar-SA"/>
        </w:rPr>
      </w:pPr>
      <w:r>
        <w:rPr>
          <w:rFonts w:hint="eastAsia" w:ascii="宋体" w:hAnsi="宋体" w:eastAsia="宋体" w:cs="宋体"/>
          <w:b w:val="0"/>
          <w:bCs w:val="0"/>
          <w:color w:val="000000"/>
          <w:kern w:val="0"/>
          <w:sz w:val="21"/>
          <w:szCs w:val="21"/>
          <w:highlight w:val="none"/>
          <w:lang w:val="en-US" w:eastAsia="zh-CN" w:bidi="ar-SA"/>
        </w:rPr>
        <w:t>注：本表投标人须附人员有效身份证正反面、对应资格证书、2025年9月1日以来任意一个月社保证明。</w:t>
      </w:r>
    </w:p>
    <w:p w14:paraId="30128EC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421E067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8B26E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D63051">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6E13A14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0DEF8F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bookmarkEnd w:id="1091"/>
    <w:p w14:paraId="069BAE05">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lang w:val="en-US" w:eastAsia="zh-CN"/>
        </w:rPr>
      </w:pPr>
      <w:bookmarkStart w:id="1092" w:name="_Toc15861"/>
      <w:r>
        <w:rPr>
          <w:rFonts w:hint="eastAsia" w:ascii="宋体" w:hAnsi="宋体" w:eastAsia="宋体" w:cs="宋体"/>
          <w:b/>
          <w:bCs/>
          <w:sz w:val="24"/>
          <w:szCs w:val="24"/>
          <w:highlight w:val="none"/>
          <w:lang w:val="en-US" w:eastAsia="zh-CN"/>
        </w:rPr>
        <w:br w:type="page"/>
      </w:r>
    </w:p>
    <w:p w14:paraId="021E74A3">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bookmarkStart w:id="1093" w:name="_Toc31694"/>
      <w:bookmarkStart w:id="1094" w:name="_Toc13943"/>
      <w:bookmarkStart w:id="1095" w:name="_Toc3180"/>
      <w:r>
        <w:rPr>
          <w:rFonts w:hint="eastAsia" w:ascii="宋体" w:hAnsi="宋体" w:eastAsia="宋体" w:cs="宋体"/>
          <w:b/>
          <w:bCs w:val="0"/>
          <w:color w:val="auto"/>
          <w:kern w:val="0"/>
          <w:sz w:val="24"/>
          <w:szCs w:val="24"/>
          <w:highlight w:val="none"/>
          <w:lang w:val="en-US" w:eastAsia="zh-CN" w:bidi="ar-SA"/>
        </w:rPr>
        <w:t>（五）投标资料真实性承诺书</w:t>
      </w:r>
      <w:bookmarkEnd w:id="1092"/>
      <w:bookmarkEnd w:id="1093"/>
      <w:bookmarkEnd w:id="1094"/>
      <w:bookmarkEnd w:id="1095"/>
    </w:p>
    <w:p w14:paraId="6885C823">
      <w:pPr>
        <w:keepNext/>
        <w:keepLines/>
        <w:pageBreakBefore w:val="0"/>
        <w:widowControl w:val="0"/>
        <w:kinsoku/>
        <w:wordWrap/>
        <w:overflowPunct/>
        <w:topLinePunct w:val="0"/>
        <w:autoSpaceDE/>
        <w:autoSpaceDN/>
        <w:bidi w:val="0"/>
        <w:adjustRightInd/>
        <w:snapToGrid/>
        <w:spacing w:before="0" w:beforeLines="0" w:after="0" w:afterLines="0" w:line="360" w:lineRule="auto"/>
        <w:jc w:val="center"/>
        <w:textAlignment w:val="auto"/>
        <w:outlineLvl w:val="9"/>
        <w:rPr>
          <w:rFonts w:hint="eastAsia" w:ascii="宋体" w:hAnsi="宋体" w:eastAsia="宋体" w:cs="宋体"/>
          <w:b w:val="0"/>
          <w:bCs w:val="0"/>
          <w:color w:val="auto"/>
          <w:kern w:val="0"/>
          <w:sz w:val="21"/>
          <w:szCs w:val="21"/>
          <w:highlight w:val="none"/>
          <w:lang w:val="en-US" w:eastAsia="zh-CN" w:bidi="ar-SA"/>
        </w:rPr>
      </w:pPr>
      <w:bookmarkStart w:id="1096" w:name="_Toc26832"/>
      <w:bookmarkStart w:id="1097" w:name="_Toc19955"/>
      <w:bookmarkStart w:id="1098" w:name="_Toc16810"/>
      <w:bookmarkStart w:id="1099" w:name="_Toc397"/>
      <w:bookmarkStart w:id="1100" w:name="_Toc8651"/>
      <w:bookmarkStart w:id="1101" w:name="_Toc17992"/>
      <w:bookmarkStart w:id="1102" w:name="_Toc3774"/>
      <w:bookmarkStart w:id="1103" w:name="_Toc47106429"/>
      <w:bookmarkStart w:id="1104" w:name="_Toc23003"/>
      <w:bookmarkStart w:id="1105" w:name="_Toc27249"/>
      <w:bookmarkStart w:id="1106" w:name="_Toc12681"/>
      <w:r>
        <w:rPr>
          <w:rFonts w:hint="eastAsia" w:ascii="宋体" w:hAnsi="宋体" w:eastAsia="宋体" w:cs="宋体"/>
          <w:b w:val="0"/>
          <w:bCs w:val="0"/>
          <w:color w:val="auto"/>
          <w:kern w:val="0"/>
          <w:sz w:val="21"/>
          <w:szCs w:val="21"/>
          <w:highlight w:val="none"/>
          <w:lang w:val="en-US" w:eastAsia="zh-CN" w:bidi="ar-SA"/>
        </w:rPr>
        <w:t>投标资料真实性承诺书</w:t>
      </w:r>
      <w:bookmarkEnd w:id="1096"/>
      <w:bookmarkEnd w:id="1097"/>
      <w:bookmarkEnd w:id="1098"/>
      <w:bookmarkEnd w:id="1099"/>
      <w:bookmarkEnd w:id="1100"/>
      <w:bookmarkEnd w:id="1101"/>
      <w:bookmarkEnd w:id="1102"/>
      <w:bookmarkEnd w:id="1103"/>
      <w:bookmarkEnd w:id="1104"/>
      <w:bookmarkEnd w:id="1105"/>
      <w:bookmarkEnd w:id="1106"/>
    </w:p>
    <w:p w14:paraId="0C3FD6BD">
      <w:pPr>
        <w:widowControl/>
        <w:spacing w:beforeLines="0" w:afterLines="0" w:line="360" w:lineRule="auto"/>
        <w:ind w:left="0" w:firstLine="0" w:firstLineChars="0"/>
        <w:jc w:val="left"/>
        <w:rPr>
          <w:rFonts w:hint="eastAsia" w:ascii="宋体" w:hAnsi="宋体" w:eastAsia="宋体" w:cs="宋体"/>
          <w:color w:val="auto"/>
          <w:sz w:val="21"/>
          <w:szCs w:val="21"/>
          <w:highlight w:val="none"/>
        </w:rPr>
      </w:pPr>
    </w:p>
    <w:p w14:paraId="59A7738F">
      <w:pPr>
        <w:widowControl/>
        <w:spacing w:beforeLines="0" w:afterLines="0" w:line="36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42F2D014">
      <w:pPr>
        <w:keepNext w:val="0"/>
        <w:keepLines w:val="0"/>
        <w:pageBreakBefore w:val="0"/>
        <w:widowControl w:val="0"/>
        <w:kinsoku/>
        <w:wordWrap/>
        <w:overflowPunct/>
        <w:topLinePunct w:val="0"/>
        <w:autoSpaceDE/>
        <w:autoSpaceDN/>
        <w:bidi w:val="0"/>
        <w:adjustRightInd/>
        <w:snapToGrid/>
        <w:spacing w:before="0" w:beforeLines="0" w:afterLines="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我方在此郑重承诺：</w:t>
      </w:r>
    </w:p>
    <w:p w14:paraId="6B9E2861">
      <w:pPr>
        <w:widowControl/>
        <w:spacing w:before="0" w:beforeLines="0" w:after="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color w:val="auto"/>
          <w:sz w:val="21"/>
          <w:szCs w:val="21"/>
          <w:highlight w:val="none"/>
        </w:rPr>
        <w:t>招标项目投标活动中，我公司提交投标文件所有的投标资料都是真实的，如有虚假，本单位愿意接受招标人做出的取消投标资格、中标资格及没收投标保证金等</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决定，同时愿意接受有关部门依法</w:t>
      </w:r>
      <w:r>
        <w:rPr>
          <w:rFonts w:hint="eastAsia" w:ascii="宋体" w:hAnsi="宋体" w:eastAsia="宋体" w:cs="宋体"/>
          <w:color w:val="auto"/>
          <w:sz w:val="21"/>
          <w:szCs w:val="21"/>
          <w:highlight w:val="none"/>
          <w:lang w:val="en-US" w:eastAsia="zh-CN"/>
        </w:rPr>
        <w:t>依规</w:t>
      </w:r>
      <w:r>
        <w:rPr>
          <w:rFonts w:hint="eastAsia" w:ascii="宋体" w:hAnsi="宋体" w:eastAsia="宋体" w:cs="宋体"/>
          <w:color w:val="auto"/>
          <w:sz w:val="21"/>
          <w:szCs w:val="21"/>
          <w:highlight w:val="none"/>
        </w:rPr>
        <w:t>做出的处罚。</w:t>
      </w:r>
    </w:p>
    <w:p w14:paraId="1496D380">
      <w:pPr>
        <w:widowControl/>
        <w:spacing w:beforeLines="0" w:afterLines="0" w:line="360" w:lineRule="auto"/>
        <w:ind w:firstLine="0"/>
        <w:jc w:val="left"/>
        <w:rPr>
          <w:rFonts w:hint="eastAsia" w:ascii="宋体" w:hAnsi="宋体" w:eastAsia="宋体" w:cs="宋体"/>
          <w:color w:val="auto"/>
          <w:sz w:val="21"/>
          <w:szCs w:val="21"/>
          <w:highlight w:val="none"/>
        </w:rPr>
      </w:pPr>
    </w:p>
    <w:p w14:paraId="72695CC1">
      <w:pPr>
        <w:widowControl/>
        <w:spacing w:beforeLines="0" w:afterLines="0" w:line="360" w:lineRule="auto"/>
        <w:ind w:firstLine="0"/>
        <w:jc w:val="left"/>
        <w:rPr>
          <w:rFonts w:hint="eastAsia" w:ascii="宋体" w:hAnsi="宋体" w:eastAsia="宋体" w:cs="宋体"/>
          <w:color w:val="auto"/>
          <w:sz w:val="21"/>
          <w:szCs w:val="21"/>
          <w:highlight w:val="none"/>
        </w:rPr>
      </w:pPr>
    </w:p>
    <w:p w14:paraId="6E6C334A">
      <w:pPr>
        <w:widowControl/>
        <w:spacing w:beforeLines="0" w:afterLines="0" w:line="360" w:lineRule="auto"/>
        <w:ind w:firstLine="0"/>
        <w:jc w:val="left"/>
        <w:rPr>
          <w:rFonts w:hint="eastAsia" w:ascii="宋体" w:hAnsi="宋体" w:eastAsia="宋体" w:cs="宋体"/>
          <w:color w:val="auto"/>
          <w:sz w:val="21"/>
          <w:szCs w:val="21"/>
          <w:highlight w:val="none"/>
        </w:rPr>
      </w:pPr>
    </w:p>
    <w:p w14:paraId="216FA691">
      <w:pPr>
        <w:widowControl/>
        <w:spacing w:beforeLines="0" w:afterLines="0" w:line="360" w:lineRule="auto"/>
        <w:ind w:firstLine="0"/>
        <w:jc w:val="left"/>
        <w:rPr>
          <w:rFonts w:hint="eastAsia" w:ascii="宋体" w:hAnsi="宋体" w:eastAsia="宋体" w:cs="宋体"/>
          <w:color w:val="auto"/>
          <w:sz w:val="21"/>
          <w:szCs w:val="21"/>
          <w:highlight w:val="none"/>
        </w:rPr>
      </w:pPr>
    </w:p>
    <w:p w14:paraId="54D69DD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030807B">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0F6EAE3E">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8EB977A">
      <w:pPr>
        <w:widowControl/>
        <w:spacing w:beforeLines="0" w:afterLines="0" w:line="360" w:lineRule="auto"/>
        <w:jc w:val="left"/>
        <w:rPr>
          <w:rFonts w:hint="eastAsia" w:ascii="宋体" w:hAnsi="宋体" w:eastAsia="宋体" w:cs="宋体"/>
          <w:kern w:val="0"/>
          <w:szCs w:val="21"/>
          <w:highlight w:val="none"/>
        </w:rPr>
      </w:pPr>
    </w:p>
    <w:p w14:paraId="32C8FB7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22BD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B9BD5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37F63D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9019DE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0ABC79">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5C2D4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B213F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BF225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804DEA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C7BE18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B9FF41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EE7DDC">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70856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38F9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F53BC4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FE727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2501116">
      <w:pPr>
        <w:widowControl/>
        <w:spacing w:beforeLines="0" w:afterLines="0" w:line="240" w:lineRule="auto"/>
        <w:jc w:val="left"/>
        <w:rPr>
          <w:rFonts w:hint="eastAsia" w:ascii="宋体" w:hAnsi="宋体" w:eastAsia="宋体" w:cs="宋体"/>
          <w:b/>
          <w:bCs/>
          <w:color w:val="auto"/>
          <w:sz w:val="24"/>
          <w:szCs w:val="24"/>
          <w:highlight w:val="none"/>
          <w:lang w:val="en-US" w:eastAsia="zh-CN"/>
        </w:rPr>
      </w:pPr>
      <w:bookmarkStart w:id="1107" w:name="_Toc21798"/>
      <w:bookmarkStart w:id="1108" w:name="_Toc8662"/>
      <w:r>
        <w:rPr>
          <w:rFonts w:hint="eastAsia" w:ascii="宋体" w:hAnsi="宋体" w:eastAsia="宋体" w:cs="宋体"/>
          <w:b/>
          <w:bCs/>
          <w:color w:val="auto"/>
          <w:sz w:val="24"/>
          <w:szCs w:val="24"/>
          <w:highlight w:val="none"/>
          <w:lang w:val="en-US" w:eastAsia="zh-CN"/>
        </w:rPr>
        <w:br w:type="page"/>
      </w:r>
    </w:p>
    <w:bookmarkEnd w:id="1107"/>
    <w:bookmarkEnd w:id="1108"/>
    <w:p w14:paraId="3549A1AA">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bookmarkStart w:id="1109" w:name="_Toc2325"/>
      <w:bookmarkStart w:id="1110" w:name="_Toc26228"/>
      <w:bookmarkStart w:id="1111" w:name="_Toc20903"/>
      <w:bookmarkStart w:id="1112" w:name="_Toc8371"/>
      <w:r>
        <w:rPr>
          <w:rFonts w:hint="eastAsia" w:ascii="宋体" w:hAnsi="宋体" w:eastAsia="宋体" w:cs="宋体"/>
          <w:b/>
          <w:bCs w:val="0"/>
          <w:color w:val="auto"/>
          <w:kern w:val="0"/>
          <w:sz w:val="24"/>
          <w:szCs w:val="24"/>
          <w:highlight w:val="none"/>
          <w:lang w:val="en-US" w:eastAsia="zh-CN" w:bidi="ar-SA"/>
        </w:rPr>
        <w:t>（六）信用信誉查询</w:t>
      </w:r>
      <w:bookmarkEnd w:id="1109"/>
      <w:bookmarkEnd w:id="1110"/>
      <w:bookmarkEnd w:id="1111"/>
      <w:bookmarkEnd w:id="1112"/>
    </w:p>
    <w:p w14:paraId="77F5D97C">
      <w:pPr>
        <w:widowControl w:val="0"/>
        <w:numPr>
          <w:ilvl w:val="0"/>
          <w:numId w:val="0"/>
        </w:numPr>
        <w:spacing w:beforeLines="0" w:afterLines="0" w:line="360" w:lineRule="auto"/>
        <w:jc w:val="both"/>
        <w:rPr>
          <w:rFonts w:hint="eastAsia" w:ascii="宋体" w:hAnsi="宋体" w:eastAsia="宋体" w:cs="宋体"/>
          <w:szCs w:val="21"/>
          <w:highlight w:val="none"/>
        </w:rPr>
      </w:pPr>
    </w:p>
    <w:p w14:paraId="71E55981">
      <w:pPr>
        <w:keepNext w:val="0"/>
        <w:keepLines w:val="0"/>
        <w:pageBreakBefore w:val="0"/>
        <w:widowControl/>
        <w:numPr>
          <w:ilvl w:val="0"/>
          <w:numId w:val="1"/>
        </w:numPr>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全国</w:t>
      </w:r>
      <w:r>
        <w:rPr>
          <w:rFonts w:hint="eastAsia" w:ascii="宋体" w:hAnsi="宋体" w:eastAsia="宋体" w:cs="宋体"/>
          <w:b w:val="0"/>
          <w:bCs w:val="0"/>
          <w:color w:val="auto"/>
          <w:sz w:val="21"/>
          <w:szCs w:val="21"/>
          <w:highlight w:val="none"/>
        </w:rPr>
        <w:t>水利建设市场监管平台</w:t>
      </w:r>
      <w:r>
        <w:rPr>
          <w:rFonts w:hint="eastAsia" w:ascii="宋体" w:hAnsi="宋体" w:eastAsia="宋体" w:cs="宋体"/>
          <w:color w:val="auto"/>
          <w:sz w:val="21"/>
          <w:szCs w:val="21"/>
          <w:highlight w:val="none"/>
        </w:rPr>
        <w:t>信用信息查询材料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查询包含投标人的行政处罚等网页查询证明材料</w:t>
      </w:r>
      <w:r>
        <w:rPr>
          <w:rFonts w:hint="eastAsia" w:ascii="宋体" w:hAnsi="宋体" w:eastAsia="宋体" w:cs="宋体"/>
          <w:b w:val="0"/>
          <w:bCs w:val="0"/>
          <w:color w:val="auto"/>
          <w:sz w:val="21"/>
          <w:szCs w:val="21"/>
          <w:highlight w:val="none"/>
        </w:rPr>
        <w:t>）；</w:t>
      </w:r>
    </w:p>
    <w:p w14:paraId="320003F9">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1.信用信息查询材料应清晰、完整、准确，查询日期应为招标公告发布后，并保证上述信息的真实性，愿意承担因弄虚作假所引起的一切后果。</w:t>
      </w:r>
    </w:p>
    <w:p w14:paraId="5371B3E7">
      <w:pPr>
        <w:keepNext w:val="0"/>
        <w:keepLines w:val="0"/>
        <w:pageBreakBefore w:val="0"/>
        <w:widowControl/>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2.查询上述材料时如遇网址或者查询菜单（搜索栏）、功能、内容等有调整或变化，可以提供调整或变化后的查询证明材料。</w:t>
      </w:r>
    </w:p>
    <w:p w14:paraId="2CE52365">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br w:type="page"/>
      </w:r>
      <w:bookmarkStart w:id="1113" w:name="_Toc30569"/>
      <w:bookmarkStart w:id="1114" w:name="_Toc30704"/>
      <w:bookmarkStart w:id="1115" w:name="_Toc15587"/>
      <w:bookmarkStart w:id="1116" w:name="_Toc26926"/>
      <w:r>
        <w:rPr>
          <w:rFonts w:hint="eastAsia" w:ascii="宋体" w:hAnsi="宋体" w:eastAsia="宋体" w:cs="宋体"/>
          <w:b/>
          <w:bCs w:val="0"/>
          <w:color w:val="auto"/>
          <w:kern w:val="0"/>
          <w:sz w:val="24"/>
          <w:szCs w:val="24"/>
          <w:highlight w:val="none"/>
          <w:lang w:val="en-US" w:eastAsia="zh-CN" w:bidi="ar-SA"/>
        </w:rPr>
        <w:t>（七）资信承诺书</w:t>
      </w:r>
      <w:bookmarkEnd w:id="1113"/>
      <w:bookmarkEnd w:id="1114"/>
      <w:bookmarkEnd w:id="1115"/>
      <w:bookmarkEnd w:id="1116"/>
    </w:p>
    <w:p w14:paraId="1DE80A69">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p>
    <w:p w14:paraId="2F161A01">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color w:val="auto"/>
          <w:sz w:val="21"/>
          <w:szCs w:val="21"/>
          <w:highlight w:val="none"/>
          <w:u w:val="none"/>
          <w:lang w:val="en-US" w:eastAsia="zh-CN" w:bidi="ar"/>
        </w:rPr>
        <w:t>至：</w:t>
      </w:r>
      <w:r>
        <w:rPr>
          <w:rFonts w:hint="eastAsia" w:ascii="宋体" w:hAnsi="宋体" w:eastAsia="宋体" w:cs="宋体"/>
          <w:color w:val="auto"/>
          <w:sz w:val="21"/>
          <w:szCs w:val="21"/>
          <w:highlight w:val="none"/>
          <w:u w:val="single"/>
          <w:lang w:val="en-US" w:eastAsia="zh-CN" w:bidi="ar"/>
        </w:rPr>
        <w:t xml:space="preserve">   （招标人）    </w:t>
      </w:r>
    </w:p>
    <w:p w14:paraId="530C8678">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我单位如下承诺：</w:t>
      </w:r>
    </w:p>
    <w:p w14:paraId="7906354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（1）我单位近三年财务状况良好，未处于财产被接管、冻结和破产状态；</w:t>
      </w:r>
    </w:p>
    <w:p w14:paraId="34F59BE2">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（2）我单位、法定代表人、拟派项目经理，近三年不存在行贿犯罪行为；</w:t>
      </w:r>
    </w:p>
    <w:p w14:paraId="26EB0A7F">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（3）我单位、法定代表人及拟派项目负责人未被列入“中国执行信息公开网—全国法院失信被执行人名单信息公布与查询平台-失信被执行人”；</w:t>
      </w:r>
    </w:p>
    <w:p w14:paraId="04DBC96A">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（4） 我单位未被列入“中国政府采购网—政府采购严重违法失信行为记录名单”；</w:t>
      </w:r>
    </w:p>
    <w:p w14:paraId="11EFA15D">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（5） 我单位未被列入“国家税务总局—重大税收违法失信案件信息公布栏—重大税收违法失信主体”；</w:t>
      </w:r>
    </w:p>
    <w:p w14:paraId="189C28F4">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（6）我单位未被列入“信用中国—严重失信主体名单”；</w:t>
      </w:r>
    </w:p>
    <w:p w14:paraId="3DD109A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（7）我单位未被列入“信用河南—失信惩戒对象名单”；</w:t>
      </w:r>
    </w:p>
    <w:p w14:paraId="7A4D1453">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（8）我单位不存在“单位负责人为同一人或者存在控股、管理关系的不同单位，参加同一标段投标或者未划分标段的同一招标项目投标”的情况；</w:t>
      </w:r>
    </w:p>
    <w:p w14:paraId="51A0AFAE">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（9）我单位不存在招标文件“1.4.3 投标人不得存在下列情形之一”中的任意情形。</w:t>
      </w:r>
    </w:p>
    <w:p w14:paraId="1F9BEE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360" w:lineRule="auto"/>
        <w:ind w:right="0" w:firstLine="420" w:firstLineChars="200"/>
        <w:jc w:val="both"/>
        <w:textAlignment w:val="auto"/>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t>特此承诺</w:t>
      </w:r>
    </w:p>
    <w:p w14:paraId="75141756">
      <w:pPr>
        <w:widowControl/>
        <w:spacing w:beforeLines="0" w:afterLines="0" w:line="360" w:lineRule="auto"/>
        <w:jc w:val="left"/>
        <w:rPr>
          <w:rFonts w:hint="eastAsia" w:ascii="宋体" w:hAnsi="宋体" w:eastAsia="宋体" w:cs="宋体"/>
          <w:color w:val="auto"/>
          <w:sz w:val="21"/>
          <w:szCs w:val="21"/>
          <w:highlight w:val="none"/>
          <w:u w:val="none"/>
        </w:rPr>
      </w:pPr>
    </w:p>
    <w:p w14:paraId="628F8D4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03F3140D">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D7ABE1B">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5F0F303">
      <w:pPr>
        <w:widowControl/>
        <w:spacing w:beforeLines="0" w:afterLines="0" w:line="360" w:lineRule="auto"/>
        <w:jc w:val="left"/>
        <w:rPr>
          <w:rFonts w:hint="eastAsia" w:ascii="宋体" w:hAnsi="宋体" w:eastAsia="宋体" w:cs="宋体"/>
          <w:kern w:val="0"/>
          <w:szCs w:val="21"/>
          <w:highlight w:val="none"/>
        </w:rPr>
      </w:pPr>
    </w:p>
    <w:p w14:paraId="3760F91D">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1"/>
          <w:szCs w:val="21"/>
          <w:highlight w:val="none"/>
        </w:rPr>
      </w:pPr>
      <w:r>
        <w:rPr>
          <w:rFonts w:hint="eastAsia" w:ascii="宋体" w:hAnsi="宋体" w:eastAsia="宋体" w:cs="宋体"/>
          <w:b/>
          <w:bCs/>
          <w:sz w:val="24"/>
          <w:szCs w:val="24"/>
          <w:highlight w:val="none"/>
        </w:rPr>
        <w:br w:type="page"/>
      </w:r>
      <w:bookmarkStart w:id="1117" w:name="_Toc21437"/>
      <w:bookmarkStart w:id="1118" w:name="_Toc30690"/>
      <w:bookmarkStart w:id="1119" w:name="_Toc4313"/>
      <w:bookmarkStart w:id="1120" w:name="_Toc12227"/>
      <w:r>
        <w:rPr>
          <w:rFonts w:hint="eastAsia" w:ascii="宋体" w:hAnsi="宋体" w:eastAsia="宋体" w:cs="宋体"/>
          <w:b/>
          <w:bCs w:val="0"/>
          <w:color w:val="auto"/>
          <w:kern w:val="0"/>
          <w:sz w:val="24"/>
          <w:szCs w:val="24"/>
          <w:highlight w:val="none"/>
          <w:lang w:val="en-US" w:eastAsia="zh-CN" w:bidi="ar-SA"/>
        </w:rPr>
        <w:t>（八）</w:t>
      </w:r>
      <w:bookmarkEnd w:id="1117"/>
      <w:bookmarkEnd w:id="1118"/>
      <w:bookmarkEnd w:id="1119"/>
      <w:bookmarkEnd w:id="1120"/>
      <w:r>
        <w:rPr>
          <w:rFonts w:hint="eastAsia" w:ascii="宋体" w:hAnsi="宋体" w:eastAsia="宋体" w:cs="宋体"/>
          <w:b/>
          <w:bCs w:val="0"/>
          <w:color w:val="auto"/>
          <w:kern w:val="0"/>
          <w:sz w:val="24"/>
          <w:szCs w:val="24"/>
          <w:highlight w:val="none"/>
          <w:lang w:val="en-US" w:eastAsia="zh-CN" w:bidi="ar-SA"/>
        </w:rPr>
        <w:t>近年发生的诉讼及仲裁情况</w:t>
      </w:r>
    </w:p>
    <w:tbl>
      <w:tblPr>
        <w:tblStyle w:val="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1910"/>
        <w:gridCol w:w="1758"/>
        <w:gridCol w:w="1289"/>
        <w:gridCol w:w="1146"/>
        <w:gridCol w:w="1767"/>
      </w:tblGrid>
      <w:tr w14:paraId="000D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146" w:type="dxa"/>
            <w:noWrap w:val="0"/>
            <w:vAlign w:val="center"/>
          </w:tcPr>
          <w:p w14:paraId="4C55BDD1">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910" w:type="dxa"/>
            <w:noWrap w:val="0"/>
            <w:vAlign w:val="center"/>
          </w:tcPr>
          <w:p w14:paraId="098457E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诉讼及仲裁内容</w:t>
            </w:r>
          </w:p>
        </w:tc>
        <w:tc>
          <w:tcPr>
            <w:tcW w:w="1758" w:type="dxa"/>
            <w:noWrap w:val="0"/>
            <w:vAlign w:val="center"/>
          </w:tcPr>
          <w:p w14:paraId="1E3C51D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诉讼及仲裁中的地位</w:t>
            </w:r>
          </w:p>
        </w:tc>
        <w:tc>
          <w:tcPr>
            <w:tcW w:w="1289" w:type="dxa"/>
            <w:noWrap w:val="0"/>
            <w:vAlign w:val="center"/>
          </w:tcPr>
          <w:p w14:paraId="7F3DD95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缘由</w:t>
            </w:r>
          </w:p>
        </w:tc>
        <w:tc>
          <w:tcPr>
            <w:tcW w:w="1146" w:type="dxa"/>
            <w:noWrap w:val="0"/>
            <w:vAlign w:val="center"/>
          </w:tcPr>
          <w:p w14:paraId="5D27FF9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结果</w:t>
            </w:r>
          </w:p>
        </w:tc>
        <w:tc>
          <w:tcPr>
            <w:tcW w:w="1767" w:type="dxa"/>
            <w:noWrap w:val="0"/>
            <w:vAlign w:val="center"/>
          </w:tcPr>
          <w:p w14:paraId="18FAFFB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3E65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5320B10C">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一</w:t>
            </w:r>
          </w:p>
        </w:tc>
        <w:tc>
          <w:tcPr>
            <w:tcW w:w="1910" w:type="dxa"/>
            <w:noWrap w:val="0"/>
            <w:vAlign w:val="center"/>
          </w:tcPr>
          <w:p w14:paraId="40E71AD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诉讼事项</w:t>
            </w:r>
          </w:p>
        </w:tc>
        <w:tc>
          <w:tcPr>
            <w:tcW w:w="1758" w:type="dxa"/>
            <w:noWrap w:val="0"/>
            <w:vAlign w:val="center"/>
          </w:tcPr>
          <w:p w14:paraId="313555F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1384EDD">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1DE691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13952CE">
            <w:pPr>
              <w:widowControl/>
              <w:spacing w:beforeLines="0" w:afterLines="0" w:line="360" w:lineRule="auto"/>
              <w:jc w:val="center"/>
              <w:rPr>
                <w:rFonts w:hint="eastAsia" w:ascii="宋体" w:hAnsi="宋体" w:eastAsia="宋体" w:cs="宋体"/>
                <w:szCs w:val="21"/>
                <w:highlight w:val="none"/>
              </w:rPr>
            </w:pPr>
          </w:p>
        </w:tc>
      </w:tr>
      <w:tr w14:paraId="0D2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648B8D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4A60DC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D112CFD">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B42B87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75401F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435A52A">
            <w:pPr>
              <w:widowControl/>
              <w:spacing w:beforeLines="0" w:afterLines="0" w:line="360" w:lineRule="auto"/>
              <w:jc w:val="center"/>
              <w:rPr>
                <w:rFonts w:hint="eastAsia" w:ascii="宋体" w:hAnsi="宋体" w:eastAsia="宋体" w:cs="宋体"/>
                <w:szCs w:val="21"/>
                <w:highlight w:val="none"/>
              </w:rPr>
            </w:pPr>
          </w:p>
        </w:tc>
      </w:tr>
      <w:tr w14:paraId="56A6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0398A8D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6E154A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650C6C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A5B9844">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5F7379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11F8A">
            <w:pPr>
              <w:widowControl/>
              <w:spacing w:beforeLines="0" w:afterLines="0" w:line="360" w:lineRule="auto"/>
              <w:jc w:val="center"/>
              <w:rPr>
                <w:rFonts w:hint="eastAsia" w:ascii="宋体" w:hAnsi="宋体" w:eastAsia="宋体" w:cs="宋体"/>
                <w:szCs w:val="21"/>
                <w:highlight w:val="none"/>
              </w:rPr>
            </w:pPr>
          </w:p>
        </w:tc>
      </w:tr>
      <w:tr w14:paraId="71F6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46" w:type="dxa"/>
            <w:noWrap w:val="0"/>
            <w:vAlign w:val="center"/>
          </w:tcPr>
          <w:p w14:paraId="4A117A4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7EF4FB14">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7A7ECB26">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491FFCE2">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EA4985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7059866">
            <w:pPr>
              <w:widowControl/>
              <w:spacing w:beforeLines="0" w:afterLines="0" w:line="360" w:lineRule="auto"/>
              <w:jc w:val="center"/>
              <w:rPr>
                <w:rFonts w:hint="eastAsia" w:ascii="宋体" w:hAnsi="宋体" w:eastAsia="宋体" w:cs="宋体"/>
                <w:szCs w:val="21"/>
                <w:highlight w:val="none"/>
              </w:rPr>
            </w:pPr>
          </w:p>
        </w:tc>
      </w:tr>
      <w:tr w14:paraId="38BB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7EA9C29F">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3CF64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66A7D6E">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D4BD7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B1B872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211A80B0">
            <w:pPr>
              <w:widowControl/>
              <w:spacing w:beforeLines="0" w:afterLines="0" w:line="360" w:lineRule="auto"/>
              <w:jc w:val="center"/>
              <w:rPr>
                <w:rFonts w:hint="eastAsia" w:ascii="宋体" w:hAnsi="宋体" w:eastAsia="宋体" w:cs="宋体"/>
                <w:szCs w:val="21"/>
                <w:highlight w:val="none"/>
              </w:rPr>
            </w:pPr>
          </w:p>
        </w:tc>
      </w:tr>
      <w:tr w14:paraId="0F9A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A1C447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二</w:t>
            </w:r>
          </w:p>
        </w:tc>
        <w:tc>
          <w:tcPr>
            <w:tcW w:w="1910" w:type="dxa"/>
            <w:noWrap w:val="0"/>
            <w:vAlign w:val="center"/>
          </w:tcPr>
          <w:p w14:paraId="2921839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仲裁事项</w:t>
            </w:r>
          </w:p>
        </w:tc>
        <w:tc>
          <w:tcPr>
            <w:tcW w:w="1758" w:type="dxa"/>
            <w:noWrap w:val="0"/>
            <w:vAlign w:val="center"/>
          </w:tcPr>
          <w:p w14:paraId="673858B9">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DAC4B5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6250C9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E136255">
            <w:pPr>
              <w:widowControl/>
              <w:spacing w:beforeLines="0" w:afterLines="0" w:line="360" w:lineRule="auto"/>
              <w:jc w:val="center"/>
              <w:rPr>
                <w:rFonts w:hint="eastAsia" w:ascii="宋体" w:hAnsi="宋体" w:eastAsia="宋体" w:cs="宋体"/>
                <w:szCs w:val="21"/>
                <w:highlight w:val="none"/>
              </w:rPr>
            </w:pPr>
          </w:p>
        </w:tc>
      </w:tr>
      <w:tr w14:paraId="34E8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0AC2A9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53EB05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8E54AD5">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598BB0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F8DC5E2">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1F3F41E">
            <w:pPr>
              <w:widowControl/>
              <w:spacing w:beforeLines="0" w:afterLines="0" w:line="360" w:lineRule="auto"/>
              <w:jc w:val="center"/>
              <w:rPr>
                <w:rFonts w:hint="eastAsia" w:ascii="宋体" w:hAnsi="宋体" w:eastAsia="宋体" w:cs="宋体"/>
                <w:szCs w:val="21"/>
                <w:highlight w:val="none"/>
              </w:rPr>
            </w:pPr>
          </w:p>
        </w:tc>
      </w:tr>
      <w:tr w14:paraId="54A9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341D1D14">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132BC4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F0F8B33">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0FA7F01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3F4E9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3D00ED11">
            <w:pPr>
              <w:widowControl/>
              <w:spacing w:beforeLines="0" w:afterLines="0" w:line="360" w:lineRule="auto"/>
              <w:jc w:val="center"/>
              <w:rPr>
                <w:rFonts w:hint="eastAsia" w:ascii="宋体" w:hAnsi="宋体" w:eastAsia="宋体" w:cs="宋体"/>
                <w:szCs w:val="21"/>
                <w:highlight w:val="none"/>
              </w:rPr>
            </w:pPr>
          </w:p>
        </w:tc>
      </w:tr>
      <w:tr w14:paraId="7F4F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7F54F1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BF4156F">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8F0F01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6BD9E1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F017D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0CEA4DD">
            <w:pPr>
              <w:widowControl/>
              <w:spacing w:beforeLines="0" w:afterLines="0" w:line="360" w:lineRule="auto"/>
              <w:jc w:val="center"/>
              <w:rPr>
                <w:rFonts w:hint="eastAsia" w:ascii="宋体" w:hAnsi="宋体" w:eastAsia="宋体" w:cs="宋体"/>
                <w:szCs w:val="21"/>
                <w:highlight w:val="none"/>
              </w:rPr>
            </w:pPr>
          </w:p>
        </w:tc>
      </w:tr>
      <w:tr w14:paraId="4223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146" w:type="dxa"/>
            <w:noWrap w:val="0"/>
            <w:vAlign w:val="center"/>
          </w:tcPr>
          <w:p w14:paraId="4B88F61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771F45">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D7654E4">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6161445">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ECB58F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CD336">
            <w:pPr>
              <w:widowControl/>
              <w:spacing w:beforeLines="0" w:afterLines="0" w:line="360" w:lineRule="auto"/>
              <w:jc w:val="center"/>
              <w:rPr>
                <w:rFonts w:hint="eastAsia" w:ascii="宋体" w:hAnsi="宋体" w:eastAsia="宋体" w:cs="宋体"/>
                <w:szCs w:val="21"/>
                <w:highlight w:val="none"/>
              </w:rPr>
            </w:pPr>
          </w:p>
        </w:tc>
      </w:tr>
      <w:tr w14:paraId="4A2B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46" w:type="dxa"/>
            <w:noWrap w:val="0"/>
            <w:vAlign w:val="center"/>
          </w:tcPr>
          <w:p w14:paraId="2E7040C6">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18FCA0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0EA196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AD4D696">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75FCD48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6742C98F">
            <w:pPr>
              <w:widowControl/>
              <w:spacing w:beforeLines="0" w:afterLines="0" w:line="360" w:lineRule="auto"/>
              <w:jc w:val="center"/>
              <w:rPr>
                <w:rFonts w:hint="eastAsia" w:ascii="宋体" w:hAnsi="宋体" w:eastAsia="宋体" w:cs="宋体"/>
                <w:szCs w:val="21"/>
                <w:highlight w:val="none"/>
              </w:rPr>
            </w:pPr>
          </w:p>
        </w:tc>
      </w:tr>
      <w:tr w14:paraId="3C38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13557705">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4E206B1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4F23962">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F846E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300602A4">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680CB6">
            <w:pPr>
              <w:widowControl/>
              <w:spacing w:beforeLines="0" w:afterLines="0" w:line="360" w:lineRule="auto"/>
              <w:jc w:val="center"/>
              <w:rPr>
                <w:rFonts w:hint="eastAsia" w:ascii="宋体" w:hAnsi="宋体" w:eastAsia="宋体" w:cs="宋体"/>
                <w:szCs w:val="21"/>
                <w:highlight w:val="none"/>
              </w:rPr>
            </w:pPr>
          </w:p>
        </w:tc>
      </w:tr>
      <w:tr w14:paraId="3F17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46" w:type="dxa"/>
            <w:noWrap w:val="0"/>
            <w:vAlign w:val="center"/>
          </w:tcPr>
          <w:p w14:paraId="4B5D5F7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A05ED8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1920B44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4A60B6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D7CBF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FCAE501">
            <w:pPr>
              <w:widowControl/>
              <w:spacing w:beforeLines="0" w:afterLines="0" w:line="360" w:lineRule="auto"/>
              <w:jc w:val="center"/>
              <w:rPr>
                <w:rFonts w:hint="eastAsia" w:ascii="宋体" w:hAnsi="宋体" w:eastAsia="宋体" w:cs="宋体"/>
                <w:szCs w:val="21"/>
                <w:highlight w:val="none"/>
              </w:rPr>
            </w:pPr>
          </w:p>
        </w:tc>
      </w:tr>
      <w:tr w14:paraId="42DE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59BCBC3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D277C83">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3DFD95A">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3A6E5A8">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27E020E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E348C91">
            <w:pPr>
              <w:widowControl/>
              <w:spacing w:beforeLines="0" w:afterLines="0" w:line="360" w:lineRule="auto"/>
              <w:jc w:val="center"/>
              <w:rPr>
                <w:rFonts w:hint="eastAsia" w:ascii="宋体" w:hAnsi="宋体" w:eastAsia="宋体" w:cs="宋体"/>
                <w:szCs w:val="21"/>
                <w:highlight w:val="none"/>
              </w:rPr>
            </w:pPr>
          </w:p>
        </w:tc>
      </w:tr>
      <w:tr w14:paraId="5991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46" w:type="dxa"/>
            <w:noWrap w:val="0"/>
            <w:vAlign w:val="center"/>
          </w:tcPr>
          <w:p w14:paraId="468222E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0BCC9696">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32EE5F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8F22FC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10A8E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766EE3">
            <w:pPr>
              <w:widowControl/>
              <w:spacing w:beforeLines="0" w:afterLines="0" w:line="360" w:lineRule="auto"/>
              <w:jc w:val="center"/>
              <w:rPr>
                <w:rFonts w:hint="eastAsia" w:ascii="宋体" w:hAnsi="宋体" w:eastAsia="宋体" w:cs="宋体"/>
                <w:szCs w:val="21"/>
                <w:highlight w:val="none"/>
              </w:rPr>
            </w:pPr>
          </w:p>
        </w:tc>
      </w:tr>
    </w:tbl>
    <w:p w14:paraId="73535557">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注：1.近3年如发生工程诉讼或仲裁事项仅限于投标人败诉的设备买卖合同的相关情况，并附法院或仲裁机构作出的判决、裁决等有关法律文书复印件。</w:t>
      </w:r>
    </w:p>
    <w:p w14:paraId="2E5CDB82">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2.近3年如无发生诉讼或仲裁事项，则应在本表格中以“/”注明无诉讼或仲裁事项发生</w:t>
      </w:r>
    </w:p>
    <w:p w14:paraId="183B1C9D">
      <w:pPr>
        <w:spacing w:before="0" w:beforeLines="0" w:after="0" w:afterLines="0" w:line="360" w:lineRule="auto"/>
        <w:ind w:left="0"/>
        <w:rPr>
          <w:rFonts w:hint="eastAsia" w:ascii="宋体" w:hAnsi="宋体" w:eastAsia="宋体" w:cs="宋体"/>
          <w:kern w:val="2"/>
          <w:sz w:val="21"/>
          <w:szCs w:val="21"/>
          <w:highlight w:val="none"/>
          <w:lang w:val="en-US" w:eastAsia="zh-CN" w:bidi="ar-SA"/>
        </w:rPr>
      </w:pPr>
    </w:p>
    <w:p w14:paraId="6E7A938A">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CE82B8F">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78EF4FC2">
      <w:pPr>
        <w:widowControl/>
        <w:jc w:val="lef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78A97615">
      <w:pPr>
        <w:keepNext/>
        <w:keepLines/>
        <w:widowControl w:val="0"/>
        <w:spacing w:before="0" w:beforeLines="0" w:beforeAutospacing="0" w:after="0" w:afterLines="0" w:afterAutospacing="0" w:line="360" w:lineRule="auto"/>
        <w:jc w:val="center"/>
        <w:outlineLvl w:val="2"/>
        <w:rPr>
          <w:rFonts w:hint="eastAsia" w:ascii="Times New Roman" w:hAnsi="Times New Roman" w:eastAsia="宋体" w:cs="Times New Roman"/>
          <w:b/>
          <w:bCs w:val="0"/>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（九）</w:t>
      </w:r>
      <w:bookmarkStart w:id="1121" w:name="_Toc22769"/>
      <w:bookmarkStart w:id="1122" w:name="_Toc9565"/>
      <w:bookmarkStart w:id="1123" w:name="_Toc5693"/>
      <w:r>
        <w:rPr>
          <w:rFonts w:hint="eastAsia" w:ascii="宋体" w:hAnsi="宋体" w:eastAsia="宋体" w:cs="宋体"/>
          <w:b/>
          <w:bCs w:val="0"/>
          <w:color w:val="auto"/>
          <w:kern w:val="2"/>
          <w:sz w:val="24"/>
          <w:szCs w:val="24"/>
          <w:highlight w:val="none"/>
          <w:lang w:val="en-US" w:eastAsia="zh-CN" w:bidi="ar-SA"/>
        </w:rPr>
        <w:t>反商业贿赂承诺书</w:t>
      </w:r>
      <w:bookmarkEnd w:id="1121"/>
      <w:bookmarkEnd w:id="1122"/>
      <w:bookmarkEnd w:id="1123"/>
    </w:p>
    <w:p w14:paraId="6B7BC25E">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w:t>
      </w:r>
    </w:p>
    <w:p w14:paraId="05FA1740">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我公司承诺：</w:t>
      </w:r>
      <w:bookmarkStart w:id="1124" w:name="_Toc267581298"/>
      <w:bookmarkEnd w:id="1124"/>
      <w:bookmarkStart w:id="1125" w:name="_Toc301454138"/>
      <w:bookmarkEnd w:id="1125"/>
      <w:bookmarkStart w:id="1126" w:name="_Toc6171"/>
      <w:bookmarkEnd w:id="1126"/>
      <w:bookmarkStart w:id="1127" w:name="_Toc267581738"/>
      <w:bookmarkEnd w:id="1127"/>
      <w:r>
        <w:rPr>
          <w:rFonts w:hint="eastAsia" w:ascii="Times New Roman" w:hAnsi="Times New Roman" w:eastAsia="宋体" w:cs="Times New Roman"/>
          <w:color w:val="auto"/>
          <w:kern w:val="1"/>
          <w:szCs w:val="21"/>
          <w:highlight w:val="none"/>
        </w:rPr>
        <w:t>在</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招标活动中，保证做到：</w:t>
      </w:r>
    </w:p>
    <w:p w14:paraId="30E3ACF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1128" w:name="_Toc267581739"/>
      <w:bookmarkEnd w:id="1128"/>
      <w:bookmarkStart w:id="1129" w:name="_Toc267581299"/>
      <w:bookmarkEnd w:id="1129"/>
      <w:bookmarkStart w:id="1130" w:name="_Toc28518"/>
      <w:bookmarkEnd w:id="1130"/>
      <w:bookmarkStart w:id="1131" w:name="_Toc301454139"/>
      <w:bookmarkEnd w:id="1131"/>
      <w:r>
        <w:rPr>
          <w:rFonts w:hint="eastAsia" w:ascii="Times New Roman" w:hAnsi="Times New Roman" w:eastAsia="宋体" w:cs="Times New Roman"/>
          <w:color w:val="auto"/>
          <w:kern w:val="1"/>
          <w:szCs w:val="21"/>
          <w:highlight w:val="none"/>
        </w:rPr>
        <w:t>一、公平竞争参加本次招标活动。</w:t>
      </w:r>
    </w:p>
    <w:p w14:paraId="0E7489C4">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1132" w:name="_Toc267581740"/>
      <w:bookmarkEnd w:id="1132"/>
      <w:bookmarkStart w:id="1133" w:name="_Toc301454140"/>
      <w:bookmarkEnd w:id="1133"/>
      <w:bookmarkStart w:id="1134" w:name="_Toc28474"/>
      <w:bookmarkEnd w:id="1134"/>
      <w:bookmarkStart w:id="1135" w:name="_Toc267581300"/>
      <w:bookmarkEnd w:id="1135"/>
      <w:r>
        <w:rPr>
          <w:rFonts w:hint="eastAsia" w:ascii="Times New Roman" w:hAnsi="Times New Roman" w:eastAsia="宋体" w:cs="Times New Roman"/>
          <w:color w:val="auto"/>
          <w:kern w:val="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5A6F4B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1136" w:name="_Toc29331"/>
      <w:bookmarkEnd w:id="1136"/>
      <w:bookmarkStart w:id="1137" w:name="_Toc267581301"/>
      <w:bookmarkEnd w:id="1137"/>
      <w:bookmarkStart w:id="1138" w:name="_Toc301454141"/>
      <w:bookmarkEnd w:id="1138"/>
      <w:bookmarkStart w:id="1139" w:name="_Toc267581741"/>
      <w:bookmarkEnd w:id="1139"/>
      <w:r>
        <w:rPr>
          <w:rFonts w:hint="eastAsia" w:ascii="Times New Roman" w:hAnsi="Times New Roman" w:eastAsia="宋体" w:cs="Times New Roman"/>
          <w:color w:val="auto"/>
          <w:kern w:val="1"/>
          <w:szCs w:val="21"/>
          <w:highlight w:val="none"/>
        </w:rPr>
        <w:t>三、若出现上述行为，我公司及参与投标的工作人员愿意接受按照国家法律法规等有关规定给予的处罚。</w:t>
      </w:r>
    </w:p>
    <w:p w14:paraId="04F832A2">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074BE265">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D79C274">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C7F5F86">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333AED7F">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1140" w:name="_Toc267581302"/>
      <w:bookmarkEnd w:id="1140"/>
      <w:bookmarkStart w:id="1141" w:name="_Toc267581742"/>
      <w:bookmarkEnd w:id="1141"/>
      <w:bookmarkStart w:id="1142" w:name="_Toc25660"/>
      <w:bookmarkEnd w:id="1142"/>
      <w:bookmarkStart w:id="1143" w:name="_Toc267581303"/>
      <w:bookmarkEnd w:id="1143"/>
      <w:bookmarkStart w:id="1144" w:name="_Toc267581743"/>
      <w:bookmarkEnd w:id="1144"/>
      <w:bookmarkStart w:id="1145" w:name="_Toc301454142"/>
      <w:bookmarkEnd w:id="1145"/>
      <w:r>
        <w:rPr>
          <w:rFonts w:hint="eastAsia" w:ascii="Times New Roman" w:hAnsi="Times New Roman" w:eastAsia="宋体" w:cs="Times New Roman"/>
          <w:color w:val="auto"/>
          <w:kern w:val="1"/>
          <w:szCs w:val="21"/>
          <w:highlight w:val="none"/>
        </w:rPr>
        <w:t>投标人：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宋体" w:hAnsi="宋体" w:eastAsia="宋体" w:cs="宋体"/>
          <w:color w:val="auto"/>
          <w:kern w:val="0"/>
          <w:sz w:val="21"/>
          <w:szCs w:val="21"/>
          <w:highlight w:val="none"/>
        </w:rPr>
        <w:t>盖单位章</w:t>
      </w:r>
      <w:r>
        <w:rPr>
          <w:rFonts w:hint="eastAsia" w:ascii="Times New Roman" w:hAnsi="Times New Roman" w:eastAsia="宋体" w:cs="Times New Roman"/>
          <w:color w:val="auto"/>
          <w:kern w:val="1"/>
          <w:szCs w:val="21"/>
          <w:highlight w:val="none"/>
        </w:rPr>
        <w:t>）</w:t>
      </w:r>
    </w:p>
    <w:p w14:paraId="6C9E14F8">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1146" w:name="_Toc20368"/>
      <w:bookmarkEnd w:id="1146"/>
      <w:bookmarkStart w:id="1147" w:name="_Toc301454143"/>
      <w:bookmarkEnd w:id="1147"/>
      <w:r>
        <w:rPr>
          <w:rFonts w:hint="eastAsia" w:ascii="Times New Roman" w:hAnsi="Times New Roman" w:eastAsia="宋体" w:cs="Times New Roman"/>
          <w:color w:val="auto"/>
          <w:kern w:val="1"/>
          <w:szCs w:val="21"/>
          <w:highlight w:val="none"/>
        </w:rPr>
        <w:t>法定代表人</w:t>
      </w:r>
      <w:r>
        <w:rPr>
          <w:rFonts w:hint="eastAsia" w:ascii="宋体" w:hAnsi="宋体" w:eastAsia="宋体" w:cs="宋体"/>
          <w:color w:val="auto"/>
          <w:kern w:val="1"/>
          <w:sz w:val="21"/>
          <w:szCs w:val="21"/>
          <w:highlight w:val="none"/>
          <w:lang w:val="en-US" w:eastAsia="zh-CN"/>
        </w:rPr>
        <w:t>或</w:t>
      </w:r>
      <w:r>
        <w:rPr>
          <w:rFonts w:hint="eastAsia" w:ascii="Times New Roman" w:hAnsi="Times New Roman" w:eastAsia="宋体" w:cs="Times New Roman"/>
          <w:color w:val="auto"/>
          <w:kern w:val="1"/>
          <w:szCs w:val="21"/>
          <w:highlight w:val="none"/>
        </w:rPr>
        <w:t>委托</w:t>
      </w:r>
      <w:r>
        <w:rPr>
          <w:rFonts w:hint="eastAsia" w:ascii="Times New Roman" w:hAnsi="Times New Roman" w:eastAsia="宋体" w:cs="Times New Roman"/>
          <w:color w:val="auto"/>
          <w:kern w:val="1"/>
          <w:szCs w:val="21"/>
          <w:highlight w:val="none"/>
          <w:lang w:val="en-US" w:eastAsia="zh-CN"/>
        </w:rPr>
        <w:t>代理</w:t>
      </w:r>
      <w:r>
        <w:rPr>
          <w:rFonts w:hint="eastAsia" w:ascii="Times New Roman" w:hAnsi="Times New Roman" w:eastAsia="宋体" w:cs="Times New Roman"/>
          <w:color w:val="auto"/>
          <w:kern w:val="1"/>
          <w:szCs w:val="21"/>
          <w:highlight w:val="none"/>
        </w:rPr>
        <w:t>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lang w:val="en-US" w:eastAsia="zh-CN"/>
        </w:rPr>
        <w:t>或</w:t>
      </w:r>
      <w:r>
        <w:rPr>
          <w:rFonts w:hint="eastAsia" w:ascii="Times New Roman" w:hAnsi="Times New Roman" w:eastAsia="宋体" w:cs="Times New Roman"/>
          <w:color w:val="auto"/>
          <w:szCs w:val="21"/>
          <w:highlight w:val="none"/>
        </w:rPr>
        <w:t>盖章</w:t>
      </w:r>
      <w:r>
        <w:rPr>
          <w:rFonts w:hint="eastAsia" w:ascii="Times New Roman" w:hAnsi="Times New Roman" w:eastAsia="宋体" w:cs="Times New Roman"/>
          <w:color w:val="auto"/>
          <w:kern w:val="1"/>
          <w:szCs w:val="21"/>
          <w:highlight w:val="none"/>
        </w:rPr>
        <w:t>）</w:t>
      </w:r>
    </w:p>
    <w:p w14:paraId="72EAEB0E">
      <w:pPr>
        <w:widowControl w:val="0"/>
        <w:spacing w:line="360" w:lineRule="auto"/>
        <w:ind w:firstLine="2520"/>
        <w:jc w:val="both"/>
        <w:rPr>
          <w:rFonts w:hint="eastAsia" w:ascii="Times New Roman" w:hAnsi="Times New Roman" w:eastAsia="宋体" w:cs="Times New Roman"/>
          <w:color w:val="auto"/>
          <w:kern w:val="1"/>
          <w:szCs w:val="21"/>
          <w:highlight w:val="none"/>
        </w:rPr>
      </w:pPr>
    </w:p>
    <w:p w14:paraId="55D4985D">
      <w:pPr>
        <w:widowControl w:val="0"/>
        <w:spacing w:line="360" w:lineRule="auto"/>
        <w:ind w:firstLine="2520"/>
        <w:jc w:val="right"/>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u w:val="single"/>
        </w:rPr>
        <w:t xml:space="preserve">          </w:t>
      </w:r>
      <w:bookmarkStart w:id="1148" w:name="_Toc29275"/>
      <w:bookmarkEnd w:id="1148"/>
      <w:bookmarkStart w:id="1149" w:name="_Toc267581744"/>
      <w:bookmarkEnd w:id="1149"/>
      <w:bookmarkStart w:id="1150" w:name="_Toc267581304"/>
      <w:bookmarkEnd w:id="1150"/>
      <w:bookmarkStart w:id="1151" w:name="_Toc301454144"/>
      <w:bookmarkEnd w:id="1151"/>
      <w:r>
        <w:rPr>
          <w:rFonts w:hint="eastAsia" w:ascii="Times New Roman" w:hAnsi="Times New Roman" w:eastAsia="宋体" w:cs="Times New Roman"/>
          <w:color w:val="auto"/>
          <w:kern w:val="1"/>
          <w:szCs w:val="21"/>
          <w:highlight w:val="none"/>
        </w:rPr>
        <w:t>年</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月</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日</w:t>
      </w:r>
    </w:p>
    <w:p w14:paraId="47FD771F">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759B0FAC">
      <w:pPr>
        <w:widowControl w:val="0"/>
        <w:ind w:left="840"/>
        <w:rPr>
          <w:rFonts w:hint="eastAsia" w:ascii="Times New Roman" w:hAnsi="Times New Roman" w:eastAsia="宋体" w:cs="Times New Roman"/>
          <w:kern w:val="2"/>
          <w:sz w:val="18"/>
          <w:szCs w:val="18"/>
          <w:lang w:val="en-US" w:eastAsia="zh-CN" w:bidi="ar-SA"/>
        </w:rPr>
      </w:pPr>
    </w:p>
    <w:p w14:paraId="74344726">
      <w:pPr>
        <w:widowControl/>
        <w:spacing w:beforeLines="0" w:afterLines="0" w:line="240" w:lineRule="auto"/>
        <w:jc w:val="center"/>
        <w:rPr>
          <w:rFonts w:hint="eastAsia" w:ascii="宋体" w:hAnsi="宋体" w:eastAsia="宋体" w:cs="宋体"/>
          <w:b/>
          <w:bCs/>
          <w:sz w:val="24"/>
          <w:szCs w:val="24"/>
          <w:highlight w:val="none"/>
        </w:rPr>
      </w:pPr>
      <w:bookmarkStart w:id="1152" w:name="_Toc62034598"/>
      <w:bookmarkStart w:id="1153" w:name="_Toc16817"/>
      <w:bookmarkStart w:id="1154" w:name="_Toc534572436"/>
      <w:bookmarkStart w:id="1155" w:name="_Toc13723"/>
    </w:p>
    <w:p w14:paraId="4755813A">
      <w:pPr>
        <w:widowControl/>
        <w:spacing w:beforeLines="-2147483648" w:afterLines="-2147483648" w:line="240" w:lineRule="auto"/>
        <w:jc w:val="left"/>
        <w:outlineLvl w:val="9"/>
        <w:rPr>
          <w:rFonts w:hint="eastAsia" w:ascii="宋体" w:hAnsi="宋体" w:eastAsia="宋体" w:cs="宋体"/>
          <w:b/>
          <w:bCs/>
          <w:sz w:val="24"/>
          <w:szCs w:val="24"/>
          <w:highlight w:val="none"/>
        </w:rPr>
      </w:pPr>
      <w:bookmarkStart w:id="1156" w:name="_Toc9303"/>
      <w:r>
        <w:rPr>
          <w:rFonts w:hint="eastAsia" w:ascii="宋体" w:hAnsi="宋体" w:eastAsia="宋体" w:cs="宋体"/>
          <w:b/>
          <w:bCs/>
          <w:sz w:val="24"/>
          <w:szCs w:val="24"/>
          <w:highlight w:val="none"/>
        </w:rPr>
        <w:br w:type="page"/>
      </w:r>
    </w:p>
    <w:bookmarkEnd w:id="1156"/>
    <w:p w14:paraId="34659068">
      <w:pPr>
        <w:keepNext/>
        <w:keepLines/>
        <w:widowControl w:val="0"/>
        <w:adjustRightInd w:val="0"/>
        <w:snapToGrid w:val="0"/>
        <w:spacing w:before="0" w:beforeLines="0" w:after="0" w:afterLines="0" w:line="240" w:lineRule="auto"/>
        <w:jc w:val="center"/>
        <w:outlineLvl w:val="1"/>
        <w:rPr>
          <w:rFonts w:hint="eastAsia" w:ascii="宋体" w:hAnsi="宋体" w:eastAsia="宋体" w:cs="宋体"/>
          <w:b/>
          <w:bCs/>
          <w:kern w:val="0"/>
          <w:sz w:val="24"/>
          <w:szCs w:val="24"/>
          <w:highlight w:val="none"/>
          <w:lang w:val="en-US" w:eastAsia="zh-CN" w:bidi="ar-SA"/>
        </w:rPr>
      </w:pPr>
      <w:bookmarkStart w:id="1157" w:name="_Toc91345080"/>
      <w:bookmarkStart w:id="1158" w:name="_Toc8781"/>
      <w:bookmarkStart w:id="1159" w:name="_Toc32479"/>
      <w:r>
        <w:rPr>
          <w:rFonts w:hint="eastAsia" w:ascii="宋体" w:hAnsi="宋体" w:eastAsia="宋体" w:cs="宋体"/>
          <w:b/>
          <w:bCs/>
          <w:kern w:val="2"/>
          <w:sz w:val="24"/>
          <w:szCs w:val="24"/>
          <w:highlight w:val="none"/>
          <w:lang w:val="en-US" w:eastAsia="zh-CN" w:bidi="ar-SA"/>
        </w:rPr>
        <w:t>七、技术资料</w:t>
      </w:r>
      <w:bookmarkEnd w:id="1152"/>
      <w:bookmarkEnd w:id="1153"/>
      <w:bookmarkEnd w:id="1154"/>
      <w:bookmarkEnd w:id="1155"/>
      <w:bookmarkEnd w:id="1157"/>
      <w:bookmarkEnd w:id="1158"/>
      <w:bookmarkEnd w:id="1159"/>
    </w:p>
    <w:p w14:paraId="6D6F6FFD">
      <w:pPr>
        <w:widowControl/>
        <w:spacing w:beforeLines="0" w:afterLines="0" w:line="240" w:lineRule="auto"/>
        <w:jc w:val="left"/>
        <w:rPr>
          <w:rFonts w:hint="eastAsia" w:ascii="宋体" w:hAnsi="宋体" w:eastAsia="宋体" w:cs="宋体"/>
          <w:szCs w:val="21"/>
          <w:highlight w:val="none"/>
        </w:rPr>
      </w:pPr>
    </w:p>
    <w:p w14:paraId="7EB8A6F8">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bookmarkStart w:id="1160" w:name="_Toc10569"/>
      <w:r>
        <w:rPr>
          <w:rFonts w:hint="eastAsia" w:ascii="宋体" w:hAnsi="宋体" w:eastAsia="宋体" w:cs="宋体"/>
          <w:sz w:val="21"/>
          <w:szCs w:val="21"/>
          <w:highlight w:val="none"/>
        </w:rPr>
        <w:t>投标人依据招标文件和评标办法编制技术文件，包括但不限于以下内容：</w:t>
      </w:r>
    </w:p>
    <w:p w14:paraId="323D9750">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（1）组织机构及主要人员</w:t>
      </w:r>
    </w:p>
    <w:p w14:paraId="0CD82CDD">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（2）技术部分的响应性、符合性及完整性</w:t>
      </w:r>
    </w:p>
    <w:p w14:paraId="675A06DB">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（3）设备的技术特性</w:t>
      </w:r>
    </w:p>
    <w:p w14:paraId="0DFE7052">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（4）生产工艺</w:t>
      </w:r>
    </w:p>
    <w:p w14:paraId="0D5B422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（5）设备制造的质量和安全保证体系</w:t>
      </w:r>
    </w:p>
    <w:p w14:paraId="016406C0">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（6）组装和出厂试验</w:t>
      </w:r>
    </w:p>
    <w:p w14:paraId="04E6FFF3">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（7）运输、保管方案</w:t>
      </w:r>
    </w:p>
    <w:p w14:paraId="4CB1D54B">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（8）技术服务方案</w:t>
      </w:r>
    </w:p>
    <w:p w14:paraId="00532A0B">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（9）备品备件</w:t>
      </w:r>
    </w:p>
    <w:p w14:paraId="7B0FA404">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29A8EA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69FF01F">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B45623D">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sectPr>
          <w:pgSz w:w="11905" w:h="16838"/>
          <w:pgMar w:top="1417" w:right="1417" w:bottom="1417" w:left="1417" w:header="794" w:footer="794" w:gutter="0"/>
          <w:cols w:space="720" w:num="1"/>
          <w:docGrid w:linePitch="286" w:charSpace="0"/>
        </w:sectPr>
      </w:pPr>
    </w:p>
    <w:bookmarkEnd w:id="1160"/>
    <w:p w14:paraId="1F36EB68">
      <w:pPr>
        <w:keepNext/>
        <w:keepLines/>
        <w:widowControl w:val="0"/>
        <w:adjustRightInd w:val="0"/>
        <w:snapToGrid w:val="0"/>
        <w:spacing w:before="0" w:after="0" w:line="240" w:lineRule="auto"/>
        <w:jc w:val="center"/>
        <w:outlineLvl w:val="1"/>
        <w:rPr>
          <w:rFonts w:hint="eastAsia" w:ascii="宋体" w:hAnsi="宋体" w:eastAsia="宋体" w:cs="宋体"/>
          <w:b/>
          <w:bCs/>
          <w:kern w:val="0"/>
          <w:sz w:val="24"/>
          <w:szCs w:val="24"/>
          <w:highlight w:val="none"/>
          <w:lang w:val="en-US" w:eastAsia="zh-CN" w:bidi="ar-SA"/>
        </w:rPr>
      </w:pPr>
      <w:bookmarkStart w:id="1161" w:name="_Toc91345081"/>
      <w:bookmarkStart w:id="1162" w:name="_Toc21741"/>
      <w:bookmarkStart w:id="1163" w:name="_Toc534572444"/>
      <w:bookmarkStart w:id="1164" w:name="_Toc62034599"/>
      <w:bookmarkStart w:id="1165" w:name="_Toc15357"/>
      <w:bookmarkStart w:id="1166" w:name="_Toc14237"/>
      <w:bookmarkStart w:id="1167" w:name="_Toc4004"/>
      <w:r>
        <w:rPr>
          <w:rFonts w:hint="eastAsia" w:ascii="宋体" w:hAnsi="宋体" w:eastAsia="宋体" w:cs="宋体"/>
          <w:b/>
          <w:bCs/>
          <w:kern w:val="2"/>
          <w:sz w:val="24"/>
          <w:szCs w:val="24"/>
          <w:highlight w:val="none"/>
          <w:lang w:val="en-US" w:eastAsia="zh-CN" w:bidi="ar-SA"/>
        </w:rPr>
        <w:t>八、其他资料</w:t>
      </w:r>
      <w:bookmarkEnd w:id="1161"/>
      <w:bookmarkEnd w:id="1162"/>
      <w:bookmarkEnd w:id="1163"/>
      <w:bookmarkEnd w:id="1164"/>
      <w:bookmarkEnd w:id="1165"/>
      <w:bookmarkEnd w:id="1166"/>
    </w:p>
    <w:bookmarkEnd w:id="1167"/>
    <w:p w14:paraId="21D06CE6">
      <w:pPr>
        <w:widowControl/>
        <w:spacing w:beforeLines="0" w:afterLines="0" w:line="240" w:lineRule="auto"/>
        <w:jc w:val="left"/>
        <w:rPr>
          <w:rFonts w:hint="eastAsia" w:ascii="宋体" w:hAnsi="宋体" w:eastAsia="宋体" w:cs="宋体"/>
          <w:b/>
          <w:bCs/>
          <w:sz w:val="24"/>
          <w:szCs w:val="24"/>
          <w:highlight w:val="none"/>
        </w:rPr>
      </w:pPr>
    </w:p>
    <w:p w14:paraId="3C00F9EE">
      <w:pPr>
        <w:widowControl/>
        <w:spacing w:beforeLines="0" w:afterLines="0" w:line="240" w:lineRule="auto"/>
        <w:jc w:val="left"/>
        <w:rPr>
          <w:rFonts w:hint="eastAsia" w:ascii="宋体" w:hAnsi="宋体" w:eastAsia="宋体" w:cs="宋体"/>
          <w:b/>
          <w:bCs/>
          <w:sz w:val="24"/>
          <w:szCs w:val="24"/>
          <w:highlight w:val="none"/>
        </w:rPr>
      </w:pPr>
    </w:p>
    <w:p w14:paraId="58AE0AC2">
      <w:pPr>
        <w:widowControl/>
        <w:spacing w:beforeLines="0" w:afterLines="0" w:line="240" w:lineRule="auto"/>
        <w:jc w:val="left"/>
        <w:rPr>
          <w:rFonts w:hint="eastAsia" w:ascii="宋体" w:hAnsi="宋体" w:eastAsia="宋体" w:cs="宋体"/>
          <w:sz w:val="24"/>
          <w:szCs w:val="24"/>
          <w:highlight w:val="none"/>
        </w:rPr>
      </w:pPr>
    </w:p>
    <w:p w14:paraId="2DBB353B">
      <w:pPr>
        <w:widowControl/>
        <w:spacing w:beforeLines="0" w:afterLines="0" w:line="240" w:lineRule="auto"/>
        <w:jc w:val="left"/>
        <w:rPr>
          <w:rFonts w:hint="eastAsia" w:ascii="宋体" w:hAnsi="宋体" w:eastAsia="宋体" w:cs="宋体"/>
          <w:sz w:val="24"/>
          <w:szCs w:val="24"/>
          <w:highlight w:val="none"/>
        </w:rPr>
      </w:pPr>
    </w:p>
    <w:p w14:paraId="02760E2E">
      <w:pPr>
        <w:widowControl/>
        <w:spacing w:beforeLines="0" w:afterLines="0" w:line="240" w:lineRule="auto"/>
        <w:jc w:val="left"/>
        <w:rPr>
          <w:rFonts w:hint="eastAsia" w:ascii="宋体" w:hAnsi="宋体" w:eastAsia="宋体" w:cs="宋体"/>
          <w:sz w:val="24"/>
          <w:szCs w:val="24"/>
          <w:highlight w:val="none"/>
        </w:rPr>
      </w:pPr>
    </w:p>
    <w:p w14:paraId="32F85F2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A3B6551">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97A0CE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571D40B1">
      <w:pPr>
        <w:widowControl/>
        <w:spacing w:beforeLines="0" w:afterLines="0" w:line="240" w:lineRule="auto"/>
        <w:jc w:val="left"/>
        <w:rPr>
          <w:rFonts w:hint="eastAsia" w:ascii="宋体" w:hAnsi="宋体" w:eastAsia="宋体" w:cs="宋体"/>
          <w:szCs w:val="22"/>
          <w:highlight w:val="none"/>
        </w:rPr>
      </w:pPr>
    </w:p>
    <w:p w14:paraId="7236EEE1">
      <w:pPr>
        <w:widowControl/>
        <w:spacing w:beforeLines="0" w:afterLines="0" w:line="240" w:lineRule="auto"/>
        <w:jc w:val="left"/>
        <w:rPr>
          <w:rFonts w:hint="eastAsia" w:ascii="宋体" w:hAnsi="宋体" w:eastAsia="宋体" w:cs="宋体"/>
          <w:szCs w:val="22"/>
          <w:highlight w:val="none"/>
        </w:rPr>
      </w:pPr>
    </w:p>
    <w:p w14:paraId="2987BCCA">
      <w:pPr>
        <w:widowControl/>
        <w:spacing w:beforeLines="0" w:afterLines="0" w:line="240" w:lineRule="auto"/>
        <w:jc w:val="left"/>
        <w:rPr>
          <w:rFonts w:hint="eastAsia" w:ascii="宋体" w:hAnsi="宋体" w:eastAsia="宋体" w:cs="宋体"/>
          <w:szCs w:val="22"/>
          <w:highlight w:val="none"/>
        </w:rPr>
      </w:pPr>
    </w:p>
    <w:p w14:paraId="5951207C">
      <w:pPr>
        <w:widowControl/>
        <w:spacing w:beforeLines="0" w:afterLines="0" w:line="240" w:lineRule="auto"/>
        <w:jc w:val="left"/>
        <w:rPr>
          <w:rFonts w:hint="eastAsia" w:ascii="宋体" w:hAnsi="宋体" w:eastAsia="宋体" w:cs="宋体"/>
          <w:szCs w:val="22"/>
          <w:highlight w:val="none"/>
        </w:rPr>
      </w:pPr>
    </w:p>
    <w:p w14:paraId="3FA52351">
      <w:pPr>
        <w:widowControl/>
        <w:spacing w:beforeLines="0" w:afterLines="0" w:line="240" w:lineRule="auto"/>
        <w:jc w:val="left"/>
        <w:rPr>
          <w:rFonts w:hint="eastAsia" w:ascii="宋体" w:hAnsi="宋体" w:eastAsia="宋体" w:cs="宋体"/>
          <w:szCs w:val="22"/>
          <w:highlight w:val="none"/>
        </w:rPr>
      </w:pPr>
    </w:p>
    <w:p w14:paraId="28D6C77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58443A4">
      <w:pPr>
        <w:widowControl/>
        <w:jc w:val="left"/>
        <w:rPr>
          <w:rFonts w:hint="eastAsia" w:ascii="Times New Roman" w:hAnsi="Times New Roman" w:eastAsia="宋体" w:cs="Times New Roman"/>
          <w:szCs w:val="22"/>
        </w:rPr>
      </w:pPr>
    </w:p>
    <w:p w14:paraId="5FA3C2F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7BFD6D0F"/>
    <w:sectPr>
      <w:footerReference r:id="rId7" w:type="default"/>
      <w:pgSz w:w="11905" w:h="16838"/>
      <w:pgMar w:top="1440" w:right="1803" w:bottom="1440" w:left="1803" w:header="794" w:footer="794"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icrosoft JhengHei">
    <w:panose1 w:val="020B0604030504040204"/>
    <w:charset w:val="88"/>
    <w:family w:val="swiss"/>
    <w:pitch w:val="default"/>
    <w:sig w:usb0="000002A7" w:usb1="28CF4400" w:usb2="00000016" w:usb3="00000000" w:csb0="00100009"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0F6BA">
    <w:pPr>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1F04F">
    <w:pPr>
      <w:tabs>
        <w:tab w:val="center" w:pos="4153"/>
        <w:tab w:val="right" w:pos="8306"/>
      </w:tabs>
      <w:snapToGrid w:val="0"/>
      <w:jc w:val="left"/>
      <w:rPr>
        <w:rFonts w:hint="eastAsia" w:ascii="Cambria" w:hAnsi="Cambria"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03B1A">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3D247E">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4C3D247E">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ED466">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n17ssBAACc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cRMocdziwM8/f5x//Tn//k6W&#10;1fV1VqgPUGPifcDUNLzzQ86e/IDOTHxQ0eYvUiIYR31PF33lkIjIj1bL1arCkMDYfEEc9vA8REjv&#10;pbckGw2NOMCiKz9+hDSmzim5mvN32hj089q4fxyImT0s9z72mK007Iap8Z1vT8inx9k31OGqU2I+&#10;OJQ2r8lsxNnYzcYhRL3vyh7lehBuDwmbKL3lCiPsVBiHVthNC5a34vG9ZD38VJ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TJ9e7LAQAAnAMAAA4AAAAAAAAAAQAgAAAAHgEAAGRycy9lMm9E&#10;b2MueG1sUEsFBgAAAAAGAAYAWQEAAFsFAAAAAA==&#10;">
              <v:fill on="f" focussize="0,0"/>
              <v:stroke on="f"/>
              <v:imagedata o:title=""/>
              <o:lock v:ext="edit" aspectratio="f"/>
              <v:textbox inset="0mm,0mm,0mm,0mm" style="mso-fit-shape-to-text:t;">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49EA">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7FB560"/>
    <w:multiLevelType w:val="singleLevel"/>
    <w:tmpl w:val="EC7FB56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127423"/>
    <w:rsid w:val="021A1068"/>
    <w:rsid w:val="03127423"/>
    <w:rsid w:val="044A7508"/>
    <w:rsid w:val="07E2452E"/>
    <w:rsid w:val="0CBD0CFE"/>
    <w:rsid w:val="114A5003"/>
    <w:rsid w:val="14F5090E"/>
    <w:rsid w:val="158E2409"/>
    <w:rsid w:val="185D2F9A"/>
    <w:rsid w:val="224107B5"/>
    <w:rsid w:val="25CB1012"/>
    <w:rsid w:val="2D4256C9"/>
    <w:rsid w:val="2DF16B30"/>
    <w:rsid w:val="3287138D"/>
    <w:rsid w:val="34A31D27"/>
    <w:rsid w:val="39E906DA"/>
    <w:rsid w:val="42997141"/>
    <w:rsid w:val="46052D96"/>
    <w:rsid w:val="46430DB5"/>
    <w:rsid w:val="495462FF"/>
    <w:rsid w:val="4AF21FBF"/>
    <w:rsid w:val="52C33D66"/>
    <w:rsid w:val="58400E73"/>
    <w:rsid w:val="59573C1A"/>
    <w:rsid w:val="5C2F5A36"/>
    <w:rsid w:val="5DCF0E86"/>
    <w:rsid w:val="5EAE3475"/>
    <w:rsid w:val="631D3F45"/>
    <w:rsid w:val="6367141B"/>
    <w:rsid w:val="689934CB"/>
    <w:rsid w:val="6B2B008F"/>
    <w:rsid w:val="6B3215C4"/>
    <w:rsid w:val="70C67F9E"/>
    <w:rsid w:val="72DF6B7C"/>
    <w:rsid w:val="74F86D80"/>
    <w:rsid w:val="76FC0249"/>
    <w:rsid w:val="7BDF7E15"/>
    <w:rsid w:val="7DFB58B2"/>
    <w:rsid w:val="7F525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FollowedHyperlink"/>
    <w:basedOn w:val="4"/>
    <w:qFormat/>
    <w:uiPriority w:val="0"/>
    <w:rPr>
      <w:color w:val="333333"/>
      <w:u w:val="none"/>
    </w:rPr>
  </w:style>
  <w:style w:type="character" w:styleId="6">
    <w:name w:val="Hyperlink"/>
    <w:basedOn w:val="4"/>
    <w:qFormat/>
    <w:uiPriority w:val="0"/>
    <w:rPr>
      <w:color w:val="333333"/>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16412</Words>
  <Characters>18079</Characters>
  <Lines>0</Lines>
  <Paragraphs>0</Paragraphs>
  <TotalTime>75</TotalTime>
  <ScaleCrop>false</ScaleCrop>
  <LinksUpToDate>false</LinksUpToDate>
  <CharactersWithSpaces>18370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2026-08-26T04:01:00Z</dcterms:created>
  <dc:creator>马强</dc:creator>
  <cp:lastModifiedBy>Administrator</cp:lastModifiedBy>
  <cp:lastPrinted>2026-09-23T07:44:00Z</cp:lastPrinted>
  <dcterms:modified xsi:type="dcterms:W3CDTF">2026-09-28T06:13:43Z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CF614666B6F648EDB941F329451F81DC_11</vt:lpwstr>
  </property>
  <property fmtid="{D5CDD505-2E9C-101B-9397-08002B2CF9AE}" pid="4" name="KSOTemplateDocerSaveRecord">
    <vt:lpwstr>eyJoZGlkIjoiNzk5YTZlMzUyMzczN2Q2ZjFlN2VkY2Q5YjkzNDdmMDIiLCJ1c2VySWQiOiI0MjAyMzM1MTcifQ==</vt:lpwstr>
  </property>
</Properties>
</file>