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EC07FE">
      <w:pPr>
        <w:keepNext w:val="0"/>
        <w:keepLines w:val="0"/>
        <w:pageBreakBefore w:val="0"/>
        <w:widowControl/>
        <w:kinsoku/>
        <w:wordWrap w:val="0"/>
        <w:overflowPunct/>
        <w:topLinePunct w:val="0"/>
        <w:autoSpaceDE/>
        <w:autoSpaceDN/>
        <w:bidi w:val="0"/>
        <w:adjustRightInd/>
        <w:snapToGrid/>
        <w:spacing w:before="0" w:after="0" w:line="480" w:lineRule="auto"/>
        <w:ind w:right="-34" w:rightChars="-16"/>
        <w:jc w:val="center"/>
        <w:textAlignment w:val="auto"/>
        <w:outlineLvl w:val="9"/>
        <w:rPr>
          <w:rFonts w:hint="eastAsia" w:ascii="宋体" w:hAnsi="宋体" w:eastAsia="宋体" w:cs="Times New Roman"/>
          <w:b/>
          <w:bCs/>
          <w:color w:val="auto"/>
          <w:kern w:val="0"/>
          <w:sz w:val="18"/>
          <w:szCs w:val="18"/>
          <w:highlight w:val="none"/>
          <w:lang w:val="en-US" w:eastAsia="zh-CN" w:bidi="ar-SA"/>
        </w:rPr>
      </w:pPr>
      <w:bookmarkStart w:id="0" w:name="_Toc221949902"/>
      <w:bookmarkStart w:id="1" w:name="_Toc221949901"/>
      <w:bookmarkStart w:id="970" w:name="_GoBack"/>
      <w:bookmarkEnd w:id="970"/>
      <w:r>
        <w:rPr>
          <w:rFonts w:hint="eastAsia" w:ascii="宋体" w:hAnsi="宋体" w:eastAsia="宋体" w:cs="Times New Roman"/>
          <w:b/>
          <w:bCs/>
          <w:color w:val="auto"/>
          <w:kern w:val="0"/>
          <w:sz w:val="44"/>
          <w:szCs w:val="44"/>
          <w:highlight w:val="none"/>
          <w:lang w:val="en-US" w:eastAsia="zh-CN" w:bidi="ar-SA"/>
        </w:rPr>
        <w:t>驻马店市薄山水库除险加固工程（一期）（二次）</w:t>
      </w:r>
    </w:p>
    <w:p w14:paraId="5DF61BA5">
      <w:pPr>
        <w:keepNext w:val="0"/>
        <w:keepLines w:val="0"/>
        <w:pageBreakBefore w:val="0"/>
        <w:widowControl w:val="0"/>
        <w:kinsoku/>
        <w:wordWrap w:val="0"/>
        <w:overflowPunct/>
        <w:topLinePunct w:val="0"/>
        <w:autoSpaceDE/>
        <w:autoSpaceDN/>
        <w:bidi w:val="0"/>
        <w:adjustRightInd/>
        <w:snapToGrid/>
        <w:spacing w:before="0" w:after="0" w:line="480" w:lineRule="auto"/>
        <w:ind w:right="0" w:rightChars="0"/>
        <w:jc w:val="center"/>
        <w:textAlignment w:val="auto"/>
        <w:outlineLvl w:val="9"/>
        <w:rPr>
          <w:rFonts w:hint="eastAsia" w:ascii="宋体" w:hAnsi="宋体" w:eastAsia="宋体" w:cs="Times New Roman"/>
          <w:b/>
          <w:bCs/>
          <w:color w:val="auto"/>
          <w:kern w:val="0"/>
          <w:sz w:val="40"/>
          <w:szCs w:val="40"/>
          <w:highlight w:val="none"/>
          <w:lang w:val="en-US" w:eastAsia="zh-CN" w:bidi="ar-SA"/>
        </w:rPr>
      </w:pPr>
    </w:p>
    <w:p w14:paraId="7196AEAF">
      <w:pPr>
        <w:keepNext w:val="0"/>
        <w:keepLines w:val="0"/>
        <w:pageBreakBefore w:val="0"/>
        <w:widowControl w:val="0"/>
        <w:kinsoku/>
        <w:wordWrap w:val="0"/>
        <w:overflowPunct/>
        <w:topLinePunct w:val="0"/>
        <w:autoSpaceDE/>
        <w:autoSpaceDN/>
        <w:bidi w:val="0"/>
        <w:adjustRightInd/>
        <w:snapToGrid/>
        <w:spacing w:before="0" w:after="0" w:line="48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b/>
          <w:bCs/>
          <w:color w:val="auto"/>
          <w:kern w:val="0"/>
          <w:sz w:val="40"/>
          <w:szCs w:val="40"/>
          <w:highlight w:val="none"/>
          <w:lang w:val="en-US" w:eastAsia="zh-CN" w:bidi="ar-SA"/>
        </w:rPr>
        <w:t>（第四标段：金属结构设备购置标段）</w:t>
      </w:r>
    </w:p>
    <w:p w14:paraId="401425B2">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p>
    <w:p w14:paraId="50FFE6C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jc w:val="center"/>
        <w:textAlignment w:val="auto"/>
        <w:outlineLvl w:val="9"/>
        <w:rPr>
          <w:rFonts w:hint="eastAsia" w:ascii="宋体" w:hAnsi="宋体" w:eastAsia="宋体" w:cs="Times New Roman"/>
          <w:color w:val="auto"/>
          <w:kern w:val="0"/>
          <w:sz w:val="72"/>
          <w:szCs w:val="72"/>
          <w:highlight w:val="none"/>
          <w:lang w:val="en-US" w:eastAsia="zh-CN" w:bidi="ar-SA"/>
        </w:rPr>
      </w:pPr>
      <w:r>
        <w:rPr>
          <w:rFonts w:hint="eastAsia" w:ascii="宋体" w:hAnsi="宋体" w:eastAsia="宋体" w:cs="Times New Roman"/>
          <w:color w:val="auto"/>
          <w:kern w:val="0"/>
          <w:sz w:val="72"/>
          <w:szCs w:val="72"/>
          <w:highlight w:val="none"/>
          <w:lang w:val="en-US" w:eastAsia="zh-CN" w:bidi="ar-SA"/>
        </w:rPr>
        <w:t>招标文件</w:t>
      </w:r>
    </w:p>
    <w:p w14:paraId="4A403E1C">
      <w:pPr>
        <w:keepNext w:val="0"/>
        <w:keepLines w:val="0"/>
        <w:pageBreakBefore w:val="0"/>
        <w:widowControl w:val="0"/>
        <w:kinsoku/>
        <w:wordWrap w:val="0"/>
        <w:overflowPunct/>
        <w:topLinePunct w:val="0"/>
        <w:autoSpaceDE/>
        <w:autoSpaceDN/>
        <w:bidi w:val="0"/>
        <w:adjustRightInd/>
        <w:snapToGrid/>
        <w:spacing w:before="0" w:after="0" w:line="360" w:lineRule="auto"/>
        <w:ind w:right="0" w:rightChars="0" w:firstLine="3092" w:firstLineChars="1100"/>
        <w:jc w:val="both"/>
        <w:textAlignment w:val="auto"/>
        <w:outlineLvl w:val="9"/>
        <w:rPr>
          <w:rFonts w:hint="default"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项目编号：ZMD2026-038</w:t>
      </w:r>
    </w:p>
    <w:p w14:paraId="09E9901A">
      <w:pPr>
        <w:widowControl/>
        <w:spacing w:after="120"/>
        <w:jc w:val="left"/>
        <w:rPr>
          <w:rFonts w:hint="eastAsia" w:ascii="宋体" w:hAnsi="宋体" w:eastAsia="宋体" w:cs="宋体"/>
          <w:b/>
          <w:color w:val="auto"/>
          <w:kern w:val="0"/>
          <w:sz w:val="28"/>
          <w:szCs w:val="28"/>
          <w:highlight w:val="none"/>
          <w:lang w:val="en-US" w:eastAsia="zh-CN" w:bidi="ar-SA"/>
        </w:rPr>
      </w:pPr>
    </w:p>
    <w:p w14:paraId="631A8C10">
      <w:pPr>
        <w:widowControl/>
        <w:jc w:val="left"/>
        <w:rPr>
          <w:rFonts w:hint="eastAsia" w:ascii="Calibri" w:hAnsi="Calibri" w:eastAsia="宋体" w:cs="Times New Roman"/>
          <w:color w:val="auto"/>
          <w:szCs w:val="22"/>
          <w:highlight w:val="none"/>
          <w:lang w:val="en-US" w:eastAsia="zh-CN"/>
        </w:rPr>
      </w:pPr>
    </w:p>
    <w:p w14:paraId="161AE5CC">
      <w:pPr>
        <w:widowControl w:val="0"/>
        <w:spacing w:before="3" w:beforeAutospacing="0" w:after="0" w:afterAutospacing="0" w:line="480" w:lineRule="atLeast"/>
        <w:ind w:right="476"/>
        <w:jc w:val="center"/>
        <w:rPr>
          <w:rFonts w:ascii="宋体" w:hAnsi="宋体" w:eastAsia="仿宋_GB2312" w:cs="宋体"/>
          <w:color w:val="auto"/>
          <w:kern w:val="2"/>
          <w:sz w:val="32"/>
          <w:szCs w:val="32"/>
          <w:highlight w:val="none"/>
          <w:u w:val="none"/>
          <w:lang w:val="en-US" w:eastAsia="zh-CN" w:bidi="ar-SA"/>
        </w:rPr>
      </w:pPr>
      <w:r>
        <w:rPr>
          <w:rFonts w:hint="eastAsia" w:ascii="宋体" w:hAnsi="宋体" w:eastAsia="仿宋_GB2312" w:cs="宋体"/>
          <w:b/>
          <w:kern w:val="2"/>
          <w:sz w:val="36"/>
          <w:szCs w:val="36"/>
          <w:lang w:val="en-US" w:eastAsia="zh-CN" w:bidi="ar-SA"/>
        </w:rPr>
        <w:drawing>
          <wp:inline distT="0" distB="0" distL="114300" distR="114300">
            <wp:extent cx="2494280" cy="2243455"/>
            <wp:effectExtent l="0" t="0" r="1270" b="4445"/>
            <wp:docPr id="3" name="图片 5" descr="5a78228779e97083ae3a88ca3fd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5a78228779e97083ae3a88ca3fd9488"/>
                    <pic:cNvPicPr>
                      <a:picLocks noChangeAspect="1"/>
                    </pic:cNvPicPr>
                  </pic:nvPicPr>
                  <pic:blipFill>
                    <a:blip r:embed="rId10"/>
                    <a:stretch>
                      <a:fillRect/>
                    </a:stretch>
                  </pic:blipFill>
                  <pic:spPr>
                    <a:xfrm>
                      <a:off x="0" y="0"/>
                      <a:ext cx="2494280" cy="2243455"/>
                    </a:xfrm>
                    <a:prstGeom prst="rect">
                      <a:avLst/>
                    </a:prstGeom>
                    <a:noFill/>
                    <a:ln>
                      <a:noFill/>
                    </a:ln>
                  </pic:spPr>
                </pic:pic>
              </a:graphicData>
            </a:graphic>
          </wp:inline>
        </w:drawing>
      </w:r>
    </w:p>
    <w:p w14:paraId="47A162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0"/>
          <w:sz w:val="32"/>
          <w:szCs w:val="32"/>
          <w:highlight w:val="none"/>
        </w:rPr>
      </w:pPr>
      <w:bookmarkStart w:id="2" w:name="_Toc26463"/>
      <w:bookmarkStart w:id="3" w:name="_Toc221949915"/>
      <w:bookmarkStart w:id="4" w:name="_Toc11515"/>
      <w:bookmarkStart w:id="5" w:name="_Toc268707665"/>
      <w:bookmarkStart w:id="6" w:name="_Toc4262"/>
      <w:bookmarkStart w:id="7" w:name="_Toc7579"/>
    </w:p>
    <w:p w14:paraId="29A8AB99">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lang w:eastAsia="zh-CN"/>
        </w:rPr>
      </w:pPr>
      <w:r>
        <w:rPr>
          <w:rFonts w:hint="eastAsia" w:ascii="宋体" w:hAnsi="宋体" w:eastAsia="宋体" w:cs="宋体"/>
          <w:b/>
          <w:bCs/>
          <w:sz w:val="36"/>
          <w:szCs w:val="36"/>
          <w:lang w:val="en-US" w:eastAsia="zh-CN"/>
        </w:rPr>
        <w:drawing>
          <wp:anchor distT="0" distB="0" distL="114300" distR="114300" simplePos="0" relativeHeight="251660288" behindDoc="1" locked="0" layoutInCell="1" allowOverlap="1">
            <wp:simplePos x="0" y="0"/>
            <wp:positionH relativeFrom="column">
              <wp:posOffset>1851025</wp:posOffset>
            </wp:positionH>
            <wp:positionV relativeFrom="paragraph">
              <wp:posOffset>279400</wp:posOffset>
            </wp:positionV>
            <wp:extent cx="4131310" cy="942340"/>
            <wp:effectExtent l="0" t="0" r="0" b="0"/>
            <wp:wrapNone/>
            <wp:docPr id="4" name="图片 4" descr="jivhkcjX_副本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jivhkcjX_副本透明"/>
                    <pic:cNvPicPr>
                      <a:picLocks noChangeAspect="1"/>
                    </pic:cNvPicPr>
                  </pic:nvPicPr>
                  <pic:blipFill>
                    <a:blip r:embed="rId11"/>
                    <a:stretch>
                      <a:fillRect/>
                    </a:stretch>
                  </pic:blipFill>
                  <pic:spPr>
                    <a:xfrm>
                      <a:off x="0" y="0"/>
                      <a:ext cx="4131310" cy="942340"/>
                    </a:xfrm>
                    <a:prstGeom prst="rect">
                      <a:avLst/>
                    </a:prstGeom>
                    <a:noFill/>
                    <a:ln>
                      <a:noFill/>
                    </a:ln>
                  </pic:spPr>
                </pic:pic>
              </a:graphicData>
            </a:graphic>
          </wp:anchor>
        </w:drawing>
      </w:r>
      <w:r>
        <w:rPr>
          <w:rFonts w:hint="eastAsia" w:ascii="宋体" w:hAnsi="宋体" w:eastAsia="宋体" w:cs="宋体"/>
          <w:b/>
          <w:bCs/>
          <w:color w:val="auto"/>
          <w:spacing w:val="240"/>
          <w:kern w:val="0"/>
          <w:sz w:val="32"/>
          <w:szCs w:val="32"/>
          <w:highlight w:val="none"/>
          <w:fitText w:val="1920" w:id="1914181524"/>
        </w:rPr>
        <w:t>招标</w:t>
      </w:r>
      <w:r>
        <w:rPr>
          <w:rFonts w:hint="eastAsia" w:ascii="宋体" w:hAnsi="宋体" w:eastAsia="宋体" w:cs="宋体"/>
          <w:b/>
          <w:bCs/>
          <w:color w:val="auto"/>
          <w:spacing w:val="0"/>
          <w:kern w:val="0"/>
          <w:sz w:val="32"/>
          <w:szCs w:val="32"/>
          <w:highlight w:val="none"/>
          <w:fitText w:val="1920" w:id="1914181524"/>
        </w:rPr>
        <w:t>人</w:t>
      </w:r>
      <w:r>
        <w:rPr>
          <w:rFonts w:hint="eastAsia" w:ascii="宋体" w:hAnsi="宋体" w:eastAsia="宋体" w:cs="宋体"/>
          <w:b/>
          <w:bCs/>
          <w:color w:val="auto"/>
          <w:kern w:val="44"/>
          <w:sz w:val="32"/>
          <w:szCs w:val="32"/>
          <w:highlight w:val="none"/>
        </w:rPr>
        <w:t>：</w:t>
      </w:r>
      <w:bookmarkEnd w:id="2"/>
      <w:bookmarkEnd w:id="3"/>
      <w:bookmarkEnd w:id="4"/>
      <w:bookmarkEnd w:id="5"/>
      <w:bookmarkEnd w:id="6"/>
      <w:bookmarkEnd w:id="7"/>
      <w:bookmarkStart w:id="8" w:name="_Toc16285"/>
      <w:bookmarkStart w:id="9" w:name="_Toc1299"/>
      <w:bookmarkStart w:id="10" w:name="_Toc24588"/>
      <w:bookmarkStart w:id="11" w:name="_Toc10162"/>
      <w:r>
        <w:rPr>
          <w:rFonts w:hint="eastAsia" w:ascii="宋体" w:hAnsi="宋体" w:eastAsia="宋体" w:cs="宋体"/>
          <w:b/>
          <w:bCs/>
          <w:color w:val="auto"/>
          <w:kern w:val="44"/>
          <w:sz w:val="32"/>
          <w:szCs w:val="32"/>
          <w:highlight w:val="none"/>
          <w:lang w:eastAsia="zh-CN"/>
        </w:rPr>
        <w:t>驻马店市薄山水库运行中心</w:t>
      </w:r>
    </w:p>
    <w:p w14:paraId="11772D21">
      <w:pPr>
        <w:keepNext w:val="0"/>
        <w:keepLines w:val="0"/>
        <w:pageBreakBefore w:val="0"/>
        <w:widowControl/>
        <w:tabs>
          <w:tab w:val="left" w:pos="1060"/>
        </w:tabs>
        <w:kinsoku/>
        <w:overflowPunct/>
        <w:topLinePunct w:val="0"/>
        <w:autoSpaceDE/>
        <w:autoSpaceDN/>
        <w:bidi w:val="0"/>
        <w:snapToGrid/>
        <w:spacing w:before="100" w:beforeAutospacing="1" w:after="100" w:afterAutospacing="1" w:line="360" w:lineRule="auto"/>
        <w:ind w:left="1073" w:leftChars="503" w:hanging="17" w:firstLineChars="0"/>
        <w:jc w:val="left"/>
        <w:rPr>
          <w:rFonts w:hint="eastAsia" w:ascii="宋体" w:hAnsi="宋体" w:eastAsia="宋体" w:cs="宋体"/>
          <w:b/>
          <w:bCs/>
          <w:color w:val="auto"/>
          <w:kern w:val="44"/>
          <w:sz w:val="32"/>
          <w:szCs w:val="32"/>
          <w:highlight w:val="none"/>
        </w:rPr>
      </w:pPr>
      <w:r>
        <w:rPr>
          <w:rFonts w:hint="eastAsia" w:ascii="宋体" w:hAnsi="宋体" w:eastAsia="宋体" w:cs="宋体"/>
          <w:b/>
          <w:bCs/>
          <w:color w:val="auto"/>
          <w:spacing w:val="0"/>
          <w:kern w:val="0"/>
          <w:sz w:val="32"/>
          <w:szCs w:val="32"/>
          <w:highlight w:val="none"/>
          <w:fitText w:val="1920" w:id="1195639519"/>
          <w:lang w:val="en-US" w:eastAsia="zh-CN"/>
        </w:rPr>
        <w:t>招标</w:t>
      </w:r>
      <w:r>
        <w:rPr>
          <w:rFonts w:hint="eastAsia" w:ascii="宋体" w:hAnsi="宋体" w:eastAsia="宋体" w:cs="宋体"/>
          <w:b/>
          <w:bCs/>
          <w:color w:val="auto"/>
          <w:spacing w:val="0"/>
          <w:kern w:val="0"/>
          <w:sz w:val="32"/>
          <w:szCs w:val="32"/>
          <w:highlight w:val="none"/>
          <w:fitText w:val="1920" w:id="1195639519"/>
        </w:rPr>
        <w:t>代理机构</w:t>
      </w:r>
      <w:r>
        <w:rPr>
          <w:rFonts w:hint="eastAsia" w:ascii="宋体" w:hAnsi="宋体" w:eastAsia="宋体" w:cs="宋体"/>
          <w:b/>
          <w:bCs/>
          <w:color w:val="auto"/>
          <w:kern w:val="44"/>
          <w:sz w:val="32"/>
          <w:szCs w:val="32"/>
          <w:highlight w:val="none"/>
        </w:rPr>
        <w:t>：</w:t>
      </w:r>
      <w:bookmarkEnd w:id="8"/>
      <w:bookmarkEnd w:id="9"/>
      <w:bookmarkEnd w:id="10"/>
      <w:bookmarkEnd w:id="11"/>
    </w:p>
    <w:p w14:paraId="7FB6C953">
      <w:pPr>
        <w:widowControl/>
        <w:tabs>
          <w:tab w:val="left" w:pos="1060"/>
        </w:tabs>
        <w:spacing w:before="100" w:beforeAutospacing="1" w:after="100" w:afterAutospacing="1" w:line="360" w:lineRule="auto"/>
        <w:ind w:left="1073" w:leftChars="503" w:right="0" w:rightChars="0" w:hanging="17" w:firstLineChars="0"/>
        <w:jc w:val="left"/>
        <w:rPr>
          <w:rFonts w:hint="eastAsia" w:ascii="宋体" w:hAnsi="宋体" w:eastAsia="宋体" w:cs="宋体"/>
          <w:b/>
          <w:bCs/>
          <w:color w:val="auto"/>
          <w:sz w:val="32"/>
          <w:szCs w:val="32"/>
          <w:highlight w:val="none"/>
          <w:u w:val="none"/>
        </w:rPr>
      </w:pPr>
      <w:bookmarkStart w:id="12" w:name="_Toc21023"/>
      <w:bookmarkStart w:id="13" w:name="_Toc10731"/>
      <w:bookmarkStart w:id="14" w:name="_Toc221949917"/>
      <w:bookmarkStart w:id="15" w:name="_Toc268707666"/>
      <w:bookmarkStart w:id="16" w:name="_Toc9813"/>
      <w:bookmarkStart w:id="17" w:name="_Toc25869"/>
      <w:r>
        <w:rPr>
          <w:rFonts w:hint="eastAsia" w:ascii="宋体" w:hAnsi="宋体" w:eastAsia="宋体" w:cs="宋体"/>
          <w:b/>
          <w:bCs/>
          <w:color w:val="auto"/>
          <w:spacing w:val="640"/>
          <w:kern w:val="0"/>
          <w:sz w:val="32"/>
          <w:szCs w:val="32"/>
          <w:highlight w:val="none"/>
          <w:fitText w:val="1920" w:id="1325158106"/>
        </w:rPr>
        <w:t>日</w:t>
      </w:r>
      <w:r>
        <w:rPr>
          <w:rFonts w:hint="eastAsia" w:ascii="宋体" w:hAnsi="宋体" w:eastAsia="宋体" w:cs="宋体"/>
          <w:b/>
          <w:bCs/>
          <w:color w:val="auto"/>
          <w:spacing w:val="0"/>
          <w:kern w:val="0"/>
          <w:sz w:val="32"/>
          <w:szCs w:val="32"/>
          <w:highlight w:val="none"/>
          <w:fitText w:val="1920" w:id="1325158106"/>
        </w:rPr>
        <w:t>期</w:t>
      </w:r>
      <w:r>
        <w:rPr>
          <w:rFonts w:hint="eastAsia" w:ascii="宋体" w:hAnsi="宋体" w:eastAsia="宋体" w:cs="宋体"/>
          <w:b/>
          <w:bCs/>
          <w:color w:val="auto"/>
          <w:kern w:val="44"/>
          <w:sz w:val="32"/>
          <w:szCs w:val="32"/>
          <w:highlight w:val="none"/>
        </w:rPr>
        <w:t>：</w:t>
      </w:r>
      <w:bookmarkEnd w:id="12"/>
      <w:bookmarkEnd w:id="13"/>
      <w:bookmarkEnd w:id="14"/>
      <w:bookmarkEnd w:id="15"/>
      <w:bookmarkEnd w:id="16"/>
      <w:bookmarkEnd w:id="17"/>
      <w:r>
        <w:rPr>
          <w:rFonts w:hint="eastAsia" w:ascii="宋体" w:hAnsi="宋体" w:eastAsia="宋体" w:cs="宋体"/>
          <w:b/>
          <w:bCs/>
          <w:color w:val="auto"/>
          <w:sz w:val="32"/>
          <w:szCs w:val="32"/>
          <w:highlight w:val="none"/>
          <w:u w:val="none"/>
        </w:rPr>
        <w:t>二〇二</w:t>
      </w:r>
      <w:r>
        <w:rPr>
          <w:rFonts w:hint="eastAsia" w:ascii="宋体" w:hAnsi="宋体" w:eastAsia="宋体" w:cs="宋体"/>
          <w:b/>
          <w:bCs/>
          <w:color w:val="auto"/>
          <w:sz w:val="32"/>
          <w:szCs w:val="32"/>
          <w:highlight w:val="none"/>
          <w:u w:val="none"/>
          <w:lang w:eastAsia="zh-CN"/>
        </w:rPr>
        <w:t>六</w:t>
      </w:r>
      <w:r>
        <w:rPr>
          <w:rFonts w:hint="eastAsia" w:ascii="宋体" w:hAnsi="宋体" w:eastAsia="宋体" w:cs="宋体"/>
          <w:b/>
          <w:bCs/>
          <w:color w:val="auto"/>
          <w:sz w:val="32"/>
          <w:szCs w:val="32"/>
          <w:highlight w:val="none"/>
          <w:u w:val="none"/>
        </w:rPr>
        <w:t>年</w:t>
      </w:r>
      <w:r>
        <w:rPr>
          <w:rFonts w:hint="eastAsia" w:ascii="宋体" w:hAnsi="宋体" w:eastAsia="宋体" w:cs="宋体"/>
          <w:b/>
          <w:bCs/>
          <w:color w:val="auto"/>
          <w:sz w:val="32"/>
          <w:szCs w:val="32"/>
          <w:highlight w:val="none"/>
          <w:u w:val="none"/>
          <w:lang w:val="en-US" w:eastAsia="zh-CN"/>
        </w:rPr>
        <w:t>九</w:t>
      </w:r>
      <w:r>
        <w:rPr>
          <w:rFonts w:hint="eastAsia" w:ascii="宋体" w:hAnsi="宋体" w:eastAsia="宋体" w:cs="宋体"/>
          <w:b/>
          <w:bCs/>
          <w:color w:val="auto"/>
          <w:sz w:val="32"/>
          <w:szCs w:val="32"/>
          <w:highlight w:val="none"/>
          <w:u w:val="none"/>
        </w:rPr>
        <w:t>月</w:t>
      </w:r>
    </w:p>
    <w:p w14:paraId="0EF59ADE">
      <w:pPr>
        <w:spacing w:line="400" w:lineRule="exact"/>
        <w:ind w:right="-34" w:rightChars="-16"/>
        <w:jc w:val="center"/>
        <w:rPr>
          <w:rFonts w:hint="eastAsia" w:ascii="宋体" w:hAnsi="宋体" w:eastAsia="宋体" w:cs="宋体"/>
          <w:b/>
          <w:color w:val="auto"/>
          <w:sz w:val="36"/>
          <w:szCs w:val="36"/>
          <w:highlight w:val="none"/>
        </w:rPr>
        <w:sectPr>
          <w:pgSz w:w="11906" w:h="16838"/>
          <w:pgMar w:top="1417" w:right="1417" w:bottom="1417" w:left="1417" w:header="851" w:footer="992" w:gutter="0"/>
          <w:pgNumType w:fmt="decimal"/>
          <w:cols w:space="720" w:num="1"/>
          <w:rtlGutter w:val="0"/>
          <w:docGrid w:type="lines" w:linePitch="312" w:charSpace="0"/>
        </w:sectPr>
      </w:pPr>
    </w:p>
    <w:p w14:paraId="185A8403">
      <w:pPr>
        <w:widowControl/>
        <w:spacing w:line="400" w:lineRule="exact"/>
        <w:ind w:right="-34" w:rightChars="-16"/>
        <w:jc w:val="center"/>
        <w:rPr>
          <w:rFonts w:hint="eastAsia" w:ascii="宋体" w:hAnsi="宋体" w:eastAsia="宋体" w:cs="宋体"/>
          <w:color w:val="auto"/>
          <w:sz w:val="40"/>
          <w:szCs w:val="28"/>
          <w:highlight w:val="none"/>
        </w:rPr>
      </w:pPr>
      <w:r>
        <w:rPr>
          <w:rFonts w:hint="eastAsia" w:ascii="宋体" w:hAnsi="宋体" w:eastAsia="宋体" w:cs="宋体"/>
          <w:b/>
          <w:color w:val="auto"/>
          <w:sz w:val="36"/>
          <w:szCs w:val="36"/>
          <w:highlight w:val="none"/>
        </w:rPr>
        <w:t>招标代理项目部人员组成</w:t>
      </w:r>
    </w:p>
    <w:p w14:paraId="17EE5DFF">
      <w:pPr>
        <w:widowControl/>
        <w:tabs>
          <w:tab w:val="left" w:pos="899"/>
        </w:tabs>
        <w:spacing w:line="360" w:lineRule="auto"/>
        <w:ind w:right="-34" w:rightChars="-16"/>
        <w:jc w:val="left"/>
        <w:rPr>
          <w:rFonts w:hint="eastAsia" w:ascii="宋体" w:hAnsi="宋体" w:eastAsia="宋体" w:cs="宋体"/>
          <w:color w:val="auto"/>
          <w:sz w:val="32"/>
          <w:szCs w:val="32"/>
          <w:highlight w:val="none"/>
        </w:rPr>
      </w:pPr>
    </w:p>
    <w:p w14:paraId="373537B3">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一、项目负责人：</w:t>
      </w:r>
      <w:r>
        <w:rPr>
          <w:rFonts w:hint="eastAsia" w:ascii="宋体" w:hAnsi="宋体" w:eastAsia="宋体" w:cs="宋体"/>
          <w:sz w:val="32"/>
          <w:szCs w:val="32"/>
          <w:u w:val="single"/>
        </w:rPr>
        <w:t xml:space="preserve"> 刘学盈 </w:t>
      </w:r>
    </w:p>
    <w:p w14:paraId="77B5FB4F">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（建设类注册执业（职业）资格证号：</w:t>
      </w:r>
      <w:r>
        <w:rPr>
          <w:rFonts w:hint="eastAsia" w:ascii="宋体" w:hAnsi="宋体" w:eastAsia="宋体" w:cs="宋体"/>
          <w:sz w:val="32"/>
          <w:szCs w:val="32"/>
          <w:u w:val="single"/>
        </w:rPr>
        <w:t>建【造】11224100010068</w:t>
      </w:r>
      <w:r>
        <w:rPr>
          <w:rFonts w:hint="eastAsia" w:ascii="宋体" w:hAnsi="宋体" w:eastAsia="宋体" w:cs="宋体"/>
          <w:sz w:val="32"/>
          <w:szCs w:val="32"/>
        </w:rPr>
        <w:t>）</w:t>
      </w:r>
    </w:p>
    <w:p w14:paraId="2DC7F62A">
      <w:pPr>
        <w:widowControl/>
        <w:spacing w:line="600" w:lineRule="auto"/>
        <w:ind w:firstLine="320" w:firstLineChars="100"/>
        <w:jc w:val="left"/>
        <w:rPr>
          <w:rFonts w:hint="eastAsia" w:ascii="宋体" w:hAnsi="宋体" w:eastAsia="宋体" w:cs="宋体"/>
          <w:sz w:val="32"/>
          <w:szCs w:val="32"/>
        </w:rPr>
      </w:pPr>
      <w:r>
        <w:rPr>
          <w:rFonts w:hint="eastAsia" w:ascii="宋体" w:hAnsi="宋体" w:eastAsia="宋体" w:cs="宋体"/>
          <w:sz w:val="32"/>
          <w:szCs w:val="32"/>
        </w:rPr>
        <w:t>二、其他人员</w:t>
      </w:r>
    </w:p>
    <w:p w14:paraId="533872CE">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1、姓名： </w:t>
      </w:r>
      <w:r>
        <w:rPr>
          <w:rFonts w:hint="eastAsia" w:ascii="宋体" w:hAnsi="宋体" w:eastAsia="宋体" w:cs="宋体"/>
          <w:sz w:val="32"/>
          <w:szCs w:val="32"/>
          <w:u w:val="single"/>
        </w:rPr>
        <w:t>马  强</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招标代理从业资格证Z4501004634</w:t>
      </w:r>
    </w:p>
    <w:p w14:paraId="0A5671AD">
      <w:pPr>
        <w:widowControl/>
        <w:spacing w:line="600" w:lineRule="auto"/>
        <w:ind w:left="840" w:leftChars="400"/>
        <w:jc w:val="left"/>
        <w:rPr>
          <w:rFonts w:hint="eastAsia" w:ascii="宋体" w:hAnsi="宋体" w:eastAsia="宋体" w:cs="宋体"/>
          <w:sz w:val="32"/>
          <w:szCs w:val="32"/>
          <w:u w:val="single"/>
        </w:rPr>
      </w:pPr>
      <w:r>
        <w:rPr>
          <w:rFonts w:hint="eastAsia" w:ascii="宋体" w:hAnsi="宋体" w:eastAsia="宋体" w:cs="宋体"/>
          <w:sz w:val="32"/>
          <w:szCs w:val="32"/>
        </w:rPr>
        <w:t xml:space="preserve">2、姓名： </w:t>
      </w:r>
      <w:r>
        <w:rPr>
          <w:rFonts w:hint="eastAsia" w:ascii="宋体" w:hAnsi="宋体" w:eastAsia="宋体" w:cs="宋体"/>
          <w:sz w:val="32"/>
          <w:szCs w:val="32"/>
          <w:u w:val="single"/>
        </w:rPr>
        <w:t>赵雅静</w:t>
      </w:r>
      <w:r>
        <w:rPr>
          <w:rFonts w:hint="eastAsia" w:ascii="宋体" w:hAnsi="宋体" w:eastAsia="宋体" w:cs="宋体"/>
          <w:sz w:val="32"/>
          <w:szCs w:val="32"/>
        </w:rPr>
        <w:t xml:space="preserve">  </w:t>
      </w:r>
      <w:r>
        <w:rPr>
          <w:rFonts w:hint="eastAsia" w:ascii="宋体" w:hAnsi="宋体" w:eastAsia="宋体" w:cs="宋体"/>
          <w:sz w:val="32"/>
          <w:szCs w:val="32"/>
          <w:u w:val="single"/>
        </w:rPr>
        <w:t xml:space="preserve"> 招标代理从业资格证Z45020221540</w:t>
      </w:r>
    </w:p>
    <w:p w14:paraId="7CC322FE">
      <w:pPr>
        <w:widowControl/>
        <w:spacing w:line="600" w:lineRule="auto"/>
        <w:ind w:left="840" w:leftChars="400"/>
        <w:jc w:val="left"/>
        <w:rPr>
          <w:rFonts w:hint="eastAsia" w:ascii="宋体" w:hAnsi="宋体" w:eastAsia="宋体" w:cs="宋体"/>
          <w:sz w:val="32"/>
          <w:szCs w:val="32"/>
        </w:rPr>
      </w:pPr>
      <w:r>
        <w:rPr>
          <w:rFonts w:hint="eastAsia" w:ascii="宋体" w:hAnsi="宋体" w:eastAsia="宋体" w:cs="宋体"/>
          <w:sz w:val="32"/>
          <w:szCs w:val="32"/>
        </w:rPr>
        <w:t xml:space="preserve">3、姓名： </w:t>
      </w:r>
      <w:r>
        <w:rPr>
          <w:rFonts w:hint="eastAsia" w:ascii="宋体" w:hAnsi="宋体" w:eastAsia="宋体" w:cs="宋体"/>
          <w:sz w:val="32"/>
          <w:szCs w:val="32"/>
          <w:u w:val="single"/>
        </w:rPr>
        <w:t>董国杰</w:t>
      </w:r>
      <w:r>
        <w:rPr>
          <w:rFonts w:hint="eastAsia" w:ascii="宋体" w:hAnsi="宋体" w:eastAsia="宋体" w:cs="宋体"/>
          <w:sz w:val="32"/>
          <w:szCs w:val="32"/>
        </w:rPr>
        <w:t xml:space="preserve">   </w:t>
      </w:r>
      <w:r>
        <w:rPr>
          <w:rFonts w:hint="eastAsia" w:ascii="宋体" w:hAnsi="宋体" w:eastAsia="宋体" w:cs="宋体"/>
          <w:sz w:val="32"/>
          <w:szCs w:val="32"/>
          <w:u w:val="single"/>
        </w:rPr>
        <w:t>招标代理从业资格证Z45020211607</w:t>
      </w:r>
    </w:p>
    <w:p w14:paraId="2927452B">
      <w:pPr>
        <w:autoSpaceDE/>
        <w:autoSpaceDN/>
        <w:adjustRightInd/>
        <w:spacing w:beforeLines="0" w:afterLines="0" w:line="240" w:lineRule="auto"/>
        <w:ind w:firstLine="964" w:firstLineChars="300"/>
        <w:jc w:val="both"/>
        <w:rPr>
          <w:rFonts w:hint="eastAsia" w:ascii="宋体" w:hAnsi="宋体" w:eastAsia="宋体" w:cs="宋体"/>
          <w:b/>
          <w:bCs/>
          <w:color w:val="auto"/>
          <w:sz w:val="32"/>
          <w:szCs w:val="32"/>
          <w:highlight w:val="none"/>
          <w:u w:val="none"/>
        </w:rPr>
        <w:sectPr>
          <w:footerReference r:id="rId3" w:type="default"/>
          <w:pgSz w:w="11906" w:h="16838"/>
          <w:pgMar w:top="1417" w:right="1417" w:bottom="1417" w:left="1417" w:header="851" w:footer="992" w:gutter="0"/>
          <w:pgNumType w:fmt="decimal" w:start="1"/>
          <w:cols w:space="720" w:num="1"/>
          <w:rtlGutter w:val="0"/>
          <w:docGrid w:type="lines" w:linePitch="312" w:charSpace="0"/>
        </w:sectPr>
      </w:pPr>
    </w:p>
    <w:bookmarkEnd w:id="0"/>
    <w:bookmarkEnd w:id="1"/>
    <w:p w14:paraId="3DA58896">
      <w:pPr>
        <w:widowControl/>
        <w:adjustRightInd w:val="0"/>
        <w:snapToGrid w:val="0"/>
        <w:spacing w:beforeLines="0" w:afterLines="0" w:line="360" w:lineRule="auto"/>
        <w:jc w:val="center"/>
        <w:rPr>
          <w:rFonts w:hint="eastAsia" w:ascii="宋体" w:hAnsi="宋体" w:eastAsia="宋体" w:cs="宋体"/>
          <w:b/>
          <w:bCs/>
          <w:color w:val="000000"/>
          <w:sz w:val="30"/>
          <w:szCs w:val="30"/>
          <w:highlight w:val="none"/>
        </w:rPr>
      </w:pPr>
      <w:bookmarkStart w:id="18" w:name="_Toc221949919"/>
      <w:r>
        <w:rPr>
          <w:rFonts w:hint="eastAsia" w:ascii="宋体" w:hAnsi="宋体" w:eastAsia="宋体" w:cs="宋体"/>
          <w:b/>
          <w:bCs/>
          <w:color w:val="000000"/>
          <w:sz w:val="30"/>
          <w:szCs w:val="30"/>
          <w:highlight w:val="none"/>
        </w:rPr>
        <w:t>目  录</w:t>
      </w:r>
    </w:p>
    <w:p w14:paraId="38086B7D">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color w:val="000000"/>
          <w:kern w:val="2"/>
          <w:sz w:val="24"/>
          <w:szCs w:val="24"/>
          <w:highlight w:val="none"/>
          <w:lang w:val="en-US" w:eastAsia="zh-CN" w:bidi="ar-SA"/>
        </w:rPr>
        <w:instrText xml:space="preserve">TOC \o "1-1" \h \u </w:instrText>
      </w:r>
      <w:r>
        <w:rPr>
          <w:rFonts w:hint="eastAsia" w:ascii="宋体" w:hAnsi="宋体" w:eastAsia="宋体" w:cs="宋体"/>
          <w:b w:val="0"/>
          <w:bCs w:val="0"/>
          <w:caps/>
          <w:color w:val="000000"/>
          <w:kern w:val="2"/>
          <w:sz w:val="24"/>
          <w:szCs w:val="24"/>
          <w:highlight w:val="none"/>
          <w:lang w:val="en-US" w:eastAsia="zh-CN" w:bidi="ar-SA"/>
        </w:rPr>
        <w:fldChar w:fldCharType="separate"/>
      </w: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_Toc15688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_Toc15688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1</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61989512">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_Toc21136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第一章 招标公告</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_Toc21136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50ACC183">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_Toc13504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第二章 投标人须知</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_Toc13504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7</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211DCDDB">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_Toc24514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第三章 评标办法及定标办法</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_Toc24514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25</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0A7016B7">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_Toc760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第四章 合同条款及格式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_Toc760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34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52B31DD9">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_Toc8660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第二卷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_Toc8660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53</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7BB37B39">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_Toc3129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第五章 工程量清单及图纸</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_Toc3129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54</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3AB8BED5">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_Toc5842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第三卷</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_Toc5842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55</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052A06A0">
      <w:pPr>
        <w:tabs>
          <w:tab w:val="right" w:leader="dot" w:pos="9071"/>
        </w:tabs>
        <w:adjustRightInd w:val="0"/>
        <w:snapToGrid w:val="0"/>
        <w:spacing w:before="0" w:beforeLines="0" w:after="0" w:afterLines="0" w:line="360" w:lineRule="auto"/>
        <w:jc w:val="both"/>
        <w:rPr>
          <w:rFonts w:hint="eastAsia" w:ascii="宋体" w:hAnsi="宋体" w:eastAsia="宋体" w:cs="宋体"/>
          <w:b w:val="0"/>
          <w:bCs w:val="0"/>
          <w:caps/>
          <w:kern w:val="2"/>
          <w:sz w:val="24"/>
          <w:szCs w:val="24"/>
          <w:lang w:val="en-US" w:eastAsia="zh-CN" w:bidi="ar-SA"/>
        </w:rPr>
      </w:pPr>
      <w:r>
        <w:rPr>
          <w:rFonts w:hint="eastAsia" w:ascii="宋体" w:hAnsi="宋体" w:eastAsia="宋体" w:cs="宋体"/>
          <w:b w:val="0"/>
          <w:bCs w:val="0"/>
          <w:caps/>
          <w:color w:val="000000"/>
          <w:kern w:val="2"/>
          <w:sz w:val="24"/>
          <w:szCs w:val="24"/>
          <w:highlight w:val="none"/>
          <w:lang w:val="en-US" w:eastAsia="zh-CN" w:bidi="ar-SA"/>
        </w:rPr>
        <w:fldChar w:fldCharType="begin"/>
      </w:r>
      <w:r>
        <w:rPr>
          <w:rFonts w:hint="eastAsia" w:ascii="宋体" w:hAnsi="宋体" w:eastAsia="宋体" w:cs="宋体"/>
          <w:b w:val="0"/>
          <w:bCs w:val="0"/>
          <w:caps/>
          <w:kern w:val="2"/>
          <w:sz w:val="24"/>
          <w:szCs w:val="24"/>
          <w:highlight w:val="none"/>
          <w:lang w:val="en-US" w:eastAsia="zh-CN" w:bidi="ar-SA"/>
        </w:rPr>
        <w:instrText xml:space="preserve"> HYPERLINK \l _Toc32157 </w:instrText>
      </w:r>
      <w:r>
        <w:rPr>
          <w:rFonts w:hint="eastAsia" w:ascii="宋体" w:hAnsi="宋体" w:eastAsia="宋体" w:cs="宋体"/>
          <w:b w:val="0"/>
          <w:bCs w:val="0"/>
          <w:caps/>
          <w:kern w:val="2"/>
          <w:sz w:val="24"/>
          <w:szCs w:val="24"/>
          <w:highlight w:val="none"/>
          <w:lang w:val="en-US" w:eastAsia="zh-CN" w:bidi="ar-SA"/>
        </w:rPr>
        <w:fldChar w:fldCharType="separate"/>
      </w:r>
      <w:r>
        <w:rPr>
          <w:rFonts w:hint="eastAsia" w:ascii="宋体" w:hAnsi="宋体" w:eastAsia="宋体" w:cs="宋体"/>
          <w:b w:val="0"/>
          <w:bCs w:val="0"/>
          <w:caps/>
          <w:kern w:val="2"/>
          <w:sz w:val="24"/>
          <w:szCs w:val="24"/>
          <w:highlight w:val="none"/>
          <w:lang w:val="en-US" w:eastAsia="zh-CN" w:bidi="ar-SA"/>
        </w:rPr>
        <w:t>第六章 投标文件格式</w:t>
      </w:r>
      <w:r>
        <w:rPr>
          <w:rFonts w:hint="eastAsia" w:ascii="宋体" w:hAnsi="宋体" w:eastAsia="宋体" w:cs="宋体"/>
          <w:b w:val="0"/>
          <w:bCs w:val="0"/>
          <w:caps/>
          <w:kern w:val="2"/>
          <w:sz w:val="24"/>
          <w:szCs w:val="24"/>
          <w:lang w:val="en-US" w:eastAsia="zh-CN" w:bidi="ar-SA"/>
        </w:rPr>
        <w:tab/>
      </w:r>
      <w:r>
        <w:rPr>
          <w:rFonts w:hint="eastAsia" w:ascii="宋体" w:hAnsi="宋体" w:eastAsia="宋体" w:cs="宋体"/>
          <w:b w:val="0"/>
          <w:bCs w:val="0"/>
          <w:caps/>
          <w:kern w:val="2"/>
          <w:sz w:val="24"/>
          <w:szCs w:val="24"/>
          <w:lang w:val="en-US" w:eastAsia="zh-CN" w:bidi="ar-SA"/>
        </w:rPr>
        <w:fldChar w:fldCharType="begin"/>
      </w:r>
      <w:r>
        <w:rPr>
          <w:rFonts w:hint="eastAsia" w:ascii="宋体" w:hAnsi="宋体" w:eastAsia="宋体" w:cs="宋体"/>
          <w:b w:val="0"/>
          <w:bCs w:val="0"/>
          <w:caps/>
          <w:kern w:val="2"/>
          <w:sz w:val="24"/>
          <w:szCs w:val="24"/>
          <w:lang w:val="en-US" w:eastAsia="zh-CN" w:bidi="ar-SA"/>
        </w:rPr>
        <w:instrText xml:space="preserve"> PAGEREF _Toc32157 \h </w:instrText>
      </w:r>
      <w:r>
        <w:rPr>
          <w:rFonts w:hint="eastAsia" w:ascii="宋体" w:hAnsi="宋体" w:eastAsia="宋体" w:cs="宋体"/>
          <w:b w:val="0"/>
          <w:bCs w:val="0"/>
          <w:caps/>
          <w:kern w:val="2"/>
          <w:sz w:val="24"/>
          <w:szCs w:val="24"/>
          <w:lang w:val="en-US" w:eastAsia="zh-CN" w:bidi="ar-SA"/>
        </w:rPr>
        <w:fldChar w:fldCharType="separate"/>
      </w:r>
      <w:r>
        <w:rPr>
          <w:rFonts w:hint="eastAsia" w:ascii="宋体" w:hAnsi="宋体" w:eastAsia="宋体" w:cs="宋体"/>
          <w:b w:val="0"/>
          <w:bCs w:val="0"/>
          <w:caps/>
          <w:kern w:val="2"/>
          <w:sz w:val="24"/>
          <w:szCs w:val="24"/>
          <w:lang w:val="en-US" w:eastAsia="zh-CN" w:bidi="ar-SA"/>
        </w:rPr>
        <w:t>56</w:t>
      </w:r>
      <w:r>
        <w:rPr>
          <w:rFonts w:hint="eastAsia" w:ascii="宋体" w:hAnsi="宋体" w:eastAsia="宋体" w:cs="宋体"/>
          <w:b w:val="0"/>
          <w:bCs w:val="0"/>
          <w:caps/>
          <w:kern w:val="2"/>
          <w:sz w:val="24"/>
          <w:szCs w:val="24"/>
          <w:lang w:val="en-US" w:eastAsia="zh-CN" w:bidi="ar-SA"/>
        </w:rPr>
        <w:fldChar w:fldCharType="end"/>
      </w:r>
      <w:r>
        <w:rPr>
          <w:rFonts w:hint="eastAsia" w:ascii="宋体" w:hAnsi="宋体" w:eastAsia="宋体" w:cs="宋体"/>
          <w:b w:val="0"/>
          <w:bCs w:val="0"/>
          <w:caps/>
          <w:color w:val="000000"/>
          <w:kern w:val="2"/>
          <w:sz w:val="24"/>
          <w:szCs w:val="24"/>
          <w:highlight w:val="none"/>
          <w:lang w:val="en-US" w:eastAsia="zh-CN" w:bidi="ar-SA"/>
        </w:rPr>
        <w:fldChar w:fldCharType="end"/>
      </w:r>
    </w:p>
    <w:p w14:paraId="1F4B989C">
      <w:pPr>
        <w:widowControl/>
        <w:spacing w:beforeLines="0" w:afterLines="0" w:line="360" w:lineRule="auto"/>
        <w:ind w:firstLine="0" w:firstLineChars="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p>
    <w:p w14:paraId="52F234FF">
      <w:pPr>
        <w:spacing w:beforeLines="0" w:after="0" w:afterLines="0" w:line="240" w:lineRule="auto"/>
        <w:rPr>
          <w:rFonts w:hint="eastAsia" w:ascii="宋体" w:hAnsi="宋体" w:eastAsia="宋体" w:cs="宋体"/>
          <w:kern w:val="2"/>
          <w:sz w:val="21"/>
          <w:szCs w:val="22"/>
          <w:highlight w:val="none"/>
          <w:lang w:val="en-US" w:eastAsia="zh-CN" w:bidi="ar-SA"/>
        </w:rPr>
      </w:pPr>
    </w:p>
    <w:p w14:paraId="371AC599">
      <w:pPr>
        <w:widowControl/>
        <w:spacing w:beforeLines="0" w:afterLines="0" w:line="240" w:lineRule="auto"/>
        <w:ind w:firstLine="0" w:firstLineChars="0"/>
        <w:jc w:val="left"/>
        <w:rPr>
          <w:rFonts w:hint="eastAsia" w:ascii="宋体" w:hAnsi="宋体" w:eastAsia="宋体" w:cs="宋体"/>
          <w:color w:val="000000"/>
          <w:sz w:val="24"/>
          <w:szCs w:val="24"/>
          <w:highlight w:val="none"/>
        </w:rPr>
      </w:pPr>
    </w:p>
    <w:p w14:paraId="31A3A01A">
      <w:pPr>
        <w:spacing w:beforeLines="0" w:afterLines="0" w:line="240" w:lineRule="auto"/>
        <w:ind w:firstLine="0" w:firstLineChars="0"/>
        <w:rPr>
          <w:rFonts w:hint="eastAsia" w:ascii="宋体" w:hAnsi="宋体" w:eastAsia="宋体" w:cs="宋体"/>
          <w:color w:val="000000"/>
          <w:sz w:val="24"/>
          <w:szCs w:val="24"/>
          <w:highlight w:val="none"/>
        </w:rPr>
        <w:sectPr>
          <w:headerReference r:id="rId4" w:type="default"/>
          <w:footerReference r:id="rId5" w:type="default"/>
          <w:pgSz w:w="11905" w:h="16838"/>
          <w:pgMar w:top="1417" w:right="1417" w:bottom="1417" w:left="1417" w:header="794" w:footer="794" w:gutter="0"/>
          <w:pgNumType w:start="1"/>
          <w:cols w:space="720" w:num="1"/>
          <w:docGrid w:linePitch="286" w:charSpace="0"/>
        </w:sectPr>
      </w:pPr>
    </w:p>
    <w:p w14:paraId="0836C6D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1BE9A77">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7F37504">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172CE468">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43DE3F6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7520874B">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94155C0">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3589D3A3">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05F08FF2">
      <w:pPr>
        <w:spacing w:beforeLines="0" w:after="0" w:afterLines="0" w:line="240" w:lineRule="auto"/>
        <w:rPr>
          <w:rFonts w:hint="eastAsia" w:ascii="宋体" w:hAnsi="宋体" w:eastAsia="宋体" w:cs="宋体"/>
          <w:color w:val="000000"/>
          <w:kern w:val="2"/>
          <w:sz w:val="24"/>
          <w:szCs w:val="24"/>
          <w:highlight w:val="none"/>
          <w:lang w:val="en-US" w:eastAsia="zh-CN" w:bidi="ar-SA"/>
        </w:rPr>
      </w:pPr>
    </w:p>
    <w:p w14:paraId="2ED6C125">
      <w:pPr>
        <w:widowControl/>
        <w:spacing w:beforeLines="0" w:afterLines="0" w:line="240" w:lineRule="auto"/>
        <w:jc w:val="left"/>
        <w:rPr>
          <w:rFonts w:hint="eastAsia" w:ascii="宋体" w:hAnsi="宋体" w:eastAsia="宋体" w:cs="宋体"/>
          <w:szCs w:val="22"/>
          <w:highlight w:val="none"/>
        </w:rPr>
      </w:pPr>
    </w:p>
    <w:p w14:paraId="7879E58B">
      <w:pPr>
        <w:widowControl/>
        <w:spacing w:beforeLines="0" w:afterLines="0" w:line="240" w:lineRule="auto"/>
        <w:jc w:val="left"/>
        <w:rPr>
          <w:rFonts w:hint="eastAsia" w:ascii="宋体" w:hAnsi="宋体" w:eastAsia="宋体" w:cs="宋体"/>
          <w:szCs w:val="22"/>
          <w:highlight w:val="none"/>
        </w:rPr>
      </w:pPr>
    </w:p>
    <w:p w14:paraId="4AF68A33">
      <w:pPr>
        <w:widowControl/>
        <w:spacing w:beforeLines="0" w:afterLines="0" w:line="240" w:lineRule="auto"/>
        <w:jc w:val="left"/>
        <w:rPr>
          <w:rFonts w:hint="eastAsia" w:ascii="宋体" w:hAnsi="宋体" w:eastAsia="宋体" w:cs="宋体"/>
          <w:szCs w:val="22"/>
          <w:highlight w:val="none"/>
        </w:rPr>
      </w:pPr>
    </w:p>
    <w:p w14:paraId="014D4099">
      <w:pPr>
        <w:widowControl/>
        <w:spacing w:beforeLines="0" w:afterLines="0" w:line="240" w:lineRule="auto"/>
        <w:jc w:val="left"/>
        <w:rPr>
          <w:rFonts w:hint="eastAsia" w:ascii="宋体" w:hAnsi="宋体" w:eastAsia="宋体" w:cs="宋体"/>
          <w:szCs w:val="22"/>
          <w:highlight w:val="none"/>
        </w:rPr>
      </w:pPr>
    </w:p>
    <w:p w14:paraId="45A6A5AA">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19" w:name="_Toc15688"/>
      <w:bookmarkStart w:id="20" w:name="_Toc19173"/>
      <w:bookmarkStart w:id="21" w:name="_Toc25370"/>
      <w:bookmarkStart w:id="22" w:name="_Toc91344920"/>
      <w:bookmarkStart w:id="23" w:name="_Toc29130"/>
      <w:bookmarkStart w:id="24" w:name="_Toc15276"/>
      <w:bookmarkStart w:id="25" w:name="_Toc5303"/>
      <w:bookmarkStart w:id="26" w:name="_Toc332378823"/>
      <w:bookmarkStart w:id="27" w:name="_Toc62034395"/>
      <w:r>
        <w:rPr>
          <w:rFonts w:hint="eastAsia" w:ascii="宋体" w:hAnsi="宋体" w:eastAsia="宋体" w:cs="宋体"/>
          <w:b/>
          <w:bCs/>
          <w:kern w:val="44"/>
          <w:sz w:val="52"/>
          <w:szCs w:val="52"/>
          <w:highlight w:val="none"/>
          <w:lang w:val="en-US" w:eastAsia="zh-CN" w:bidi="ar-SA"/>
        </w:rPr>
        <w:t>第一卷</w:t>
      </w:r>
      <w:bookmarkEnd w:id="18"/>
      <w:bookmarkEnd w:id="19"/>
      <w:bookmarkEnd w:id="20"/>
      <w:bookmarkEnd w:id="21"/>
      <w:bookmarkEnd w:id="22"/>
      <w:bookmarkEnd w:id="23"/>
      <w:bookmarkEnd w:id="24"/>
      <w:bookmarkEnd w:id="25"/>
      <w:bookmarkEnd w:id="26"/>
      <w:bookmarkEnd w:id="27"/>
    </w:p>
    <w:p w14:paraId="257FCBD5">
      <w:pPr>
        <w:widowControl/>
        <w:spacing w:beforeLines="-2147483648" w:afterLines="-2147483648" w:line="240" w:lineRule="auto"/>
        <w:jc w:val="left"/>
        <w:rPr>
          <w:rFonts w:hint="eastAsia" w:ascii="宋体" w:hAnsi="宋体" w:eastAsia="宋体" w:cs="宋体"/>
          <w:szCs w:val="22"/>
          <w:highlight w:val="none"/>
        </w:rPr>
      </w:pPr>
      <w:bookmarkStart w:id="28" w:name="_Toc222033831"/>
      <w:bookmarkStart w:id="29" w:name="_Toc144974494"/>
      <w:bookmarkStart w:id="30" w:name="_Toc222029480"/>
      <w:bookmarkStart w:id="31" w:name="_Toc168475641"/>
      <w:bookmarkStart w:id="32" w:name="_Toc222030982"/>
      <w:bookmarkStart w:id="33" w:name="_Toc229305340"/>
      <w:bookmarkStart w:id="34" w:name="_Toc221949986"/>
      <w:bookmarkStart w:id="35" w:name="_Toc222032649"/>
      <w:bookmarkStart w:id="36" w:name="_Toc168476044"/>
      <w:r>
        <w:rPr>
          <w:rFonts w:hint="eastAsia" w:ascii="宋体" w:hAnsi="宋体" w:eastAsia="宋体" w:cs="宋体"/>
          <w:szCs w:val="22"/>
          <w:highlight w:val="none"/>
        </w:rPr>
        <w:br w:type="page"/>
      </w:r>
    </w:p>
    <w:p w14:paraId="2F48E812">
      <w:pPr>
        <w:keepNext w:val="0"/>
        <w:keepLines w:val="0"/>
        <w:pageBreakBefore w:val="0"/>
        <w:widowControl/>
        <w:numPr>
          <w:ilvl w:val="-1"/>
          <w:numId w:val="0"/>
        </w:numPr>
        <w:kinsoku/>
        <w:wordWrap/>
        <w:overflowPunct/>
        <w:topLinePunct w:val="0"/>
        <w:autoSpaceDE/>
        <w:autoSpaceDN/>
        <w:bidi w:val="0"/>
        <w:adjustRightInd/>
        <w:snapToGrid/>
        <w:spacing w:beforeLines="0" w:afterLines="0" w:line="360" w:lineRule="auto"/>
        <w:jc w:val="center"/>
        <w:textAlignment w:val="auto"/>
        <w:outlineLvl w:val="0"/>
        <w:rPr>
          <w:rFonts w:hint="eastAsia" w:ascii="宋体" w:hAnsi="宋体" w:eastAsia="宋体" w:cs="宋体"/>
          <w:b/>
          <w:bCs/>
          <w:sz w:val="32"/>
          <w:szCs w:val="32"/>
          <w:highlight w:val="none"/>
          <w:lang w:val="en-US" w:eastAsia="zh-CN"/>
        </w:rPr>
      </w:pPr>
      <w:bookmarkStart w:id="37" w:name="_Toc14499"/>
      <w:bookmarkStart w:id="38" w:name="_Toc21136"/>
      <w:r>
        <w:rPr>
          <w:rFonts w:hint="eastAsia" w:ascii="宋体" w:hAnsi="宋体" w:eastAsia="宋体" w:cs="宋体"/>
          <w:b/>
          <w:bCs/>
          <w:sz w:val="32"/>
          <w:szCs w:val="32"/>
          <w:highlight w:val="none"/>
          <w:lang w:val="en-US" w:eastAsia="zh-CN"/>
        </w:rPr>
        <w:t>第一章 招标公告</w:t>
      </w:r>
      <w:bookmarkEnd w:id="37"/>
      <w:bookmarkEnd w:id="38"/>
    </w:p>
    <w:p w14:paraId="605D81F3">
      <w:pPr>
        <w:keepNext w:val="0"/>
        <w:keepLines w:val="0"/>
        <w:pageBreakBefore w:val="0"/>
        <w:widowControl w:val="0"/>
        <w:kinsoku/>
        <w:overflowPunct/>
        <w:topLinePunct w:val="0"/>
        <w:bidi w:val="0"/>
        <w:adjustRightInd/>
        <w:snapToGrid/>
        <w:spacing w:after="0" w:afterLines="0" w:line="360" w:lineRule="auto"/>
        <w:ind w:left="0" w:leftChars="0" w:firstLine="0" w:firstLineChars="0"/>
        <w:jc w:val="center"/>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驻马店市薄山水库除险加固工程（一期）（二次）招标公告</w:t>
      </w:r>
    </w:p>
    <w:p w14:paraId="30B7C5ED">
      <w:pPr>
        <w:keepNext w:val="0"/>
        <w:keepLines w:val="0"/>
        <w:pageBreakBefore w:val="0"/>
        <w:widowControl/>
        <w:kinsoku/>
        <w:wordWrap w:val="0"/>
        <w:overflowPunct/>
        <w:topLinePunct w:val="0"/>
        <w:bidi w:val="0"/>
        <w:snapToGrid/>
        <w:spacing w:line="360" w:lineRule="auto"/>
        <w:jc w:val="center"/>
        <w:textAlignment w:val="auto"/>
        <w:rPr>
          <w:rFonts w:hint="default" w:ascii="宋体" w:hAnsi="宋体" w:eastAsia="宋体" w:cs="宋体"/>
          <w:b/>
          <w:color w:val="auto"/>
          <w:kern w:val="0"/>
          <w:sz w:val="24"/>
          <w:szCs w:val="24"/>
          <w:highlight w:val="none"/>
          <w:lang w:val="en-US" w:eastAsia="zh-CN"/>
        </w:rPr>
      </w:pPr>
      <w:r>
        <w:rPr>
          <w:rFonts w:hint="eastAsia" w:ascii="宋体" w:hAnsi="宋体" w:eastAsia="宋体" w:cs="宋体"/>
          <w:b/>
          <w:color w:val="auto"/>
          <w:kern w:val="0"/>
          <w:sz w:val="24"/>
          <w:szCs w:val="24"/>
          <w:highlight w:val="none"/>
        </w:rPr>
        <w:t>项目编号：</w:t>
      </w:r>
      <w:r>
        <w:rPr>
          <w:rFonts w:hint="eastAsia" w:ascii="宋体" w:hAnsi="宋体" w:eastAsia="宋体" w:cs="宋体"/>
          <w:b/>
          <w:color w:val="auto"/>
          <w:kern w:val="0"/>
          <w:sz w:val="24"/>
          <w:szCs w:val="24"/>
          <w:highlight w:val="none"/>
          <w:lang w:val="en-US" w:eastAsia="zh-CN"/>
        </w:rPr>
        <w:t>ZMD2026-038</w:t>
      </w:r>
    </w:p>
    <w:p w14:paraId="18D7737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1、招标条件</w:t>
      </w:r>
    </w:p>
    <w:p w14:paraId="72E6A2D2">
      <w:pPr>
        <w:keepNext w:val="0"/>
        <w:keepLines w:val="0"/>
        <w:pageBreakBefore w:val="0"/>
        <w:widowControl w:val="0"/>
        <w:shd w:val="clear" w:color="auto" w:fill="auto"/>
        <w:kinsoku/>
        <w:wordWrap w:val="0"/>
        <w:overflowPunct/>
        <w:topLinePunct w:val="0"/>
        <w:autoSpaceDE/>
        <w:autoSpaceDN/>
        <w:bidi w:val="0"/>
        <w:adjustRightInd/>
        <w:snapToGrid/>
        <w:spacing w:before="0" w:beforeLines="0" w:beforeAutospacing="0" w:after="0" w:afterLines="0" w:afterAutospacing="0" w:line="360" w:lineRule="auto"/>
        <w:ind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本招标项目</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驻马店市薄山水库除险加固工程（一期）（二次） </w:t>
      </w:r>
      <w:r>
        <w:rPr>
          <w:rFonts w:hint="eastAsia" w:ascii="宋体" w:hAnsi="宋体" w:eastAsia="宋体" w:cs="宋体"/>
          <w:color w:val="auto"/>
          <w:kern w:val="0"/>
          <w:sz w:val="21"/>
          <w:szCs w:val="21"/>
          <w:highlight w:val="none"/>
          <w:shd w:val="clear" w:color="auto" w:fill="FFFFFF"/>
          <w:lang w:val="en-US" w:eastAsia="zh-CN" w:bidi="ar"/>
        </w:rPr>
        <w:t>已由相关部门批准建设，</w:t>
      </w:r>
      <w:r>
        <w:rPr>
          <w:rFonts w:hint="eastAsia" w:ascii="宋体" w:hAnsi="宋体" w:eastAsia="宋体" w:cs="宋体"/>
          <w:color w:val="auto"/>
          <w:kern w:val="0"/>
          <w:sz w:val="21"/>
          <w:szCs w:val="21"/>
          <w:highlight w:val="none"/>
          <w:u w:val="none"/>
          <w:shd w:val="clear" w:color="auto" w:fill="FFFFFF"/>
          <w:lang w:val="en-US" w:eastAsia="zh-CN" w:bidi="ar"/>
        </w:rPr>
        <w:t>项目代码：</w:t>
      </w:r>
      <w:r>
        <w:rPr>
          <w:rFonts w:hint="eastAsia" w:ascii="宋体" w:hAnsi="宋体" w:eastAsia="宋体" w:cs="宋体"/>
          <w:color w:val="auto"/>
          <w:kern w:val="0"/>
          <w:sz w:val="21"/>
          <w:szCs w:val="21"/>
          <w:highlight w:val="none"/>
          <w:u w:val="single"/>
          <w:shd w:val="clear" w:color="auto" w:fill="FFFFFF"/>
          <w:lang w:val="en-US" w:eastAsia="zh-CN" w:bidi="ar"/>
        </w:rPr>
        <w:t xml:space="preserve"> 2509-411700-04-01-869629 </w:t>
      </w:r>
      <w:r>
        <w:rPr>
          <w:rFonts w:hint="eastAsia" w:ascii="宋体" w:hAnsi="宋体" w:eastAsia="宋体" w:cs="宋体"/>
          <w:color w:val="auto"/>
          <w:kern w:val="0"/>
          <w:sz w:val="21"/>
          <w:szCs w:val="21"/>
          <w:highlight w:val="none"/>
          <w:u w:val="none"/>
          <w:shd w:val="clear" w:color="auto" w:fill="FFFFFF"/>
          <w:lang w:val="en-US" w:eastAsia="zh-CN" w:bidi="ar"/>
        </w:rPr>
        <w:t>，招</w:t>
      </w:r>
      <w:r>
        <w:rPr>
          <w:rFonts w:hint="eastAsia" w:ascii="宋体" w:hAnsi="宋体" w:eastAsia="宋体" w:cs="宋体"/>
          <w:color w:val="auto"/>
          <w:kern w:val="0"/>
          <w:sz w:val="21"/>
          <w:szCs w:val="21"/>
          <w:highlight w:val="none"/>
          <w:shd w:val="clear" w:color="auto" w:fill="FFFFFF"/>
          <w:lang w:val="en-US" w:eastAsia="zh-CN" w:bidi="ar"/>
        </w:rPr>
        <w:t>标人为</w:t>
      </w:r>
      <w:r>
        <w:rPr>
          <w:rFonts w:hint="eastAsia" w:ascii="宋体" w:hAnsi="宋体" w:eastAsia="宋体" w:cs="宋体"/>
          <w:color w:val="auto"/>
          <w:kern w:val="0"/>
          <w:sz w:val="21"/>
          <w:szCs w:val="21"/>
          <w:highlight w:val="none"/>
          <w:u w:val="single"/>
          <w:shd w:val="clear" w:color="auto" w:fill="FFFFFF"/>
          <w:lang w:val="en-US" w:eastAsia="zh-CN" w:bidi="ar"/>
        </w:rPr>
        <w:t xml:space="preserve"> 驻马店市薄山水库运行中心 </w:t>
      </w:r>
      <w:r>
        <w:rPr>
          <w:rFonts w:hint="eastAsia" w:ascii="宋体" w:hAnsi="宋体" w:eastAsia="宋体" w:cs="宋体"/>
          <w:color w:val="auto"/>
          <w:kern w:val="0"/>
          <w:sz w:val="21"/>
          <w:szCs w:val="21"/>
          <w:highlight w:val="none"/>
          <w:shd w:val="clear" w:color="auto" w:fill="FFFFFF"/>
          <w:lang w:val="en-US" w:eastAsia="zh-CN" w:bidi="ar"/>
        </w:rPr>
        <w:t>，建设资金为</w:t>
      </w:r>
      <w:r>
        <w:rPr>
          <w:rFonts w:hint="eastAsia" w:ascii="宋体" w:hAnsi="宋体" w:eastAsia="宋体" w:cs="宋体"/>
          <w:color w:val="auto"/>
          <w:kern w:val="0"/>
          <w:sz w:val="21"/>
          <w:szCs w:val="21"/>
          <w:highlight w:val="none"/>
          <w:u w:val="single"/>
          <w:shd w:val="clear" w:color="auto" w:fill="FFFFFF"/>
          <w:lang w:val="en-US" w:eastAsia="zh-CN" w:bidi="ar"/>
        </w:rPr>
        <w:t xml:space="preserve"> 财政资金 </w:t>
      </w:r>
      <w:r>
        <w:rPr>
          <w:rFonts w:hint="eastAsia" w:ascii="宋体" w:hAnsi="宋体" w:eastAsia="宋体" w:cs="宋体"/>
          <w:color w:val="auto"/>
          <w:kern w:val="0"/>
          <w:sz w:val="21"/>
          <w:szCs w:val="21"/>
          <w:highlight w:val="none"/>
          <w:shd w:val="clear" w:color="auto" w:fill="FFFFFF"/>
          <w:lang w:val="en-US" w:eastAsia="zh-CN" w:bidi="ar"/>
        </w:rPr>
        <w:t>，招标代理机构为</w:t>
      </w:r>
      <w:r>
        <w:rPr>
          <w:rFonts w:hint="eastAsia" w:ascii="宋体" w:hAnsi="宋体" w:eastAsia="宋体" w:cs="宋体"/>
          <w:color w:val="auto"/>
          <w:kern w:val="0"/>
          <w:sz w:val="21"/>
          <w:szCs w:val="21"/>
          <w:highlight w:val="none"/>
          <w:u w:val="single"/>
          <w:shd w:val="clear" w:color="auto" w:fill="FFFFFF"/>
          <w:lang w:val="en-US" w:eastAsia="zh-CN" w:bidi="ar"/>
        </w:rPr>
        <w:t xml:space="preserve"> 正智国际工程管理（河南）有限公司 </w:t>
      </w:r>
      <w:r>
        <w:rPr>
          <w:rFonts w:hint="eastAsia" w:ascii="宋体" w:hAnsi="宋体" w:eastAsia="宋体" w:cs="宋体"/>
          <w:color w:val="auto"/>
          <w:kern w:val="0"/>
          <w:sz w:val="21"/>
          <w:szCs w:val="21"/>
          <w:highlight w:val="none"/>
          <w:u w:val="none"/>
          <w:shd w:val="clear" w:color="auto" w:fill="FFFFFF"/>
          <w:lang w:val="en-US" w:eastAsia="zh-CN" w:bidi="ar"/>
        </w:rPr>
        <w:t>，现就本项目第四标段：金属结构设备购置标段和第五标段：机电设备购置标段进行</w:t>
      </w:r>
      <w:r>
        <w:rPr>
          <w:rFonts w:hint="eastAsia" w:ascii="宋体" w:hAnsi="宋体" w:eastAsia="宋体" w:cs="宋体"/>
          <w:color w:val="auto"/>
          <w:kern w:val="0"/>
          <w:sz w:val="21"/>
          <w:szCs w:val="21"/>
          <w:highlight w:val="none"/>
          <w:u w:val="single"/>
          <w:shd w:val="clear" w:color="auto" w:fill="FFFFFF"/>
          <w:lang w:val="en-US" w:eastAsia="zh-CN" w:bidi="ar"/>
        </w:rPr>
        <w:t xml:space="preserve"> 二次公开招标 </w:t>
      </w:r>
      <w:r>
        <w:rPr>
          <w:rFonts w:hint="eastAsia" w:ascii="宋体" w:hAnsi="宋体" w:eastAsia="宋体" w:cs="宋体"/>
          <w:color w:val="auto"/>
          <w:kern w:val="0"/>
          <w:sz w:val="21"/>
          <w:szCs w:val="21"/>
          <w:highlight w:val="none"/>
          <w:u w:val="none"/>
          <w:shd w:val="clear" w:color="auto" w:fill="FFFFFF"/>
          <w:lang w:val="en-US" w:eastAsia="zh-CN" w:bidi="ar"/>
        </w:rPr>
        <w:t>，欢迎符合相关条件的投标人参加投标。</w:t>
      </w:r>
    </w:p>
    <w:p w14:paraId="2CF42ADA">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2、项目概况与招标范围</w:t>
      </w:r>
    </w:p>
    <w:p w14:paraId="3CCE608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2.1 项目概况：</w:t>
      </w:r>
      <w:r>
        <w:rPr>
          <w:rFonts w:hint="eastAsia" w:ascii="宋体" w:hAnsi="宋体" w:eastAsia="宋体" w:cs="宋体"/>
          <w:color w:val="auto"/>
          <w:kern w:val="0"/>
          <w:sz w:val="21"/>
          <w:szCs w:val="21"/>
          <w:highlight w:val="none"/>
          <w:shd w:val="clear" w:color="auto" w:fill="FFFFFF"/>
          <w:lang w:val="en-US" w:eastAsia="zh-CN" w:bidi="ar"/>
        </w:rPr>
        <w:t>薄山水库位于河南省驻马店市确山县境内的淮河支流臻头河上游，控制流域面积580km²，是一座以防洪、灌溉为主，结合发电、养殖、供水等综合利用的大（2）型水库，工程等别2等，主要建筑物级别2级。水库按100年一遇洪水设计，设计洪水位122.10m（废黄河口零点高程，下同），按5000年一遇洪水校核，校核洪水位125.30m，总库容5.16亿m³。</w:t>
      </w:r>
    </w:p>
    <w:p w14:paraId="101C222B">
      <w:pPr>
        <w:keepNext w:val="0"/>
        <w:keepLines w:val="0"/>
        <w:pageBreakBefore w:val="0"/>
        <w:widowControl/>
        <w:shd w:val="clear" w:color="auto" w:fill="auto"/>
        <w:kinsoku/>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2.2 标段划分：</w:t>
      </w:r>
      <w:r>
        <w:rPr>
          <w:rFonts w:hint="eastAsia" w:ascii="宋体" w:hAnsi="宋体" w:eastAsia="宋体" w:cs="宋体"/>
          <w:color w:val="auto"/>
          <w:kern w:val="0"/>
          <w:sz w:val="21"/>
          <w:szCs w:val="21"/>
          <w:highlight w:val="none"/>
          <w:shd w:val="clear" w:color="auto" w:fill="FFFFFF"/>
          <w:lang w:val="en-US" w:eastAsia="zh-CN" w:bidi="ar"/>
        </w:rPr>
        <w:t>共划分5个标段：第一标段：监理标段；第二标段：建筑工程及安装标段；第三标段：安全监测标段；第四标段：金属结构设备购置标段；第五标段：机电设备购置标段。</w:t>
      </w:r>
      <w:r>
        <w:rPr>
          <w:rFonts w:hint="eastAsia" w:ascii="宋体" w:hAnsi="宋体" w:eastAsia="宋体" w:cs="宋体"/>
          <w:b/>
          <w:bCs/>
          <w:color w:val="auto"/>
          <w:kern w:val="0"/>
          <w:sz w:val="21"/>
          <w:szCs w:val="21"/>
          <w:highlight w:val="none"/>
          <w:shd w:val="clear" w:color="auto" w:fill="FFFFFF"/>
          <w:lang w:val="en-US" w:eastAsia="zh-CN" w:bidi="ar"/>
        </w:rPr>
        <w:t>本次招标其中的第四标段：金属结构设备购置标段、第五标段：机电设备购置标段。</w:t>
      </w:r>
    </w:p>
    <w:p w14:paraId="38BED40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2.3 第四标段：金属结构设备购置标段相关要求</w:t>
      </w:r>
    </w:p>
    <w:p w14:paraId="3D9DF36D">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2.3.1质量要求：合格，符合国家、行业、地方规定相应的技术标准和规范要求。</w:t>
      </w:r>
    </w:p>
    <w:p w14:paraId="4C42FB1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2.3.2供货期（服务期）：自合同签订之日起至竣工验收通过之日止（供货期按照监理人批准的供货计划实施）。</w:t>
      </w:r>
    </w:p>
    <w:p w14:paraId="190A1554">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2.3.3招标范围：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p w14:paraId="6E8B6E89">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2" w:firstLineChars="20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2.4 第五标段：机电设备购置标段相关要求</w:t>
      </w:r>
    </w:p>
    <w:p w14:paraId="029FDE3A">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2.4.1质量要求：合格，符合国家、行业、地方规定相应的技术标准和规范要求。</w:t>
      </w:r>
    </w:p>
    <w:p w14:paraId="1FC2F14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2.4.2供货期（服务期）：自合同签订之日起至竣工验收通过之日止（供货期按照监理人批准的供货计划实施）。</w:t>
      </w:r>
    </w:p>
    <w:p w14:paraId="7C3BFC55">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20" w:firstLineChars="20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2.4.3招标范围：水力机械设备、溢洪道电气设备、照明系统、防雷接地系统、采暖通风、消防水工程、给排水工程、柴发机房电气工程、消防工程、火灾报警、大坝输水洞管理房、防雷接地等工程量清单所含设备及其必要附件、备品备件、附属设施等的设计、制造、包装、运输、安装指导、试验、验收、培训、协调、联络会议等工作。</w:t>
      </w:r>
    </w:p>
    <w:p w14:paraId="1A41C0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2" w:firstLineChars="200"/>
        <w:jc w:val="both"/>
        <w:textAlignment w:val="auto"/>
        <w:rPr>
          <w:rFonts w:hint="default" w:ascii="宋体" w:hAnsi="宋体" w:eastAsia="宋体" w:cs="宋体"/>
          <w:b/>
          <w:bCs/>
          <w:color w:val="auto"/>
          <w:kern w:val="0"/>
          <w:sz w:val="21"/>
          <w:szCs w:val="21"/>
          <w:highlight w:val="yellow"/>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2.5 本项目采用评定分离方式确定中标人。</w:t>
      </w:r>
    </w:p>
    <w:p w14:paraId="56747F1B">
      <w:pPr>
        <w:keepNext w:val="0"/>
        <w:keepLines w:val="0"/>
        <w:pageBreakBefore w:val="0"/>
        <w:widowControl w:val="0"/>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3、投标人资格要求</w:t>
      </w:r>
    </w:p>
    <w:p w14:paraId="5A569A4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3.1金属结构设备购置标段、机电设备购置标段资格要求</w:t>
      </w:r>
    </w:p>
    <w:p w14:paraId="0D89953E">
      <w:pPr>
        <w:keepNext w:val="0"/>
        <w:keepLines w:val="0"/>
        <w:pageBreakBefore w:val="0"/>
        <w:widowControl w:val="0"/>
        <w:shd w:val="clear" w:color="auto" w:fill="auto"/>
        <w:kinsoku/>
        <w:wordWrap w:val="0"/>
        <w:overflowPunct/>
        <w:topLinePunct w:val="0"/>
        <w:autoSpaceDE/>
        <w:autoSpaceDN/>
        <w:bidi w:val="0"/>
        <w:adjustRightInd w:val="0"/>
        <w:snapToGrid/>
        <w:spacing w:beforeAutospacing="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3.1.1</w:t>
      </w:r>
      <w:r>
        <w:rPr>
          <w:rFonts w:hint="eastAsia" w:ascii="宋体" w:hAnsi="宋体" w:eastAsia="宋体" w:cs="宋体"/>
          <w:b/>
          <w:bCs/>
          <w:color w:val="auto"/>
          <w:kern w:val="0"/>
          <w:sz w:val="21"/>
          <w:szCs w:val="21"/>
          <w:highlight w:val="none"/>
          <w:shd w:val="clear" w:color="auto" w:fill="FFFFFF"/>
          <w:lang w:val="en-US" w:eastAsia="zh-CN" w:bidi="ar"/>
        </w:rPr>
        <w:t>第四标段：</w:t>
      </w:r>
      <w:r>
        <w:rPr>
          <w:rFonts w:hint="eastAsia" w:ascii="宋体" w:hAnsi="宋体" w:eastAsia="宋体" w:cs="宋体"/>
          <w:b/>
          <w:bCs/>
          <w:color w:val="auto"/>
          <w:kern w:val="2"/>
          <w:sz w:val="21"/>
          <w:szCs w:val="21"/>
          <w:highlight w:val="none"/>
          <w:lang w:val="en-US" w:eastAsia="zh-CN" w:bidi="ar-SA"/>
        </w:rPr>
        <w:t>金属结构设备购置标段</w:t>
      </w:r>
    </w:p>
    <w:p w14:paraId="31CEC711">
      <w:pPr>
        <w:keepNext w:val="0"/>
        <w:keepLines w:val="0"/>
        <w:pageBreakBefore w:val="0"/>
        <w:widowControl w:val="0"/>
        <w:numPr>
          <w:ilvl w:val="0"/>
          <w:numId w:val="0"/>
        </w:numPr>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2"/>
          <w:sz w:val="21"/>
          <w:szCs w:val="21"/>
          <w:shd w:val="clear" w:color="auto" w:fill="FFFFFF"/>
          <w:lang w:val="en-US" w:eastAsia="zh-CN" w:bidi="ar"/>
        </w:rPr>
        <w:t>（1）</w:t>
      </w:r>
      <w:r>
        <w:rPr>
          <w:rFonts w:hint="eastAsia" w:ascii="宋体" w:hAnsi="宋体" w:eastAsia="宋体" w:cs="宋体"/>
          <w:color w:val="auto"/>
          <w:kern w:val="2"/>
          <w:sz w:val="21"/>
          <w:szCs w:val="21"/>
          <w:highlight w:val="none"/>
          <w:lang w:val="en-US" w:eastAsia="zh-CN" w:bidi="ar-SA"/>
        </w:rPr>
        <w:t>投标人须具有独立法人资格，</w:t>
      </w:r>
      <w:r>
        <w:rPr>
          <w:rFonts w:hint="eastAsia" w:ascii="宋体" w:hAnsi="宋体" w:eastAsia="宋体" w:cs="宋体"/>
          <w:strike w:val="0"/>
          <w:dstrike w:val="0"/>
          <w:color w:val="auto"/>
          <w:kern w:val="2"/>
          <w:sz w:val="21"/>
          <w:szCs w:val="21"/>
          <w:highlight w:val="none"/>
          <w:lang w:val="en-US" w:eastAsia="zh-CN" w:bidi="ar-SA"/>
        </w:rPr>
        <w:t>具有有效的水工金属结构制作与安装工程专业承包二级及以上资质，</w:t>
      </w:r>
      <w:r>
        <w:rPr>
          <w:rFonts w:hint="eastAsia" w:ascii="宋体" w:hAnsi="宋体" w:eastAsia="宋体" w:cs="宋体"/>
          <w:strike w:val="0"/>
          <w:dstrike w:val="0"/>
          <w:color w:val="auto"/>
          <w:kern w:val="0"/>
          <w:sz w:val="21"/>
          <w:szCs w:val="21"/>
          <w:highlight w:val="none"/>
        </w:rPr>
        <w:t>具备有效的安全生产许</w:t>
      </w:r>
      <w:r>
        <w:rPr>
          <w:rFonts w:hint="eastAsia" w:ascii="宋体" w:hAnsi="宋体" w:eastAsia="宋体" w:cs="宋体"/>
          <w:strike w:val="0"/>
          <w:dstrike w:val="0"/>
          <w:color w:val="auto"/>
          <w:kern w:val="0"/>
          <w:sz w:val="21"/>
          <w:szCs w:val="21"/>
          <w:highlight w:val="none"/>
          <w:shd w:val="clear" w:color="auto" w:fill="FFFFFF"/>
          <w:lang w:bidi="ar"/>
        </w:rPr>
        <w:t>可证，并在人员、资金等方面具有相应的能力</w:t>
      </w:r>
      <w:r>
        <w:rPr>
          <w:rFonts w:hint="eastAsia" w:ascii="宋体" w:hAnsi="宋体" w:eastAsia="宋体" w:cs="宋体"/>
          <w:strike w:val="0"/>
          <w:color w:val="auto"/>
          <w:kern w:val="0"/>
          <w:sz w:val="21"/>
          <w:szCs w:val="21"/>
          <w:highlight w:val="none"/>
          <w:shd w:val="clear" w:color="auto" w:fill="FFFFFF"/>
          <w:lang w:bidi="ar"/>
        </w:rPr>
        <w:t>；</w:t>
      </w:r>
    </w:p>
    <w:p w14:paraId="66071629">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eastAsia="宋体" w:cs="宋体"/>
          <w:color w:val="auto"/>
          <w:kern w:val="0"/>
          <w:sz w:val="21"/>
          <w:szCs w:val="21"/>
          <w:highlight w:val="none"/>
        </w:rPr>
        <w:t>投标人拟派</w:t>
      </w:r>
      <w:r>
        <w:rPr>
          <w:rFonts w:hint="eastAsia" w:ascii="宋体" w:hAnsi="宋体" w:eastAsia="宋体" w:cs="宋体"/>
          <w:color w:val="auto"/>
          <w:kern w:val="0"/>
          <w:sz w:val="21"/>
          <w:szCs w:val="21"/>
          <w:highlight w:val="none"/>
          <w:lang w:val="en-US" w:eastAsia="zh-CN"/>
        </w:rPr>
        <w:t>项目负责人</w:t>
      </w:r>
      <w:r>
        <w:rPr>
          <w:rFonts w:hint="eastAsia" w:ascii="宋体" w:hAnsi="宋体" w:eastAsia="宋体" w:cs="宋体"/>
          <w:color w:val="auto"/>
          <w:kern w:val="0"/>
          <w:sz w:val="21"/>
          <w:szCs w:val="21"/>
          <w:highlight w:val="none"/>
        </w:rPr>
        <w:t>须具有</w:t>
      </w:r>
      <w:r>
        <w:rPr>
          <w:rFonts w:hint="eastAsia" w:ascii="宋体" w:hAnsi="宋体" w:eastAsia="宋体" w:cs="宋体"/>
          <w:color w:val="auto"/>
          <w:kern w:val="0"/>
          <w:sz w:val="21"/>
          <w:szCs w:val="21"/>
          <w:highlight w:val="none"/>
          <w:lang w:val="en-US" w:eastAsia="zh-CN"/>
        </w:rPr>
        <w:t>机械类或水利类相关专业高级职称，拟派</w:t>
      </w:r>
      <w:r>
        <w:rPr>
          <w:rFonts w:hint="eastAsia" w:ascii="宋体" w:hAnsi="宋体" w:eastAsia="宋体" w:cs="宋体"/>
          <w:color w:val="auto"/>
          <w:kern w:val="0"/>
          <w:sz w:val="21"/>
          <w:szCs w:val="21"/>
          <w:highlight w:val="none"/>
        </w:rPr>
        <w:t>项目</w:t>
      </w:r>
      <w:r>
        <w:rPr>
          <w:rFonts w:hint="eastAsia" w:ascii="宋体" w:hAnsi="宋体" w:eastAsia="宋体" w:cs="宋体"/>
          <w:color w:val="auto"/>
          <w:kern w:val="0"/>
          <w:sz w:val="21"/>
          <w:szCs w:val="21"/>
          <w:highlight w:val="none"/>
          <w:lang w:val="en-US" w:eastAsia="zh-CN"/>
        </w:rPr>
        <w:t>负责人</w:t>
      </w:r>
      <w:r>
        <w:rPr>
          <w:rFonts w:hint="eastAsia" w:ascii="宋体" w:hAnsi="宋体" w:eastAsia="宋体" w:cs="宋体"/>
          <w:color w:val="auto"/>
          <w:kern w:val="0"/>
          <w:sz w:val="21"/>
          <w:szCs w:val="21"/>
          <w:highlight w:val="none"/>
        </w:rPr>
        <w:t>应为本单位人员（提供</w:t>
      </w:r>
      <w:r>
        <w:rPr>
          <w:rFonts w:hint="eastAsia" w:ascii="宋体" w:hAnsi="宋体" w:eastAsia="宋体" w:cs="宋体"/>
          <w:color w:val="auto"/>
          <w:kern w:val="0"/>
          <w:sz w:val="21"/>
          <w:szCs w:val="21"/>
          <w:highlight w:val="none"/>
          <w:lang w:val="en-US" w:eastAsia="zh-CN"/>
        </w:rPr>
        <w:t>2025年9月1日以来任意一个月</w:t>
      </w:r>
      <w:r>
        <w:rPr>
          <w:rFonts w:hint="eastAsia" w:ascii="宋体" w:hAnsi="宋体" w:eastAsia="宋体" w:cs="宋体"/>
          <w:color w:val="auto"/>
          <w:kern w:val="0"/>
          <w:sz w:val="21"/>
          <w:szCs w:val="21"/>
          <w:highlight w:val="none"/>
        </w:rPr>
        <w:t>社保缴纳证明）</w:t>
      </w:r>
      <w:r>
        <w:rPr>
          <w:rFonts w:hint="eastAsia" w:ascii="宋体" w:hAnsi="宋体" w:eastAsia="宋体" w:cs="宋体"/>
          <w:color w:val="auto"/>
          <w:kern w:val="0"/>
          <w:sz w:val="21"/>
          <w:szCs w:val="21"/>
          <w:highlight w:val="none"/>
          <w:lang w:eastAsia="zh-CN"/>
        </w:rPr>
        <w:t>。</w:t>
      </w:r>
    </w:p>
    <w:p w14:paraId="1806D95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3.1.2</w:t>
      </w:r>
      <w:r>
        <w:rPr>
          <w:rFonts w:hint="eastAsia" w:ascii="宋体" w:hAnsi="宋体" w:eastAsia="宋体" w:cs="宋体"/>
          <w:b/>
          <w:bCs/>
          <w:color w:val="auto"/>
          <w:kern w:val="0"/>
          <w:sz w:val="21"/>
          <w:szCs w:val="21"/>
          <w:highlight w:val="none"/>
          <w:shd w:val="clear" w:color="auto" w:fill="FFFFFF"/>
          <w:lang w:val="en-US" w:eastAsia="zh-CN" w:bidi="ar"/>
        </w:rPr>
        <w:t>第五标段：</w:t>
      </w:r>
      <w:r>
        <w:rPr>
          <w:rFonts w:hint="eastAsia" w:ascii="宋体" w:hAnsi="宋体" w:eastAsia="宋体" w:cs="宋体"/>
          <w:b/>
          <w:bCs/>
          <w:color w:val="auto"/>
          <w:kern w:val="2"/>
          <w:sz w:val="21"/>
          <w:szCs w:val="21"/>
          <w:highlight w:val="none"/>
          <w:lang w:val="en-US" w:eastAsia="zh-CN" w:bidi="ar-SA"/>
        </w:rPr>
        <w:t>机电设备购置标段</w:t>
      </w:r>
    </w:p>
    <w:p w14:paraId="6482BFC4">
      <w:pPr>
        <w:keepNext w:val="0"/>
        <w:keepLines w:val="0"/>
        <w:pageBreakBefore w:val="0"/>
        <w:widowControl w:val="0"/>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strike/>
          <w:dstrike w:val="0"/>
          <w:color w:val="auto"/>
          <w:kern w:val="0"/>
          <w:sz w:val="21"/>
          <w:szCs w:val="21"/>
          <w:highlight w:val="red"/>
          <w:shd w:val="clear" w:color="auto" w:fill="FFFFFF"/>
          <w:lang w:eastAsia="zh-CN" w:bidi="ar"/>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投标人须具有</w:t>
      </w:r>
      <w:r>
        <w:rPr>
          <w:rFonts w:hint="eastAsia" w:ascii="宋体" w:hAnsi="宋体" w:eastAsia="宋体" w:cs="宋体"/>
          <w:color w:val="auto"/>
          <w:kern w:val="0"/>
          <w:sz w:val="21"/>
          <w:szCs w:val="21"/>
          <w:highlight w:val="none"/>
          <w:shd w:val="clear" w:color="auto" w:fill="FFFFFF"/>
          <w:lang w:bidi="ar"/>
        </w:rPr>
        <w:t>独立法人资格</w:t>
      </w:r>
      <w:r>
        <w:rPr>
          <w:rFonts w:hint="eastAsia" w:ascii="宋体" w:hAnsi="宋体" w:eastAsia="宋体" w:cs="宋体"/>
          <w:color w:val="auto"/>
          <w:kern w:val="0"/>
          <w:sz w:val="21"/>
          <w:szCs w:val="21"/>
          <w:highlight w:val="none"/>
          <w:shd w:val="clear" w:color="auto" w:fill="FFFFFF"/>
          <w:lang w:eastAsia="zh-CN" w:bidi="ar"/>
        </w:rPr>
        <w:t>；</w:t>
      </w:r>
    </w:p>
    <w:p w14:paraId="26BBF75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（2）投标人拟派</w:t>
      </w:r>
      <w:r>
        <w:rPr>
          <w:rFonts w:hint="eastAsia" w:ascii="宋体" w:hAnsi="宋体" w:eastAsia="宋体" w:cs="宋体"/>
          <w:color w:val="auto"/>
          <w:kern w:val="2"/>
          <w:sz w:val="21"/>
          <w:szCs w:val="21"/>
          <w:highlight w:val="none"/>
          <w:shd w:val="clear" w:color="auto" w:fill="FFFFFF"/>
          <w:lang w:val="en-US" w:eastAsia="zh-CN" w:bidi="ar"/>
        </w:rPr>
        <w:t>项目负责人须具有水利类或机电类或制造安装类相关专业</w:t>
      </w:r>
      <w:r>
        <w:rPr>
          <w:rFonts w:hint="eastAsia" w:ascii="宋体" w:hAnsi="宋体" w:eastAsia="宋体" w:cs="宋体"/>
          <w:color w:val="auto"/>
          <w:kern w:val="2"/>
          <w:sz w:val="21"/>
          <w:szCs w:val="21"/>
          <w:highlight w:val="none"/>
          <w:lang w:val="en-US" w:eastAsia="zh-CN" w:bidi="ar-SA"/>
        </w:rPr>
        <w:t>中级及以上职称，拟派项目负责人应为本单位人员（提供2025年9月1日以来任意一个月社保缴纳证明）。</w:t>
      </w:r>
    </w:p>
    <w:p w14:paraId="5743489A">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3.2财务要求</w:t>
      </w:r>
      <w:r>
        <w:rPr>
          <w:rFonts w:hint="eastAsia" w:ascii="宋体" w:hAnsi="宋体" w:eastAsia="宋体" w:cs="宋体"/>
          <w:color w:val="auto"/>
          <w:kern w:val="0"/>
          <w:sz w:val="21"/>
          <w:szCs w:val="21"/>
          <w:highlight w:val="none"/>
          <w:shd w:val="clear" w:color="auto" w:fill="FFFFFF"/>
          <w:lang w:val="en-US" w:eastAsia="zh-CN" w:bidi="ar"/>
        </w:rPr>
        <w:t>：投标人企业近三年财务状况良好，须提供2023、2024、2025年度经会计师事务所或第三方审计机构审计后的财务报告（成立不足三年的公司从成立之日起计算；新成立或成立不足一年的公司，提供基本开户银行出具的资信证明）。</w:t>
      </w:r>
    </w:p>
    <w:p w14:paraId="4AFAB4F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val="0"/>
          <w:bCs w:val="0"/>
          <w:strike w:val="0"/>
          <w:dstrike w:val="0"/>
          <w:color w:val="auto"/>
          <w:kern w:val="0"/>
          <w:sz w:val="21"/>
          <w:szCs w:val="21"/>
          <w:highlight w:val="none"/>
          <w:shd w:val="clear" w:color="auto" w:fill="FFFFFF"/>
          <w:lang w:val="en-US" w:eastAsia="zh-CN" w:bidi="ar"/>
        </w:rPr>
      </w:pPr>
      <w:r>
        <w:rPr>
          <w:rFonts w:hint="eastAsia" w:ascii="宋体" w:hAnsi="宋体" w:eastAsia="宋体" w:cs="宋体"/>
          <w:b/>
          <w:bCs/>
          <w:strike w:val="0"/>
          <w:dstrike w:val="0"/>
          <w:color w:val="auto"/>
          <w:kern w:val="0"/>
          <w:sz w:val="21"/>
          <w:szCs w:val="21"/>
          <w:highlight w:val="none"/>
          <w:shd w:val="clear" w:color="auto" w:fill="FFFFFF"/>
          <w:lang w:val="en-US" w:eastAsia="zh-CN" w:bidi="ar"/>
        </w:rPr>
        <w:t>3.3监管平台要求：</w:t>
      </w:r>
      <w:r>
        <w:rPr>
          <w:rFonts w:hint="eastAsia" w:ascii="宋体" w:hAnsi="宋体" w:eastAsia="宋体" w:cs="宋体"/>
          <w:b w:val="0"/>
          <w:bCs w:val="0"/>
          <w:strike w:val="0"/>
          <w:dstrike w:val="0"/>
          <w:color w:val="auto"/>
          <w:kern w:val="0"/>
          <w:sz w:val="21"/>
          <w:szCs w:val="21"/>
          <w:highlight w:val="none"/>
          <w:shd w:val="clear" w:color="auto" w:fill="FFFFFF"/>
          <w:lang w:val="en-US" w:eastAsia="zh-CN" w:bidi="ar"/>
        </w:rPr>
        <w:t>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w:t>
      </w:r>
      <w:r>
        <w:rPr>
          <w:rFonts w:hint="eastAsia" w:ascii="宋体" w:hAnsi="宋体" w:eastAsia="宋体" w:cs="宋体"/>
          <w:b/>
          <w:bCs/>
          <w:strike w:val="0"/>
          <w:dstrike w:val="0"/>
          <w:color w:val="auto"/>
          <w:kern w:val="0"/>
          <w:sz w:val="21"/>
          <w:szCs w:val="21"/>
          <w:highlight w:val="none"/>
          <w:shd w:val="clear" w:color="auto" w:fill="FFFFFF"/>
          <w:lang w:val="en-US" w:eastAsia="zh-CN" w:bidi="ar"/>
        </w:rPr>
        <w:t>（金属结构设备购置标段提供）。</w:t>
      </w:r>
    </w:p>
    <w:p w14:paraId="6D170FD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3.4信誉要求</w:t>
      </w:r>
      <w:r>
        <w:rPr>
          <w:rFonts w:hint="eastAsia" w:ascii="宋体" w:hAnsi="宋体" w:eastAsia="宋体" w:cs="宋体"/>
          <w:color w:val="auto"/>
          <w:kern w:val="0"/>
          <w:sz w:val="21"/>
          <w:szCs w:val="21"/>
          <w:highlight w:val="none"/>
          <w:shd w:val="clear" w:color="auto" w:fill="FFFFFF"/>
          <w:lang w:val="en-US" w:eastAsia="zh-CN" w:bidi="ar"/>
        </w:rPr>
        <w:t>：</w:t>
      </w:r>
    </w:p>
    <w:p w14:paraId="32C1041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3.4.1 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w:t>
      </w:r>
    </w:p>
    <w:p w14:paraId="7C1ED26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strike w:val="0"/>
          <w:dstrike w:val="0"/>
          <w:color w:val="auto"/>
          <w:kern w:val="0"/>
          <w:sz w:val="21"/>
          <w:szCs w:val="21"/>
          <w:highlight w:val="none"/>
          <w:shd w:val="clear" w:color="auto" w:fill="FFFFFF"/>
          <w:lang w:val="en-US" w:eastAsia="zh-CN" w:bidi="ar"/>
        </w:rPr>
      </w:pPr>
      <w:r>
        <w:rPr>
          <w:rFonts w:hint="eastAsia" w:ascii="宋体" w:hAnsi="宋体" w:eastAsia="宋体" w:cs="宋体"/>
          <w:strike w:val="0"/>
          <w:dstrike w:val="0"/>
          <w:color w:val="auto"/>
          <w:kern w:val="0"/>
          <w:sz w:val="21"/>
          <w:szCs w:val="21"/>
          <w:highlight w:val="none"/>
          <w:shd w:val="clear" w:color="auto" w:fill="FFFFFF"/>
          <w:lang w:val="en-US" w:eastAsia="zh-CN" w:bidi="ar"/>
        </w:rPr>
        <w:t>3.4.2 本次招标要求的水利水电工程施工总承包资质被全国建筑市场监管公共服务平台(四库一平台)资质“动态核查”被标注“资质异常”的投标人，拒绝参加本项目投标活动。提供投标人应标的资质条件未在全国建筑市场监管公共服务平台(四库一平台)资质“动态核查”标注异常的查询截图；</w:t>
      </w:r>
    </w:p>
    <w:p w14:paraId="3294B62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3.4.3 投标人市场主体被列入“信用中国-严重失信主体名单查询”、“信用河南-失信惩戒对象名单”的均依法限制或禁止其参与本项目投标活动（提供自招标公告发布日之后网页查询截图，查询截图须显示查询时间）。</w:t>
      </w:r>
    </w:p>
    <w:p w14:paraId="3406EEEF">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b/>
          <w:bCs/>
          <w:color w:val="auto"/>
          <w:kern w:val="0"/>
          <w:sz w:val="21"/>
          <w:szCs w:val="21"/>
          <w:highlight w:val="none"/>
          <w:shd w:val="clear" w:color="auto" w:fill="FFFFFF"/>
          <w:lang w:val="en-US" w:eastAsia="zh-CN" w:bidi="ar"/>
        </w:rPr>
      </w:pPr>
      <w:r>
        <w:rPr>
          <w:rFonts w:hint="eastAsia" w:ascii="宋体" w:hAnsi="宋体" w:eastAsia="宋体" w:cs="宋体"/>
          <w:b/>
          <w:bCs/>
          <w:color w:val="auto"/>
          <w:kern w:val="0"/>
          <w:sz w:val="21"/>
          <w:szCs w:val="21"/>
          <w:highlight w:val="none"/>
          <w:shd w:val="clear" w:color="auto" w:fill="FFFFFF"/>
          <w:lang w:val="en-US" w:eastAsia="zh-CN" w:bidi="ar"/>
        </w:rPr>
        <w:t>3.5其他要求：</w:t>
      </w:r>
    </w:p>
    <w:p w14:paraId="611F47D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 xml:space="preserve">3.5.1 </w:t>
      </w:r>
      <w:r>
        <w:rPr>
          <w:rFonts w:hint="eastAsia" w:ascii="宋体" w:hAnsi="宋体" w:eastAsia="宋体" w:cs="宋体"/>
          <w:b w:val="0"/>
          <w:bCs w:val="0"/>
          <w:color w:val="auto"/>
          <w:kern w:val="0"/>
          <w:sz w:val="21"/>
          <w:szCs w:val="21"/>
          <w:highlight w:val="none"/>
          <w:shd w:val="clear" w:color="auto" w:fill="FFFFFF"/>
          <w:lang w:val="en-US" w:eastAsia="zh-CN" w:bidi="ar"/>
        </w:rPr>
        <w:t>单位负责人为同一人或者存在控股、管理关系的不同单位，不得同时参加本项目投标（提供“国家企业信用信息公示系统”中完整的报告）。</w:t>
      </w:r>
    </w:p>
    <w:p w14:paraId="357AFEF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3.5.2 本次招标不接受联合体投标，不允许转包和非法分包。</w:t>
      </w:r>
    </w:p>
    <w:p w14:paraId="732BEBE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4、企业注册</w:t>
      </w:r>
    </w:p>
    <w:p w14:paraId="3CFC25F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2391A47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4.2请各投标人网上投标时注意完善主体信息（如开户银行及开户账号等），以免未填写或错误导致系统判定废标。</w:t>
      </w:r>
    </w:p>
    <w:p w14:paraId="098405EC">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5、招标文件的获取</w:t>
      </w:r>
    </w:p>
    <w:p w14:paraId="037E10D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5.1 招标文件获取时间：凡有意参加投标者，请于2026年09月28日8：00时至2026年10月10日17:30时，登录“交易平台网站”（https://ggzy.zhumadian.gov.cn/TPFront/），凭领取的企业身份认证锁（CA密钥）登录系统进行网上免费下载招标文件。投标人未按规定在网上下载招标文件的，其投标将被拒绝。</w:t>
      </w:r>
    </w:p>
    <w:p w14:paraId="1D7E743E">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5.2 招标文件获取方式：凭CA密钥登录会员系统并按网上提示下载招标文件及资料。（详见交易平台网站下载中心栏目里投标人操作手册）。</w:t>
      </w:r>
    </w:p>
    <w:p w14:paraId="5C35320D">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5.3获取招标文件后，投标人请到“交易平台网站”（https://ggzy.zhumadian.gov.cn/TPFront/） 下载中心栏目下载最新版本的投标文件制作工具安装包，并使用安装后的最新版本投标文件制作工具以及CA密钥制作电子投标文件。</w:t>
      </w:r>
    </w:p>
    <w:p w14:paraId="14F66E3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6、资格审查方式</w:t>
      </w:r>
    </w:p>
    <w:p w14:paraId="299E7E75">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6.1 本招标工程项目对投标申请人的资格审查采用资格后审方式，主要资格审查标准和内容详见招标文件，只有资格审查合格的投标申请人才有可能被授予合同。</w:t>
      </w:r>
    </w:p>
    <w:p w14:paraId="3467D39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6.2 本项目采用不见面开标，投标人无需递交纸质投标文件及原件，投标企业应在项目开标前，将项目经理、人员、资质、业绩、荣誉、财务等投标所需材料原件扫描件，上传至驻马店市公共资源电子交易平台诚信库中，同时在“资格审查及评审材料”菜单下按标段从诚信库中挑选该标段投标所用资格审查材料，以供评标过程中评委查阅。评标时以电子投标文件及“资格审查及评审材料”菜单中选取的信息为准。</w:t>
      </w:r>
    </w:p>
    <w:p w14:paraId="4D3B9789">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7、投标文件的上传/递交</w:t>
      </w:r>
    </w:p>
    <w:p w14:paraId="5DE5982B">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7.1 本项目采用不见面开标、投标人需要递交电子投标文件，无需递交纸质文件。</w:t>
      </w:r>
    </w:p>
    <w:p w14:paraId="62E9787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7.2 投标文件的上传/递交截止时间为2026年10月19日9时00分（北京时间）。加密电子投标文件（*.ZMDTF格式）应在投标截止时间前通过驻马店市公共资源交易电子交易平台（http://ggzy.zhumadian.gov.cn:8820/TPbidder/login.aspx）上传完成。</w:t>
      </w:r>
    </w:p>
    <w:p w14:paraId="1FD5CA70">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7.3 本项目采用远程不见面交易的模式。开标当日，投标人无需到达开标现场，仅需在任意地点通过驻马店不见面开标系统（https://ggzy.zhumadian.gov.cn/:9190/BidOpening/bidopeninghallaction/hall/login）及相应的配套硬件设备（摄像头、话筒、麦克风等），完成远程解密、评标办法、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AAB4AC2">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7.4 远程开标前，投标人务必在驻马店市公共资源交易电子交易平台（https://ggzy.zhumadian.gov.cn/:8820/TPBidder）投标文件上传模块中使用“模拟解密”功能，验证本机远程自助解密环境。</w:t>
      </w:r>
    </w:p>
    <w:p w14:paraId="7F21DBD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20" w:firstLineChars="200"/>
        <w:jc w:val="left"/>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shd w:val="clear" w:color="auto" w:fill="FFFFFF"/>
          <w:lang w:val="en-US" w:eastAsia="zh-CN" w:bidi="ar"/>
        </w:rPr>
        <w:t>7.5 逾期上传的或者未上传的投标文件，招标人不予受理。</w:t>
      </w:r>
    </w:p>
    <w:p w14:paraId="1D110C0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8、发布公告的媒介</w:t>
      </w:r>
    </w:p>
    <w:p w14:paraId="054E4828">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ind w:firstLine="480"/>
        <w:jc w:val="left"/>
        <w:textAlignment w:val="auto"/>
        <w:rPr>
          <w:rFonts w:hint="eastAsia" w:ascii="宋体" w:hAnsi="宋体" w:eastAsia="宋体" w:cs="宋体"/>
          <w:color w:val="auto"/>
          <w:kern w:val="0"/>
          <w:sz w:val="21"/>
          <w:szCs w:val="21"/>
          <w:highlight w:val="none"/>
          <w:shd w:val="clear" w:color="auto" w:fill="FFFFFF"/>
          <w:lang w:val="en-US" w:eastAsia="zh-CN" w:bidi="ar"/>
        </w:rPr>
      </w:pPr>
      <w:r>
        <w:rPr>
          <w:rFonts w:hint="eastAsia" w:ascii="宋体" w:hAnsi="宋体" w:eastAsia="宋体" w:cs="宋体"/>
          <w:color w:val="auto"/>
          <w:kern w:val="0"/>
          <w:sz w:val="21"/>
          <w:szCs w:val="21"/>
          <w:highlight w:val="none"/>
          <w:shd w:val="clear" w:color="auto" w:fill="FFFFFF"/>
          <w:lang w:val="en-US" w:eastAsia="zh-CN" w:bidi="ar"/>
        </w:rPr>
        <w:t>本次招标公告同时在《中国招标投标公共服务平台》《河南省政府采购网》《驻马店市公共资源交易平台》上发布。</w:t>
      </w:r>
    </w:p>
    <w:p w14:paraId="5D836F5D">
      <w:pPr>
        <w:keepNext w:val="0"/>
        <w:keepLines w:val="0"/>
        <w:pageBreakBefore w:val="0"/>
        <w:widowControl w:val="0"/>
        <w:kinsoku/>
        <w:wordWrap w:val="0"/>
        <w:overflowPunct/>
        <w:topLinePunct w:val="0"/>
        <w:autoSpaceDE/>
        <w:autoSpaceDN/>
        <w:bidi w:val="0"/>
        <w:adjustRightInd w:val="0"/>
        <w:snapToGrid/>
        <w:spacing w:line="360" w:lineRule="auto"/>
        <w:ind w:right="42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kern w:val="0"/>
          <w:sz w:val="21"/>
          <w:szCs w:val="21"/>
          <w:highlight w:val="none"/>
          <w:lang w:eastAsia="zh-CN"/>
        </w:rPr>
        <w:t>、</w:t>
      </w:r>
      <w:r>
        <w:rPr>
          <w:rFonts w:hint="eastAsia" w:ascii="宋体" w:hAnsi="宋体" w:eastAsia="宋体" w:cs="宋体"/>
          <w:b/>
          <w:bCs/>
          <w:color w:val="auto"/>
          <w:kern w:val="0"/>
          <w:sz w:val="21"/>
          <w:szCs w:val="21"/>
          <w:highlight w:val="none"/>
        </w:rPr>
        <w:t>特别提醒：</w:t>
      </w:r>
    </w:p>
    <w:p w14:paraId="476507B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0891FE99">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2866671A">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1BA53C5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20" w:firstLineChars="200"/>
        <w:jc w:val="left"/>
        <w:textAlignment w:val="auto"/>
        <w:rPr>
          <w:rFonts w:hint="eastAsia" w:ascii="宋体" w:hAnsi="宋体" w:eastAsia="宋体" w:cs="宋体"/>
          <w:color w:val="auto"/>
          <w:kern w:val="0"/>
          <w:sz w:val="21"/>
          <w:szCs w:val="21"/>
          <w:highlight w:val="none"/>
          <w:shd w:val="clear" w:color="auto" w:fill="FFFFFF"/>
          <w:lang w:bidi="ar"/>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https://ggzy.zhumadian.gov.cn/TPFront/InfoDetail/?InfoID=09eaacd6-a524-447f-a5fd-776c58eb1582&amp;CategoryNum=026001</w:t>
      </w:r>
      <w:r>
        <w:rPr>
          <w:rFonts w:hint="eastAsia" w:ascii="宋体" w:hAnsi="宋体" w:eastAsia="宋体" w:cs="宋体"/>
          <w:color w:val="auto"/>
          <w:kern w:val="0"/>
          <w:sz w:val="21"/>
          <w:szCs w:val="21"/>
          <w:highlight w:val="none"/>
          <w:lang w:eastAsia="zh-CN"/>
        </w:rPr>
        <w:t>)</w:t>
      </w:r>
    </w:p>
    <w:p w14:paraId="049DB8F6">
      <w:pPr>
        <w:keepNext w:val="0"/>
        <w:keepLines w:val="0"/>
        <w:pageBreakBefore w:val="0"/>
        <w:widowControl w:val="0"/>
        <w:shd w:val="clear" w:color="auto" w:fill="auto"/>
        <w:kinsoku/>
        <w:wordWrap w:val="0"/>
        <w:overflowPunct/>
        <w:topLinePunct w:val="0"/>
        <w:autoSpaceDE/>
        <w:autoSpaceDN/>
        <w:bidi w:val="0"/>
        <w:adjustRightInd w:val="0"/>
        <w:snapToGrid/>
        <w:spacing w:before="0" w:beforeLines="0" w:beforeAutospacing="0" w:after="0" w:afterLines="0" w:afterAutospacing="0" w:line="360" w:lineRule="auto"/>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shd w:val="clear" w:color="auto" w:fill="FFFFFF"/>
          <w:lang w:val="en-US" w:eastAsia="zh-CN" w:bidi="ar"/>
        </w:rPr>
        <w:t>10、联系方式</w:t>
      </w:r>
    </w:p>
    <w:p w14:paraId="56C3145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 标 人：</w:t>
      </w:r>
      <w:bookmarkStart w:id="39" w:name="OLE_LINK4"/>
      <w:bookmarkStart w:id="40" w:name="OLE_LINK3"/>
      <w:r>
        <w:rPr>
          <w:rFonts w:hint="eastAsia" w:ascii="宋体" w:hAnsi="宋体" w:eastAsia="宋体" w:cs="宋体"/>
          <w:bCs/>
          <w:kern w:val="0"/>
          <w:sz w:val="21"/>
          <w:szCs w:val="21"/>
        </w:rPr>
        <w:t>驻马店市薄山水库运行中心</w:t>
      </w:r>
      <w:bookmarkEnd w:id="39"/>
      <w:bookmarkEnd w:id="40"/>
    </w:p>
    <w:p w14:paraId="5B641CA0">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bCs/>
          <w:kern w:val="0"/>
          <w:sz w:val="21"/>
          <w:szCs w:val="21"/>
        </w:rPr>
        <w:t>河南省驻马店市确山县任店镇薄山水库</w:t>
      </w:r>
    </w:p>
    <w:p w14:paraId="558EE8F8">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 系 人：</w:t>
      </w:r>
      <w:r>
        <w:rPr>
          <w:rFonts w:hint="eastAsia" w:ascii="宋体" w:hAnsi="宋体" w:eastAsia="宋体" w:cs="宋体"/>
          <w:bCs/>
          <w:kern w:val="0"/>
          <w:sz w:val="21"/>
          <w:szCs w:val="21"/>
        </w:rPr>
        <w:t>袁先生</w:t>
      </w:r>
    </w:p>
    <w:p w14:paraId="7EC862F3">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电    话：</w:t>
      </w:r>
      <w:r>
        <w:rPr>
          <w:rFonts w:hint="eastAsia" w:ascii="宋体" w:hAnsi="宋体" w:eastAsia="宋体" w:cs="宋体"/>
          <w:bCs/>
          <w:kern w:val="0"/>
          <w:sz w:val="21"/>
          <w:szCs w:val="21"/>
        </w:rPr>
        <w:t>0396-2690692</w:t>
      </w:r>
    </w:p>
    <w:p w14:paraId="58E0B98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3627D3DB">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招标代理机构：正智国际工程管理（河南）有限公司</w:t>
      </w:r>
    </w:p>
    <w:p w14:paraId="290AE525">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地   址：</w:t>
      </w:r>
      <w:r>
        <w:rPr>
          <w:rFonts w:hint="eastAsia" w:ascii="宋体" w:hAnsi="宋体" w:eastAsia="宋体" w:cs="宋体"/>
          <w:kern w:val="0"/>
          <w:sz w:val="21"/>
          <w:szCs w:val="21"/>
        </w:rPr>
        <w:t>郑州市平安大道博学路正商学府广场A座24层</w:t>
      </w:r>
    </w:p>
    <w:p w14:paraId="08BE67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项目负责人：刘学盈</w:t>
      </w:r>
    </w:p>
    <w:p w14:paraId="76E8583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联系人：</w:t>
      </w:r>
      <w:r>
        <w:rPr>
          <w:rFonts w:hint="eastAsia" w:ascii="宋体" w:hAnsi="宋体" w:eastAsia="宋体" w:cs="宋体"/>
          <w:kern w:val="0"/>
          <w:sz w:val="21"/>
          <w:szCs w:val="21"/>
        </w:rPr>
        <w:t>赵</w:t>
      </w:r>
      <w:r>
        <w:rPr>
          <w:rFonts w:hint="eastAsia" w:ascii="宋体" w:hAnsi="宋体" w:eastAsia="宋体" w:cs="宋体"/>
          <w:kern w:val="0"/>
          <w:sz w:val="21"/>
          <w:szCs w:val="21"/>
          <w:lang w:val="en-US" w:eastAsia="zh-CN"/>
        </w:rPr>
        <w:t>雅静</w:t>
      </w:r>
    </w:p>
    <w:p w14:paraId="78ED14AF">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联系方式：0371-67222266</w:t>
      </w:r>
    </w:p>
    <w:p w14:paraId="78517A2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邮箱：zzgj123@126.com</w:t>
      </w:r>
    </w:p>
    <w:p w14:paraId="1B733246">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p>
    <w:p w14:paraId="6B77CB41">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监督单位：</w:t>
      </w:r>
    </w:p>
    <w:p w14:paraId="2B61150D">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名    称：驻马店市水利局</w:t>
      </w:r>
    </w:p>
    <w:p w14:paraId="35FA3307">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办公地址：驻马店市泰山路519号</w:t>
      </w:r>
    </w:p>
    <w:p w14:paraId="5378B172">
      <w:pPr>
        <w:keepNext w:val="0"/>
        <w:keepLines w:val="0"/>
        <w:pageBreakBefore w:val="0"/>
        <w:widowControl w:val="0"/>
        <w:shd w:val="clear" w:color="auto" w:fill="auto"/>
        <w:kinsoku/>
        <w:wordWrap w:val="0"/>
        <w:overflowPunct/>
        <w:topLinePunct w:val="0"/>
        <w:autoSpaceDE/>
        <w:autoSpaceDN/>
        <w:bidi w:val="0"/>
        <w:adjustRightInd w:val="0"/>
        <w:snapToGrid/>
        <w:spacing w:line="360" w:lineRule="auto"/>
        <w:ind w:firstLine="461"/>
        <w:jc w:val="left"/>
        <w:textAlignment w:val="auto"/>
        <w:rPr>
          <w:rFonts w:hint="eastAsia" w:ascii="宋体" w:hAnsi="宋体" w:eastAsia="宋体" w:cs="宋体"/>
          <w:kern w:val="0"/>
          <w:sz w:val="21"/>
          <w:szCs w:val="21"/>
        </w:rPr>
      </w:pPr>
      <w:r>
        <w:rPr>
          <w:rFonts w:hint="eastAsia" w:ascii="宋体" w:hAnsi="宋体" w:eastAsia="宋体" w:cs="宋体"/>
          <w:color w:val="auto"/>
          <w:kern w:val="0"/>
          <w:sz w:val="21"/>
          <w:szCs w:val="21"/>
          <w:highlight w:val="none"/>
          <w:lang w:val="en-US" w:eastAsia="zh-CN"/>
        </w:rPr>
        <w:t>电    话：0396-2690961</w:t>
      </w:r>
    </w:p>
    <w:p w14:paraId="54AA5E3D">
      <w:pPr>
        <w:widowControl/>
        <w:numPr>
          <w:ilvl w:val="0"/>
          <w:numId w:val="0"/>
        </w:numPr>
        <w:spacing w:beforeLines="0" w:afterLines="0" w:line="240" w:lineRule="auto"/>
        <w:jc w:val="center"/>
        <w:outlineLvl w:val="9"/>
        <w:rPr>
          <w:rFonts w:hint="eastAsia" w:ascii="宋体" w:hAnsi="宋体" w:eastAsia="宋体" w:cs="宋体"/>
          <w:b/>
          <w:bCs/>
          <w:sz w:val="32"/>
          <w:szCs w:val="32"/>
          <w:highlight w:val="none"/>
          <w:lang w:val="en-US" w:eastAsia="zh-CN"/>
        </w:rPr>
      </w:pPr>
    </w:p>
    <w:p w14:paraId="397C3DA8">
      <w:pPr>
        <w:widowControl/>
        <w:spacing w:beforeLines="-2147483648" w:afterLines="-2147483648" w:line="240" w:lineRule="auto"/>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p>
    <w:p w14:paraId="3CD5D1C8">
      <w:pPr>
        <w:widowControl/>
        <w:numPr>
          <w:ilvl w:val="0"/>
          <w:numId w:val="0"/>
        </w:numPr>
        <w:spacing w:beforeLines="0" w:afterLines="0" w:line="360" w:lineRule="auto"/>
        <w:jc w:val="center"/>
        <w:outlineLvl w:val="0"/>
        <w:rPr>
          <w:rFonts w:ascii="Times New Roman" w:hAnsi="Times New Roman" w:eastAsia="宋体" w:cs="Times New Roman"/>
          <w:szCs w:val="22"/>
        </w:rPr>
      </w:pPr>
      <w:bookmarkStart w:id="41" w:name="_Toc22237"/>
      <w:bookmarkStart w:id="42" w:name="_Toc13504"/>
      <w:r>
        <w:rPr>
          <w:rFonts w:hint="eastAsia" w:ascii="宋体" w:hAnsi="宋体" w:eastAsia="宋体" w:cs="宋体"/>
          <w:b/>
          <w:bCs/>
          <w:sz w:val="32"/>
          <w:szCs w:val="32"/>
          <w:highlight w:val="none"/>
          <w:lang w:val="en-US" w:eastAsia="zh-CN"/>
        </w:rPr>
        <w:t>第二章 投标人须知</w:t>
      </w:r>
      <w:bookmarkEnd w:id="28"/>
      <w:bookmarkEnd w:id="29"/>
      <w:bookmarkEnd w:id="30"/>
      <w:bookmarkEnd w:id="31"/>
      <w:bookmarkEnd w:id="32"/>
      <w:bookmarkEnd w:id="33"/>
      <w:bookmarkEnd w:id="34"/>
      <w:bookmarkEnd w:id="35"/>
      <w:bookmarkEnd w:id="36"/>
      <w:bookmarkEnd w:id="41"/>
      <w:bookmarkEnd w:id="42"/>
      <w:bookmarkStart w:id="43" w:name="_Toc30096"/>
      <w:bookmarkStart w:id="44" w:name="_Toc221950008"/>
      <w:bookmarkStart w:id="45" w:name="_Toc480"/>
      <w:bookmarkStart w:id="46" w:name="_Toc271870407"/>
      <w:bookmarkStart w:id="47" w:name="_Toc91344923"/>
      <w:bookmarkStart w:id="48" w:name="_Toc350347401"/>
      <w:bookmarkStart w:id="49" w:name="_Toc62034398"/>
    </w:p>
    <w:p w14:paraId="23034970">
      <w:pPr>
        <w:widowControl/>
        <w:adjustRightInd w:val="0"/>
        <w:snapToGrid w:val="0"/>
        <w:spacing w:before="0" w:beforeLines="0" w:after="0" w:afterLines="0" w:line="360" w:lineRule="auto"/>
        <w:jc w:val="center"/>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投标人须知前附表</w:t>
      </w:r>
    </w:p>
    <w:bookmarkEnd w:id="43"/>
    <w:bookmarkEnd w:id="44"/>
    <w:bookmarkEnd w:id="45"/>
    <w:bookmarkEnd w:id="46"/>
    <w:bookmarkEnd w:id="47"/>
    <w:bookmarkEnd w:id="48"/>
    <w:bookmarkEnd w:id="49"/>
    <w:tbl>
      <w:tblPr>
        <w:tblStyle w:val="2"/>
        <w:tblW w:w="953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23"/>
        <w:gridCol w:w="2095"/>
        <w:gridCol w:w="6320"/>
      </w:tblGrid>
      <w:tr w14:paraId="414B1A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92" w:hRule="atLeast"/>
          <w:tblHeader/>
          <w:jc w:val="center"/>
        </w:trPr>
        <w:tc>
          <w:tcPr>
            <w:tcW w:w="1123" w:type="dxa"/>
            <w:noWrap w:val="0"/>
            <w:vAlign w:val="center"/>
          </w:tcPr>
          <w:p w14:paraId="6C2B13C2">
            <w:pPr>
              <w:widowControl/>
              <w:spacing w:beforeLines="0" w:afterLines="0" w:line="360" w:lineRule="auto"/>
              <w:jc w:val="center"/>
              <w:rPr>
                <w:rFonts w:hint="eastAsia" w:ascii="宋体" w:hAnsi="宋体" w:eastAsia="宋体" w:cs="宋体"/>
                <w:b/>
                <w:szCs w:val="21"/>
                <w:highlight w:val="none"/>
              </w:rPr>
            </w:pPr>
            <w:bookmarkStart w:id="50" w:name="_Toc221950009"/>
            <w:r>
              <w:rPr>
                <w:rFonts w:hint="eastAsia" w:ascii="宋体" w:hAnsi="宋体" w:eastAsia="宋体" w:cs="宋体"/>
                <w:b/>
                <w:szCs w:val="21"/>
                <w:highlight w:val="none"/>
              </w:rPr>
              <w:t>条款号</w:t>
            </w:r>
            <w:bookmarkEnd w:id="50"/>
          </w:p>
        </w:tc>
        <w:tc>
          <w:tcPr>
            <w:tcW w:w="2095" w:type="dxa"/>
            <w:noWrap w:val="0"/>
            <w:vAlign w:val="center"/>
          </w:tcPr>
          <w:p w14:paraId="76F7CBC4">
            <w:pPr>
              <w:widowControl/>
              <w:spacing w:beforeLines="0" w:afterLines="0" w:line="360" w:lineRule="auto"/>
              <w:jc w:val="center"/>
              <w:rPr>
                <w:rFonts w:hint="eastAsia" w:ascii="宋体" w:hAnsi="宋体" w:eastAsia="宋体" w:cs="宋体"/>
                <w:b/>
                <w:szCs w:val="21"/>
                <w:highlight w:val="none"/>
              </w:rPr>
            </w:pPr>
            <w:bookmarkStart w:id="51" w:name="_Toc221950010"/>
            <w:r>
              <w:rPr>
                <w:rFonts w:hint="eastAsia" w:ascii="宋体" w:hAnsi="宋体" w:eastAsia="宋体" w:cs="宋体"/>
                <w:b/>
                <w:szCs w:val="21"/>
                <w:highlight w:val="none"/>
              </w:rPr>
              <w:t>条款名称</w:t>
            </w:r>
            <w:bookmarkEnd w:id="51"/>
          </w:p>
        </w:tc>
        <w:tc>
          <w:tcPr>
            <w:tcW w:w="6320" w:type="dxa"/>
            <w:noWrap w:val="0"/>
            <w:vAlign w:val="center"/>
          </w:tcPr>
          <w:p w14:paraId="4FEA8382">
            <w:pPr>
              <w:widowControl/>
              <w:spacing w:beforeLines="0" w:afterLines="0" w:line="360" w:lineRule="auto"/>
              <w:jc w:val="center"/>
              <w:rPr>
                <w:rFonts w:hint="eastAsia" w:ascii="宋体" w:hAnsi="宋体" w:eastAsia="宋体" w:cs="宋体"/>
                <w:b/>
                <w:szCs w:val="21"/>
                <w:highlight w:val="none"/>
              </w:rPr>
            </w:pPr>
            <w:bookmarkStart w:id="52" w:name="_Toc221950011"/>
            <w:r>
              <w:rPr>
                <w:rFonts w:hint="eastAsia" w:ascii="宋体" w:hAnsi="宋体" w:eastAsia="宋体" w:cs="宋体"/>
                <w:b/>
                <w:szCs w:val="21"/>
                <w:highlight w:val="none"/>
              </w:rPr>
              <w:t>编  列  内  容</w:t>
            </w:r>
            <w:bookmarkEnd w:id="52"/>
          </w:p>
        </w:tc>
      </w:tr>
      <w:tr w14:paraId="01FD8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71" w:hRule="atLeast"/>
          <w:jc w:val="center"/>
        </w:trPr>
        <w:tc>
          <w:tcPr>
            <w:tcW w:w="1123" w:type="dxa"/>
            <w:noWrap w:val="0"/>
            <w:vAlign w:val="center"/>
          </w:tcPr>
          <w:p w14:paraId="16AE515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1.1.2</w:t>
            </w:r>
          </w:p>
        </w:tc>
        <w:tc>
          <w:tcPr>
            <w:tcW w:w="2095" w:type="dxa"/>
            <w:noWrap w:val="0"/>
            <w:vAlign w:val="center"/>
          </w:tcPr>
          <w:p w14:paraId="3C167F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招标人</w:t>
            </w:r>
          </w:p>
        </w:tc>
        <w:tc>
          <w:tcPr>
            <w:tcW w:w="6320" w:type="dxa"/>
            <w:noWrap w:val="0"/>
            <w:vAlign w:val="center"/>
          </w:tcPr>
          <w:p w14:paraId="54A8F0C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 标 人：驻马店市薄山水库运行中心</w:t>
            </w:r>
          </w:p>
          <w:p w14:paraId="2A2E4332">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址：驻马店市确山县境内确山县任店镇薄山水库</w:t>
            </w:r>
          </w:p>
          <w:p w14:paraId="68E26EE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人：袁先生</w:t>
            </w:r>
          </w:p>
          <w:p w14:paraId="6582257E">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话：0396-2690692 </w:t>
            </w:r>
          </w:p>
        </w:tc>
      </w:tr>
      <w:tr w14:paraId="3B14C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123" w:type="dxa"/>
            <w:noWrap w:val="0"/>
            <w:vAlign w:val="center"/>
          </w:tcPr>
          <w:p w14:paraId="7DCFF43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1.1.3</w:t>
            </w:r>
          </w:p>
        </w:tc>
        <w:tc>
          <w:tcPr>
            <w:tcW w:w="2095" w:type="dxa"/>
            <w:noWrap w:val="0"/>
            <w:vAlign w:val="center"/>
          </w:tcPr>
          <w:p w14:paraId="2DC18BF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w:t>
            </w:r>
          </w:p>
        </w:tc>
        <w:tc>
          <w:tcPr>
            <w:tcW w:w="6320" w:type="dxa"/>
            <w:noWrap w:val="0"/>
            <w:vAlign w:val="center"/>
          </w:tcPr>
          <w:p w14:paraId="20093D4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招标代理机构：正智国际工程管理（河南）有限公司</w:t>
            </w:r>
          </w:p>
          <w:p w14:paraId="75C2246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地    址：郑州市平安大道博学路正商学府广场A座24层</w:t>
            </w:r>
          </w:p>
          <w:p w14:paraId="7117D54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联 系 人：赵雅静</w:t>
            </w:r>
          </w:p>
          <w:p w14:paraId="66EE03D9">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电    话：0371-67222266</w:t>
            </w:r>
          </w:p>
          <w:p w14:paraId="57B18793">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邮    箱：zzgj123@126.com</w:t>
            </w:r>
          </w:p>
        </w:tc>
      </w:tr>
      <w:tr w14:paraId="4826FD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6" w:hRule="atLeast"/>
          <w:jc w:val="center"/>
        </w:trPr>
        <w:tc>
          <w:tcPr>
            <w:tcW w:w="1123" w:type="dxa"/>
            <w:noWrap w:val="0"/>
            <w:vAlign w:val="center"/>
          </w:tcPr>
          <w:p w14:paraId="15096D8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1.1.4</w:t>
            </w:r>
          </w:p>
        </w:tc>
        <w:tc>
          <w:tcPr>
            <w:tcW w:w="2095" w:type="dxa"/>
            <w:noWrap w:val="0"/>
            <w:vAlign w:val="center"/>
          </w:tcPr>
          <w:p w14:paraId="63BABCA6">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项目名称</w:t>
            </w:r>
          </w:p>
        </w:tc>
        <w:tc>
          <w:tcPr>
            <w:tcW w:w="6320" w:type="dxa"/>
            <w:noWrap w:val="0"/>
            <w:vAlign w:val="center"/>
          </w:tcPr>
          <w:p w14:paraId="0F45B01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color w:val="auto"/>
                <w:spacing w:val="-4"/>
                <w:sz w:val="21"/>
                <w:szCs w:val="21"/>
                <w:highlight w:val="none"/>
                <w:lang w:val="en-US" w:eastAsia="zh-CN"/>
              </w:rPr>
              <w:t>驻马店市薄山水库除险加固工程（一期）（二次）</w:t>
            </w:r>
          </w:p>
        </w:tc>
      </w:tr>
      <w:tr w14:paraId="76077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5" w:hRule="atLeast"/>
          <w:jc w:val="center"/>
        </w:trPr>
        <w:tc>
          <w:tcPr>
            <w:tcW w:w="1123" w:type="dxa"/>
            <w:noWrap w:val="0"/>
            <w:vAlign w:val="center"/>
          </w:tcPr>
          <w:p w14:paraId="3420927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1.1.5</w:t>
            </w:r>
          </w:p>
        </w:tc>
        <w:tc>
          <w:tcPr>
            <w:tcW w:w="2095" w:type="dxa"/>
            <w:noWrap w:val="0"/>
            <w:vAlign w:val="center"/>
          </w:tcPr>
          <w:p w14:paraId="53A0EE9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标段名称</w:t>
            </w:r>
          </w:p>
        </w:tc>
        <w:tc>
          <w:tcPr>
            <w:tcW w:w="6320" w:type="dxa"/>
            <w:noWrap w:val="0"/>
            <w:vAlign w:val="center"/>
          </w:tcPr>
          <w:p w14:paraId="68E6E63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eastAsia="zh-CN"/>
              </w:rPr>
            </w:pPr>
            <w:r>
              <w:rPr>
                <w:rFonts w:hint="eastAsia" w:ascii="宋体" w:hAnsi="宋体" w:eastAsia="宋体" w:cs="宋体"/>
                <w:color w:val="auto"/>
                <w:spacing w:val="-4"/>
                <w:sz w:val="21"/>
                <w:szCs w:val="21"/>
                <w:highlight w:val="none"/>
                <w:lang w:val="en-US" w:eastAsia="zh-CN"/>
              </w:rPr>
              <w:t>第四标段：金属结构设备购置标段</w:t>
            </w:r>
          </w:p>
        </w:tc>
      </w:tr>
      <w:tr w14:paraId="4764F4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1123" w:type="dxa"/>
            <w:noWrap w:val="0"/>
            <w:vAlign w:val="center"/>
          </w:tcPr>
          <w:p w14:paraId="72EF1D8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1.2.1</w:t>
            </w:r>
          </w:p>
        </w:tc>
        <w:tc>
          <w:tcPr>
            <w:tcW w:w="2095" w:type="dxa"/>
            <w:noWrap w:val="0"/>
            <w:vAlign w:val="center"/>
          </w:tcPr>
          <w:p w14:paraId="57F9EB6E">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6320" w:type="dxa"/>
            <w:noWrap w:val="0"/>
            <w:vAlign w:val="center"/>
          </w:tcPr>
          <w:p w14:paraId="796FA9DA">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财政资金</w:t>
            </w:r>
          </w:p>
        </w:tc>
      </w:tr>
      <w:tr w14:paraId="23D415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3" w:hRule="atLeast"/>
          <w:jc w:val="center"/>
        </w:trPr>
        <w:tc>
          <w:tcPr>
            <w:tcW w:w="1123" w:type="dxa"/>
            <w:noWrap w:val="0"/>
            <w:vAlign w:val="center"/>
          </w:tcPr>
          <w:p w14:paraId="2491110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1.2.2</w:t>
            </w:r>
          </w:p>
        </w:tc>
        <w:tc>
          <w:tcPr>
            <w:tcW w:w="2095" w:type="dxa"/>
            <w:noWrap w:val="0"/>
            <w:vAlign w:val="center"/>
          </w:tcPr>
          <w:p w14:paraId="018CAE5F">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320" w:type="dxa"/>
            <w:noWrap w:val="0"/>
            <w:vAlign w:val="center"/>
          </w:tcPr>
          <w:p w14:paraId="236E90EE">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4F08F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2A7D14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1.3.1</w:t>
            </w:r>
          </w:p>
        </w:tc>
        <w:tc>
          <w:tcPr>
            <w:tcW w:w="2095" w:type="dxa"/>
            <w:noWrap w:val="0"/>
            <w:vAlign w:val="center"/>
          </w:tcPr>
          <w:p w14:paraId="21D92D6A">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招标范围</w:t>
            </w:r>
          </w:p>
        </w:tc>
        <w:tc>
          <w:tcPr>
            <w:tcW w:w="6320" w:type="dxa"/>
            <w:noWrap w:val="0"/>
            <w:vAlign w:val="center"/>
          </w:tcPr>
          <w:p w14:paraId="0579DCC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shd w:val="clear" w:color="auto" w:fill="FFFFFF"/>
                <w:lang w:val="en-US" w:eastAsia="zh-CN" w:bidi="ar"/>
              </w:rPr>
              <w:t>1、溢洪道检修闸门防腐更换部件、闸门埋件、电动葫芦、电动葫芦轨道及附件、自动抓梁等设备；2、溢洪道工作闸门弧形钢闸门、闸门埋件、弧门卷扬机、应急操作器及连接装置、动力单元等设备；3、输水洞拦污栅清污、防腐、事故检修闸门更换橡胶止水、锈蚀螺栓及主轮装置、防腐、出口工作闸门防腐、维护、液压启闭机等工程量清单所含设备及其必要附件、备品备件、附属设施等的设计、制造、包装、运输、安装指导、试验、验收、培训、协调、联络会议等工作。</w:t>
            </w:r>
          </w:p>
        </w:tc>
      </w:tr>
      <w:tr w14:paraId="3CB696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123" w:type="dxa"/>
            <w:noWrap w:val="0"/>
            <w:vAlign w:val="center"/>
          </w:tcPr>
          <w:p w14:paraId="21EF818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1.3.2</w:t>
            </w:r>
          </w:p>
        </w:tc>
        <w:tc>
          <w:tcPr>
            <w:tcW w:w="2095" w:type="dxa"/>
            <w:noWrap w:val="0"/>
            <w:vAlign w:val="center"/>
          </w:tcPr>
          <w:p w14:paraId="7D6E8FF9">
            <w:pPr>
              <w:widowControl w:val="0"/>
              <w:adjustRightInd w:val="0"/>
              <w:snapToGrid w:val="0"/>
              <w:spacing w:beforeLines="0" w:afterLines="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shd w:val="clear" w:color="auto" w:fill="FFFFFF"/>
                <w:lang w:val="en-US" w:eastAsia="zh-CN" w:bidi="ar"/>
              </w:rPr>
              <w:t>供货期（服务期）</w:t>
            </w:r>
          </w:p>
        </w:tc>
        <w:tc>
          <w:tcPr>
            <w:tcW w:w="6320" w:type="dxa"/>
            <w:noWrap w:val="0"/>
            <w:vAlign w:val="center"/>
          </w:tcPr>
          <w:p w14:paraId="1CDC6618">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en-US" w:eastAsia="zh-CN"/>
              </w:rPr>
              <w:t>自合同签订之日起至竣工验收通过之日止（</w:t>
            </w:r>
            <w:r>
              <w:rPr>
                <w:rFonts w:hint="eastAsia" w:ascii="宋体" w:hAnsi="宋体" w:eastAsia="宋体" w:cs="宋体"/>
                <w:color w:val="auto"/>
                <w:kern w:val="0"/>
                <w:sz w:val="21"/>
                <w:szCs w:val="21"/>
                <w:highlight w:val="none"/>
                <w:shd w:val="clear" w:color="auto" w:fill="FFFFFF"/>
                <w:lang w:val="en-US" w:eastAsia="zh-CN" w:bidi="ar"/>
              </w:rPr>
              <w:t>供货期</w:t>
            </w:r>
            <w:r>
              <w:rPr>
                <w:rFonts w:hint="eastAsia" w:ascii="宋体" w:hAnsi="宋体" w:eastAsia="宋体" w:cs="宋体"/>
                <w:color w:val="auto"/>
                <w:sz w:val="21"/>
                <w:szCs w:val="21"/>
                <w:highlight w:val="none"/>
                <w:lang w:val="en-US" w:eastAsia="zh-CN"/>
              </w:rPr>
              <w:t>按照监理人批准的供货计划实施）</w:t>
            </w:r>
          </w:p>
        </w:tc>
      </w:tr>
      <w:tr w14:paraId="511EB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4" w:hRule="atLeast"/>
          <w:jc w:val="center"/>
        </w:trPr>
        <w:tc>
          <w:tcPr>
            <w:tcW w:w="1123" w:type="dxa"/>
            <w:noWrap w:val="0"/>
            <w:vAlign w:val="center"/>
          </w:tcPr>
          <w:p w14:paraId="0C4B33F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1.3.3</w:t>
            </w:r>
          </w:p>
        </w:tc>
        <w:tc>
          <w:tcPr>
            <w:tcW w:w="2095" w:type="dxa"/>
            <w:noWrap w:val="0"/>
            <w:vAlign w:val="center"/>
          </w:tcPr>
          <w:p w14:paraId="7264AA2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交货地点</w:t>
            </w:r>
          </w:p>
        </w:tc>
        <w:tc>
          <w:tcPr>
            <w:tcW w:w="6320" w:type="dxa"/>
            <w:noWrap w:val="0"/>
            <w:vAlign w:val="center"/>
          </w:tcPr>
          <w:p w14:paraId="0A2A3561">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业主指定地点（运送至施工现场）</w:t>
            </w:r>
          </w:p>
        </w:tc>
      </w:tr>
      <w:tr w14:paraId="3D0BF1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83" w:hRule="atLeast"/>
          <w:jc w:val="center"/>
        </w:trPr>
        <w:tc>
          <w:tcPr>
            <w:tcW w:w="1123" w:type="dxa"/>
            <w:noWrap w:val="0"/>
            <w:vAlign w:val="center"/>
          </w:tcPr>
          <w:p w14:paraId="20DAB55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1.3.4</w:t>
            </w:r>
          </w:p>
        </w:tc>
        <w:tc>
          <w:tcPr>
            <w:tcW w:w="2095" w:type="dxa"/>
            <w:noWrap w:val="0"/>
            <w:vAlign w:val="center"/>
          </w:tcPr>
          <w:p w14:paraId="271013B8">
            <w:pPr>
              <w:widowControl w:val="0"/>
              <w:adjustRightInd w:val="0"/>
              <w:snapToGrid w:val="0"/>
              <w:spacing w:beforeLines="0" w:afterLines="0"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质量要求</w:t>
            </w:r>
          </w:p>
        </w:tc>
        <w:tc>
          <w:tcPr>
            <w:tcW w:w="6320" w:type="dxa"/>
            <w:noWrap w:val="0"/>
            <w:vAlign w:val="center"/>
          </w:tcPr>
          <w:p w14:paraId="4EBE78F6">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kern w:val="0"/>
                <w:sz w:val="21"/>
                <w:szCs w:val="21"/>
                <w:highlight w:val="none"/>
                <w:shd w:val="clear" w:color="auto" w:fill="FFFFFF"/>
                <w:lang w:val="en-US" w:eastAsia="zh-CN" w:bidi="ar"/>
              </w:rPr>
              <w:t>合格，符合国家、行业、地方规定相应的技术标准和规范要求</w:t>
            </w:r>
          </w:p>
        </w:tc>
      </w:tr>
      <w:tr w14:paraId="14D466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1123" w:type="dxa"/>
            <w:noWrap w:val="0"/>
            <w:vAlign w:val="center"/>
          </w:tcPr>
          <w:p w14:paraId="16B4669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1.4.1</w:t>
            </w:r>
          </w:p>
        </w:tc>
        <w:tc>
          <w:tcPr>
            <w:tcW w:w="2095" w:type="dxa"/>
            <w:noWrap w:val="0"/>
            <w:vAlign w:val="center"/>
          </w:tcPr>
          <w:p w14:paraId="64953BC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投标人资质条件、能力、信誉</w:t>
            </w:r>
          </w:p>
        </w:tc>
        <w:tc>
          <w:tcPr>
            <w:tcW w:w="6320" w:type="dxa"/>
            <w:noWrap w:val="0"/>
            <w:vAlign w:val="center"/>
          </w:tcPr>
          <w:p w14:paraId="76B8751D">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b/>
                <w:color w:val="auto"/>
                <w:sz w:val="21"/>
                <w:szCs w:val="21"/>
                <w:highlight w:val="none"/>
                <w:lang w:val="en-US" w:eastAsia="zh-CN"/>
              </w:rPr>
              <w:t>详见招标公告“3、</w:t>
            </w:r>
            <w:r>
              <w:rPr>
                <w:rFonts w:hint="eastAsia" w:ascii="宋体" w:hAnsi="宋体" w:eastAsia="宋体" w:cs="宋体"/>
                <w:b/>
                <w:bCs/>
                <w:i w:val="0"/>
                <w:iCs w:val="0"/>
                <w:caps w:val="0"/>
                <w:color w:val="auto"/>
                <w:spacing w:val="0"/>
                <w:kern w:val="0"/>
                <w:sz w:val="21"/>
                <w:szCs w:val="21"/>
                <w:highlight w:val="none"/>
                <w:shd w:val="clear" w:color="auto" w:fill="FFFFFF"/>
                <w:lang w:val="en-US" w:eastAsia="zh-CN" w:bidi="ar"/>
              </w:rPr>
              <w:t>投标人资格要求”</w:t>
            </w:r>
          </w:p>
        </w:tc>
      </w:tr>
      <w:tr w14:paraId="0F5F6D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8B97E6A">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6BA55F3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1.4.2</w:t>
            </w:r>
          </w:p>
        </w:tc>
        <w:tc>
          <w:tcPr>
            <w:tcW w:w="2095" w:type="dxa"/>
            <w:noWrap w:val="0"/>
            <w:vAlign w:val="center"/>
          </w:tcPr>
          <w:p w14:paraId="12F6AD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是否接受联合体投标</w:t>
            </w:r>
          </w:p>
        </w:tc>
        <w:tc>
          <w:tcPr>
            <w:tcW w:w="6320" w:type="dxa"/>
            <w:noWrap w:val="0"/>
            <w:vAlign w:val="center"/>
          </w:tcPr>
          <w:p w14:paraId="69460080">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不接受</w:t>
            </w:r>
          </w:p>
          <w:p w14:paraId="33D9AA7D">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 xml:space="preserve">□接受，应满足下列要求： </w:t>
            </w:r>
          </w:p>
        </w:tc>
      </w:tr>
      <w:tr w14:paraId="3ECB9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1123" w:type="dxa"/>
            <w:noWrap w:val="0"/>
            <w:vAlign w:val="center"/>
          </w:tcPr>
          <w:p w14:paraId="763B283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1.4.3</w:t>
            </w:r>
          </w:p>
        </w:tc>
        <w:tc>
          <w:tcPr>
            <w:tcW w:w="2095" w:type="dxa"/>
            <w:noWrap w:val="0"/>
            <w:vAlign w:val="center"/>
          </w:tcPr>
          <w:p w14:paraId="2C62F26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投标人不得存在的其他情形</w:t>
            </w:r>
          </w:p>
        </w:tc>
        <w:tc>
          <w:tcPr>
            <w:tcW w:w="6320" w:type="dxa"/>
            <w:noWrap w:val="0"/>
            <w:vAlign w:val="center"/>
          </w:tcPr>
          <w:p w14:paraId="2034472B">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无</w:t>
            </w:r>
          </w:p>
        </w:tc>
      </w:tr>
      <w:tr w14:paraId="5B0C95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11A300D5">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290B0C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1.9.1</w:t>
            </w:r>
          </w:p>
        </w:tc>
        <w:tc>
          <w:tcPr>
            <w:tcW w:w="2095" w:type="dxa"/>
            <w:noWrap w:val="0"/>
            <w:vAlign w:val="center"/>
          </w:tcPr>
          <w:p w14:paraId="0988527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投标预备会</w:t>
            </w:r>
          </w:p>
        </w:tc>
        <w:tc>
          <w:tcPr>
            <w:tcW w:w="6320" w:type="dxa"/>
            <w:noWrap w:val="0"/>
            <w:vAlign w:val="center"/>
          </w:tcPr>
          <w:p w14:paraId="04572398">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不召开</w:t>
            </w:r>
          </w:p>
          <w:p w14:paraId="6B69D73E">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□召开，召开时间：</w:t>
            </w:r>
          </w:p>
          <w:p w14:paraId="584D09ED">
            <w:pPr>
              <w:widowControl w:val="0"/>
              <w:spacing w:beforeLines="0" w:afterLines="0" w:line="360" w:lineRule="auto"/>
              <w:ind w:left="0" w:right="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召开地点：</w:t>
            </w:r>
          </w:p>
        </w:tc>
      </w:tr>
      <w:tr w14:paraId="27B3A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8" w:hRule="atLeast"/>
          <w:jc w:val="center"/>
        </w:trPr>
        <w:tc>
          <w:tcPr>
            <w:tcW w:w="1123" w:type="dxa"/>
            <w:vMerge w:val="restart"/>
            <w:noWrap w:val="0"/>
            <w:vAlign w:val="center"/>
          </w:tcPr>
          <w:p w14:paraId="479E0CFC">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129E94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1.9.2</w:t>
            </w:r>
          </w:p>
        </w:tc>
        <w:tc>
          <w:tcPr>
            <w:tcW w:w="2095" w:type="dxa"/>
            <w:vMerge w:val="restart"/>
            <w:noWrap w:val="0"/>
            <w:vAlign w:val="center"/>
          </w:tcPr>
          <w:p w14:paraId="3D0D485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投标人在投标预备会前提出问题</w:t>
            </w:r>
          </w:p>
        </w:tc>
        <w:tc>
          <w:tcPr>
            <w:tcW w:w="6320" w:type="dxa"/>
            <w:noWrap w:val="0"/>
            <w:vAlign w:val="center"/>
          </w:tcPr>
          <w:p w14:paraId="0FA487BB">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时间：</w:t>
            </w:r>
            <w:r>
              <w:rPr>
                <w:rFonts w:hint="eastAsia" w:ascii="宋体" w:hAnsi="宋体" w:eastAsia="宋体" w:cs="宋体"/>
                <w:kern w:val="0"/>
                <w:sz w:val="21"/>
                <w:szCs w:val="21"/>
                <w:highlight w:val="none"/>
                <w:lang w:val="en-US" w:eastAsia="zh-CN" w:bidi="ar-SA"/>
              </w:rPr>
              <w:t>/</w:t>
            </w:r>
          </w:p>
        </w:tc>
      </w:tr>
      <w:tr w14:paraId="372E9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23DCC64B">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6FBCE9E2">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61686D5A">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en-US" w:bidi="ar-SA"/>
              </w:rPr>
              <w:t>形式：</w:t>
            </w:r>
            <w:r>
              <w:rPr>
                <w:rFonts w:hint="eastAsia" w:ascii="宋体" w:hAnsi="宋体" w:eastAsia="宋体" w:cs="宋体"/>
                <w:kern w:val="0"/>
                <w:sz w:val="21"/>
                <w:szCs w:val="21"/>
                <w:highlight w:val="none"/>
                <w:lang w:val="en-US" w:eastAsia="zh-CN" w:bidi="ar-SA"/>
              </w:rPr>
              <w:t>/</w:t>
            </w:r>
          </w:p>
        </w:tc>
      </w:tr>
      <w:tr w14:paraId="080AC0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BFFD56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1.9.3</w:t>
            </w:r>
          </w:p>
        </w:tc>
        <w:tc>
          <w:tcPr>
            <w:tcW w:w="2095" w:type="dxa"/>
            <w:noWrap w:val="0"/>
            <w:vAlign w:val="center"/>
          </w:tcPr>
          <w:p w14:paraId="5281E89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20D7D0DC">
            <w:pPr>
              <w:widowControl/>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通过驻马店市公共资源</w:t>
            </w:r>
            <w:r>
              <w:rPr>
                <w:rFonts w:hint="eastAsia" w:ascii="宋体" w:hAnsi="宋体" w:eastAsia="宋体" w:cs="宋体"/>
                <w:sz w:val="21"/>
                <w:szCs w:val="21"/>
                <w:highlight w:val="none"/>
                <w:lang w:eastAsia="zh-CN"/>
              </w:rPr>
              <w:t>交易平台</w:t>
            </w:r>
            <w:r>
              <w:rPr>
                <w:rFonts w:hint="eastAsia" w:ascii="宋体" w:hAnsi="宋体" w:eastAsia="宋体" w:cs="宋体"/>
                <w:sz w:val="21"/>
                <w:szCs w:val="21"/>
                <w:highlight w:val="none"/>
              </w:rPr>
              <w:t>信息平台发布，投标人须重新下载最新的“答疑文件”，并以此编制投标文件。</w:t>
            </w:r>
          </w:p>
        </w:tc>
      </w:tr>
      <w:tr w14:paraId="135CA7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64" w:hRule="atLeast"/>
          <w:jc w:val="center"/>
        </w:trPr>
        <w:tc>
          <w:tcPr>
            <w:tcW w:w="1123" w:type="dxa"/>
            <w:noWrap w:val="0"/>
            <w:vAlign w:val="center"/>
          </w:tcPr>
          <w:p w14:paraId="43C9CFC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1.10.1</w:t>
            </w:r>
          </w:p>
        </w:tc>
        <w:tc>
          <w:tcPr>
            <w:tcW w:w="2095" w:type="dxa"/>
            <w:noWrap w:val="0"/>
            <w:vAlign w:val="center"/>
          </w:tcPr>
          <w:p w14:paraId="4E4F7F7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分包</w:t>
            </w:r>
          </w:p>
        </w:tc>
        <w:tc>
          <w:tcPr>
            <w:tcW w:w="6320" w:type="dxa"/>
            <w:noWrap w:val="0"/>
            <w:vAlign w:val="center"/>
          </w:tcPr>
          <w:p w14:paraId="4EBDDC2E">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不允许</w:t>
            </w:r>
          </w:p>
          <w:p w14:paraId="13AF88E9">
            <w:pPr>
              <w:widowControl w:val="0"/>
              <w:spacing w:beforeLines="0" w:afterLines="0" w:line="360" w:lineRule="auto"/>
              <w:ind w:left="0" w:right="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□允许，分包内容要求：。</w:t>
            </w:r>
          </w:p>
        </w:tc>
      </w:tr>
      <w:tr w14:paraId="1F0B08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3AD211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1.11.1</w:t>
            </w:r>
          </w:p>
        </w:tc>
        <w:tc>
          <w:tcPr>
            <w:tcW w:w="2095" w:type="dxa"/>
            <w:noWrap w:val="0"/>
            <w:vAlign w:val="center"/>
          </w:tcPr>
          <w:p w14:paraId="0D85F36F">
            <w:pPr>
              <w:keepNext w:val="0"/>
              <w:keepLines w:val="0"/>
              <w:pageBreakBefore w:val="0"/>
              <w:widowControl w:val="0"/>
              <w:kinsoku/>
              <w:wordWrap/>
              <w:overflowPunct/>
              <w:topLinePunct w:val="0"/>
              <w:bidi w:val="0"/>
              <w:snapToGrid/>
              <w:spacing w:beforeLines="0" w:afterLines="0" w:line="360" w:lineRule="auto"/>
              <w:ind w:left="0" w:leftChars="0"/>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实质性要求和条件</w:t>
            </w:r>
          </w:p>
        </w:tc>
        <w:tc>
          <w:tcPr>
            <w:tcW w:w="6320" w:type="dxa"/>
            <w:noWrap w:val="0"/>
            <w:vAlign w:val="center"/>
          </w:tcPr>
          <w:p w14:paraId="11C2C3FD">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招标文件已明确的形式评审标准、资格评审标准、响应性评审标准。</w:t>
            </w:r>
          </w:p>
        </w:tc>
      </w:tr>
      <w:tr w14:paraId="26234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31BA57B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1.11.3</w:t>
            </w:r>
          </w:p>
        </w:tc>
        <w:tc>
          <w:tcPr>
            <w:tcW w:w="2095" w:type="dxa"/>
            <w:noWrap w:val="0"/>
            <w:vAlign w:val="center"/>
          </w:tcPr>
          <w:p w14:paraId="1672F9C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其他可以被接受的技术支持资料</w:t>
            </w:r>
          </w:p>
        </w:tc>
        <w:tc>
          <w:tcPr>
            <w:tcW w:w="6320" w:type="dxa"/>
            <w:noWrap w:val="0"/>
            <w:vAlign w:val="center"/>
          </w:tcPr>
          <w:p w14:paraId="25F81055">
            <w:pPr>
              <w:widowControl/>
              <w:spacing w:beforeLines="0" w:afterLines="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r>
      <w:tr w14:paraId="13070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5" w:hRule="atLeast"/>
          <w:jc w:val="center"/>
        </w:trPr>
        <w:tc>
          <w:tcPr>
            <w:tcW w:w="1123" w:type="dxa"/>
            <w:noWrap w:val="0"/>
            <w:vAlign w:val="center"/>
          </w:tcPr>
          <w:p w14:paraId="5F2F9B2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1.11.4</w:t>
            </w:r>
          </w:p>
        </w:tc>
        <w:tc>
          <w:tcPr>
            <w:tcW w:w="2095" w:type="dxa"/>
            <w:noWrap w:val="0"/>
            <w:vAlign w:val="center"/>
          </w:tcPr>
          <w:p w14:paraId="4FA259A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偏差</w:t>
            </w:r>
          </w:p>
        </w:tc>
        <w:tc>
          <w:tcPr>
            <w:tcW w:w="6320" w:type="dxa"/>
            <w:noWrap w:val="0"/>
            <w:vAlign w:val="center"/>
          </w:tcPr>
          <w:p w14:paraId="10767DE7">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商务部分不允许偏差，技术部分只接受正偏差。</w:t>
            </w:r>
          </w:p>
        </w:tc>
      </w:tr>
      <w:tr w14:paraId="147CF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ACDD68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2095" w:type="dxa"/>
            <w:noWrap w:val="0"/>
            <w:vAlign w:val="center"/>
          </w:tcPr>
          <w:p w14:paraId="59EADBF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构成招标文件的其他资料</w:t>
            </w:r>
          </w:p>
        </w:tc>
        <w:tc>
          <w:tcPr>
            <w:tcW w:w="6320" w:type="dxa"/>
            <w:noWrap w:val="0"/>
            <w:vAlign w:val="center"/>
          </w:tcPr>
          <w:p w14:paraId="30430348">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招标文件补充、澄清、修改、答疑</w:t>
            </w:r>
          </w:p>
        </w:tc>
      </w:tr>
      <w:tr w14:paraId="39176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3" w:hRule="atLeast"/>
          <w:jc w:val="center"/>
        </w:trPr>
        <w:tc>
          <w:tcPr>
            <w:tcW w:w="1123" w:type="dxa"/>
            <w:vMerge w:val="restart"/>
            <w:noWrap w:val="0"/>
            <w:vAlign w:val="center"/>
          </w:tcPr>
          <w:p w14:paraId="7A69215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2.2.1</w:t>
            </w:r>
          </w:p>
        </w:tc>
        <w:tc>
          <w:tcPr>
            <w:tcW w:w="2095" w:type="dxa"/>
            <w:vMerge w:val="restart"/>
            <w:noWrap w:val="0"/>
            <w:vAlign w:val="center"/>
          </w:tcPr>
          <w:p w14:paraId="40CDF69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投标人要求澄清招标文件</w:t>
            </w:r>
          </w:p>
        </w:tc>
        <w:tc>
          <w:tcPr>
            <w:tcW w:w="6320" w:type="dxa"/>
            <w:noWrap w:val="0"/>
            <w:vAlign w:val="center"/>
          </w:tcPr>
          <w:p w14:paraId="333D06A1">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时间：投标截止时间17天前</w:t>
            </w:r>
          </w:p>
        </w:tc>
      </w:tr>
      <w:tr w14:paraId="52F38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8" w:hRule="atLeast"/>
          <w:jc w:val="center"/>
        </w:trPr>
        <w:tc>
          <w:tcPr>
            <w:tcW w:w="1123" w:type="dxa"/>
            <w:vMerge w:val="continue"/>
            <w:noWrap w:val="0"/>
            <w:vAlign w:val="center"/>
          </w:tcPr>
          <w:p w14:paraId="66632400">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2095" w:type="dxa"/>
            <w:vMerge w:val="continue"/>
            <w:noWrap w:val="0"/>
            <w:vAlign w:val="center"/>
          </w:tcPr>
          <w:p w14:paraId="215B9E7C">
            <w:pPr>
              <w:widowControl w:val="0"/>
              <w:adjustRightInd w:val="0"/>
              <w:snapToGrid w:val="0"/>
              <w:spacing w:beforeLines="0" w:afterLines="0" w:line="360" w:lineRule="auto"/>
              <w:jc w:val="center"/>
              <w:rPr>
                <w:rFonts w:hint="eastAsia" w:ascii="宋体" w:hAnsi="宋体" w:eastAsia="宋体" w:cs="宋体"/>
                <w:sz w:val="21"/>
                <w:szCs w:val="21"/>
                <w:highlight w:val="none"/>
              </w:rPr>
            </w:pPr>
          </w:p>
        </w:tc>
        <w:tc>
          <w:tcPr>
            <w:tcW w:w="6320" w:type="dxa"/>
            <w:noWrap w:val="0"/>
            <w:vAlign w:val="center"/>
          </w:tcPr>
          <w:p w14:paraId="399736CB">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形式：通过驻马店市公共资源</w:t>
            </w:r>
            <w:r>
              <w:rPr>
                <w:rFonts w:hint="eastAsia" w:ascii="宋体" w:hAnsi="宋体" w:eastAsia="宋体" w:cs="宋体"/>
                <w:sz w:val="21"/>
                <w:szCs w:val="21"/>
                <w:highlight w:val="none"/>
                <w:shd w:val="clear" w:color="auto" w:fill="FFFFFF"/>
                <w:lang w:eastAsia="zh-CN"/>
              </w:rPr>
              <w:t>交易平台</w:t>
            </w:r>
            <w:r>
              <w:rPr>
                <w:rFonts w:hint="eastAsia" w:ascii="宋体" w:hAnsi="宋体" w:eastAsia="宋体" w:cs="宋体"/>
                <w:i w:val="0"/>
                <w:iCs w:val="0"/>
                <w:caps w:val="0"/>
                <w:color w:val="000000"/>
                <w:spacing w:val="0"/>
                <w:sz w:val="21"/>
                <w:szCs w:val="21"/>
                <w:shd w:val="clear" w:fill="FFFFFF"/>
              </w:rPr>
              <w:t>交易平台</w:t>
            </w:r>
            <w:r>
              <w:rPr>
                <w:rFonts w:hint="eastAsia" w:ascii="宋体" w:hAnsi="宋体" w:eastAsia="宋体" w:cs="宋体"/>
                <w:sz w:val="21"/>
                <w:szCs w:val="21"/>
                <w:highlight w:val="none"/>
                <w:shd w:val="clear" w:color="auto" w:fill="FFFFFF"/>
              </w:rPr>
              <w:t>提出</w:t>
            </w:r>
          </w:p>
        </w:tc>
      </w:tr>
      <w:tr w14:paraId="0D94B8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924606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2.2.2</w:t>
            </w:r>
          </w:p>
        </w:tc>
        <w:tc>
          <w:tcPr>
            <w:tcW w:w="2095" w:type="dxa"/>
            <w:noWrap w:val="0"/>
            <w:vAlign w:val="center"/>
          </w:tcPr>
          <w:p w14:paraId="4E0CDED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招标文件澄清发出的形式</w:t>
            </w:r>
          </w:p>
        </w:tc>
        <w:tc>
          <w:tcPr>
            <w:tcW w:w="6320" w:type="dxa"/>
            <w:noWrap w:val="0"/>
            <w:vAlign w:val="center"/>
          </w:tcPr>
          <w:p w14:paraId="0F3CA742">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通过驻马店市公共资源交易电子交易平台发布，投标人须重新下载最新的“答疑文件”，并以此编制投标文件。</w:t>
            </w:r>
          </w:p>
        </w:tc>
      </w:tr>
      <w:tr w14:paraId="3888C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14BD81B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2.2.3</w:t>
            </w:r>
          </w:p>
        </w:tc>
        <w:tc>
          <w:tcPr>
            <w:tcW w:w="2095" w:type="dxa"/>
            <w:noWrap w:val="0"/>
            <w:vAlign w:val="center"/>
          </w:tcPr>
          <w:p w14:paraId="0CEF01E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投标人确认收到招标文件澄清</w:t>
            </w:r>
          </w:p>
        </w:tc>
        <w:tc>
          <w:tcPr>
            <w:tcW w:w="6320" w:type="dxa"/>
            <w:noWrap w:val="0"/>
            <w:vAlign w:val="center"/>
          </w:tcPr>
          <w:p w14:paraId="589927A5">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4FEB9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584DE91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2.3.1</w:t>
            </w:r>
          </w:p>
        </w:tc>
        <w:tc>
          <w:tcPr>
            <w:tcW w:w="2095" w:type="dxa"/>
            <w:noWrap w:val="0"/>
            <w:vAlign w:val="center"/>
          </w:tcPr>
          <w:p w14:paraId="76E0AF2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招标文件修改发出的形式</w:t>
            </w:r>
          </w:p>
        </w:tc>
        <w:tc>
          <w:tcPr>
            <w:tcW w:w="6320" w:type="dxa"/>
            <w:noWrap w:val="0"/>
            <w:vAlign w:val="center"/>
          </w:tcPr>
          <w:p w14:paraId="43B0BD19">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通过驻马店市公共资源交易电子交易平台发布，投标人须重新下载最新的“答疑文件”，并以此编制投标文件。</w:t>
            </w:r>
          </w:p>
        </w:tc>
      </w:tr>
      <w:tr w14:paraId="55ECF1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6" w:hRule="atLeast"/>
          <w:jc w:val="center"/>
        </w:trPr>
        <w:tc>
          <w:tcPr>
            <w:tcW w:w="1123" w:type="dxa"/>
            <w:noWrap w:val="0"/>
            <w:vAlign w:val="center"/>
          </w:tcPr>
          <w:p w14:paraId="0C0C928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2.3.2</w:t>
            </w:r>
          </w:p>
        </w:tc>
        <w:tc>
          <w:tcPr>
            <w:tcW w:w="2095" w:type="dxa"/>
            <w:noWrap w:val="0"/>
            <w:vAlign w:val="center"/>
          </w:tcPr>
          <w:p w14:paraId="21CB43F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投标人确认收到招标文件修改</w:t>
            </w:r>
          </w:p>
        </w:tc>
        <w:tc>
          <w:tcPr>
            <w:tcW w:w="6320" w:type="dxa"/>
            <w:noWrap w:val="0"/>
            <w:vAlign w:val="center"/>
          </w:tcPr>
          <w:p w14:paraId="6DEBFA61">
            <w:pPr>
              <w:widowControl w:val="0"/>
              <w:spacing w:beforeLines="0" w:afterLines="0" w:line="360" w:lineRule="auto"/>
              <w:ind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color w:val="auto"/>
                <w:spacing w:val="-6"/>
                <w:kern w:val="0"/>
                <w:sz w:val="21"/>
                <w:szCs w:val="21"/>
                <w:highlight w:val="none"/>
                <w:lang w:val="en-US" w:eastAsia="zh-CN" w:bidi="ar-SA"/>
              </w:rPr>
              <w:t>所有澄清均通过“驻马店市公共资源交易平台”电子平台发布，一经发布即视为投标人已收到并确认。投标人应注意及时浏览交易主体系统内发布的答疑澄清文件通知并下载或信息通知。因投标人原因未及时获知相关内容而导致的任何后果，概由投标人自己承担。</w:t>
            </w:r>
          </w:p>
        </w:tc>
      </w:tr>
      <w:tr w14:paraId="2AE28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3B8799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3.1.1</w:t>
            </w:r>
          </w:p>
        </w:tc>
        <w:tc>
          <w:tcPr>
            <w:tcW w:w="2095" w:type="dxa"/>
            <w:noWrap w:val="0"/>
            <w:vAlign w:val="center"/>
          </w:tcPr>
          <w:p w14:paraId="31C911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构成投标文件的其他资料</w:t>
            </w:r>
          </w:p>
        </w:tc>
        <w:tc>
          <w:tcPr>
            <w:tcW w:w="6320" w:type="dxa"/>
            <w:noWrap w:val="0"/>
            <w:vAlign w:val="center"/>
          </w:tcPr>
          <w:p w14:paraId="6C3A668D">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见招标文件正文</w:t>
            </w:r>
          </w:p>
        </w:tc>
      </w:tr>
      <w:tr w14:paraId="215115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EAD08E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2095" w:type="dxa"/>
            <w:noWrap w:val="0"/>
            <w:vAlign w:val="center"/>
          </w:tcPr>
          <w:p w14:paraId="6608373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增值税税金的计算方法</w:t>
            </w:r>
          </w:p>
        </w:tc>
        <w:tc>
          <w:tcPr>
            <w:tcW w:w="6320" w:type="dxa"/>
            <w:noWrap w:val="0"/>
            <w:vAlign w:val="center"/>
          </w:tcPr>
          <w:p w14:paraId="3DD329DE">
            <w:pPr>
              <w:widowControl/>
              <w:spacing w:beforeLines="0" w:afterLines="0" w:line="360" w:lineRule="auto"/>
              <w:jc w:val="both"/>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color w:val="auto"/>
                <w:sz w:val="21"/>
                <w:szCs w:val="21"/>
                <w:highlight w:val="none"/>
              </w:rPr>
              <w:t>见招标文件正文</w:t>
            </w:r>
          </w:p>
        </w:tc>
      </w:tr>
      <w:tr w14:paraId="66C35F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2" w:hRule="atLeast"/>
          <w:jc w:val="center"/>
        </w:trPr>
        <w:tc>
          <w:tcPr>
            <w:tcW w:w="1123" w:type="dxa"/>
            <w:noWrap w:val="0"/>
            <w:vAlign w:val="center"/>
          </w:tcPr>
          <w:p w14:paraId="23D500D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3.2.4</w:t>
            </w:r>
          </w:p>
        </w:tc>
        <w:tc>
          <w:tcPr>
            <w:tcW w:w="2095" w:type="dxa"/>
            <w:noWrap w:val="0"/>
            <w:vAlign w:val="center"/>
          </w:tcPr>
          <w:p w14:paraId="050F3639">
            <w:pPr>
              <w:widowControl w:val="0"/>
              <w:adjustRightInd w:val="0"/>
              <w:snapToGrid w:val="0"/>
              <w:spacing w:beforeLines="0" w:afterLines="0"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最高限价</w:t>
            </w:r>
          </w:p>
        </w:tc>
        <w:tc>
          <w:tcPr>
            <w:tcW w:w="6320" w:type="dxa"/>
            <w:noWrap w:val="0"/>
            <w:vAlign w:val="center"/>
          </w:tcPr>
          <w:p w14:paraId="41D9DACB">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□无</w:t>
            </w:r>
          </w:p>
          <w:p w14:paraId="24803D23">
            <w:pPr>
              <w:widowControl/>
              <w:spacing w:beforeLines="0" w:afterLines="0" w:line="360" w:lineRule="auto"/>
              <w:ind w:left="0" w:leftChars="0"/>
              <w:jc w:val="both"/>
              <w:rPr>
                <w:rFonts w:hint="default" w:ascii="宋体" w:hAnsi="宋体" w:eastAsia="宋体" w:cs="宋体"/>
                <w:b/>
                <w:bCs/>
                <w:color w:val="FF0000"/>
                <w:sz w:val="21"/>
                <w:szCs w:val="21"/>
                <w:highlight w:val="none"/>
                <w:lang w:val="en-US" w:eastAsia="zh-CN"/>
              </w:rPr>
            </w:pPr>
            <w:r>
              <w:rPr>
                <w:rFonts w:hint="eastAsia" w:ascii="宋体" w:hAnsi="宋体" w:eastAsia="宋体" w:cs="宋体"/>
                <w:b/>
                <w:bCs/>
                <w:sz w:val="21"/>
                <w:szCs w:val="21"/>
                <w:highlight w:val="none"/>
                <w:shd w:val="clear" w:color="auto" w:fill="FFFFFF"/>
              </w:rPr>
              <w:t>☑</w:t>
            </w:r>
            <w:r>
              <w:rPr>
                <w:rFonts w:hint="eastAsia" w:ascii="宋体" w:hAnsi="宋体" w:eastAsia="宋体" w:cs="宋体"/>
                <w:b/>
                <w:bCs/>
                <w:sz w:val="21"/>
                <w:szCs w:val="21"/>
                <w:highlight w:val="none"/>
              </w:rPr>
              <w:t>有，最高投标限价为：</w:t>
            </w:r>
            <w:r>
              <w:rPr>
                <w:rFonts w:hint="eastAsia" w:ascii="宋体" w:hAnsi="宋体" w:eastAsia="宋体" w:cs="宋体"/>
                <w:b/>
                <w:bCs/>
                <w:sz w:val="21"/>
                <w:szCs w:val="21"/>
                <w:highlight w:val="none"/>
                <w:lang w:val="en-US" w:eastAsia="zh-CN"/>
              </w:rPr>
              <w:t>小写：</w:t>
            </w:r>
            <w:r>
              <w:rPr>
                <w:rFonts w:hint="eastAsia" w:ascii="宋体" w:hAnsi="宋体" w:eastAsia="宋体" w:cs="宋体"/>
                <w:b/>
                <w:bCs/>
                <w:sz w:val="21"/>
                <w:szCs w:val="21"/>
                <w:highlight w:val="none"/>
              </w:rPr>
              <w:t>10888496.54</w:t>
            </w:r>
            <w:r>
              <w:rPr>
                <w:rFonts w:hint="eastAsia" w:ascii="宋体" w:hAnsi="宋体" w:eastAsia="宋体" w:cs="宋体"/>
                <w:b/>
                <w:bCs/>
                <w:sz w:val="21"/>
                <w:szCs w:val="21"/>
                <w:highlight w:val="none"/>
                <w:lang w:val="en-US" w:eastAsia="zh-CN"/>
              </w:rPr>
              <w:t>元；大写：壹仟零捌拾捌万捌仟肆佰玖拾陆元伍角肆分</w:t>
            </w:r>
          </w:p>
          <w:p w14:paraId="696E36B0">
            <w:pPr>
              <w:widowControl w:val="0"/>
              <w:spacing w:beforeLines="0" w:afterLines="0" w:line="360" w:lineRule="auto"/>
              <w:ind w:left="0" w:right="0"/>
              <w:jc w:val="both"/>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投标报价超过最高限价的按无效标处理。</w:t>
            </w:r>
          </w:p>
        </w:tc>
      </w:tr>
      <w:tr w14:paraId="013EDA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1123" w:type="dxa"/>
            <w:noWrap w:val="0"/>
            <w:vAlign w:val="center"/>
          </w:tcPr>
          <w:p w14:paraId="449ABE9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3.2.5</w:t>
            </w:r>
          </w:p>
        </w:tc>
        <w:tc>
          <w:tcPr>
            <w:tcW w:w="2095" w:type="dxa"/>
            <w:noWrap w:val="0"/>
            <w:vAlign w:val="center"/>
          </w:tcPr>
          <w:p w14:paraId="6BF597A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投标报价的其</w:t>
            </w:r>
          </w:p>
          <w:p w14:paraId="7342EB7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他要求</w:t>
            </w:r>
          </w:p>
        </w:tc>
        <w:tc>
          <w:tcPr>
            <w:tcW w:w="6320" w:type="dxa"/>
            <w:noWrap w:val="0"/>
            <w:vAlign w:val="center"/>
          </w:tcPr>
          <w:p w14:paraId="7091A9B2">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无</w:t>
            </w:r>
          </w:p>
        </w:tc>
      </w:tr>
      <w:tr w14:paraId="7BA02D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23" w:type="dxa"/>
            <w:noWrap w:val="0"/>
            <w:vAlign w:val="center"/>
          </w:tcPr>
          <w:p w14:paraId="09065C9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3.3.1</w:t>
            </w:r>
          </w:p>
        </w:tc>
        <w:tc>
          <w:tcPr>
            <w:tcW w:w="2095" w:type="dxa"/>
            <w:noWrap w:val="0"/>
            <w:vAlign w:val="center"/>
          </w:tcPr>
          <w:p w14:paraId="6A1AF06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投标有效期</w:t>
            </w:r>
          </w:p>
        </w:tc>
        <w:tc>
          <w:tcPr>
            <w:tcW w:w="6320" w:type="dxa"/>
            <w:noWrap w:val="0"/>
            <w:vAlign w:val="center"/>
          </w:tcPr>
          <w:p w14:paraId="6AA2ACE3">
            <w:pPr>
              <w:widowControl/>
              <w:spacing w:beforeLines="0" w:afterLines="0" w:line="360" w:lineRule="auto"/>
              <w:jc w:val="both"/>
              <w:rPr>
                <w:rFonts w:hint="eastAsia" w:ascii="宋体" w:hAnsi="宋体" w:eastAsia="宋体" w:cs="宋体"/>
                <w:sz w:val="21"/>
                <w:szCs w:val="21"/>
                <w:highlight w:val="none"/>
                <w:shd w:val="clear" w:color="auto" w:fill="FFFFFF"/>
              </w:rPr>
            </w:pPr>
            <w:r>
              <w:rPr>
                <w:rFonts w:hint="eastAsia" w:ascii="宋体" w:hAnsi="宋体" w:eastAsia="宋体" w:cs="宋体"/>
                <w:color w:val="auto"/>
                <w:sz w:val="21"/>
                <w:szCs w:val="21"/>
                <w:highlight w:val="none"/>
              </w:rPr>
              <w:t>90日历天（从投标截止之日算起）</w:t>
            </w:r>
          </w:p>
        </w:tc>
      </w:tr>
      <w:tr w14:paraId="17D36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5F1B17D1">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3E72A122">
            <w:pPr>
              <w:widowControl w:val="0"/>
              <w:adjustRightInd w:val="0"/>
              <w:snapToGrid w:val="0"/>
              <w:spacing w:beforeLines="0" w:afterLines="0" w:line="360" w:lineRule="auto"/>
              <w:jc w:val="center"/>
              <w:rPr>
                <w:rFonts w:hint="eastAsia" w:ascii="宋体" w:hAnsi="宋体" w:eastAsia="宋体" w:cs="宋体"/>
                <w:sz w:val="21"/>
                <w:szCs w:val="21"/>
                <w:highlight w:val="none"/>
              </w:rPr>
            </w:pPr>
          </w:p>
          <w:p w14:paraId="0FF9016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3.4.1</w:t>
            </w:r>
          </w:p>
        </w:tc>
        <w:tc>
          <w:tcPr>
            <w:tcW w:w="2095" w:type="dxa"/>
            <w:noWrap w:val="0"/>
            <w:vAlign w:val="center"/>
          </w:tcPr>
          <w:p w14:paraId="01A4E61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投标保证金</w:t>
            </w:r>
          </w:p>
        </w:tc>
        <w:tc>
          <w:tcPr>
            <w:tcW w:w="6320" w:type="dxa"/>
            <w:noWrap w:val="0"/>
            <w:vAlign w:val="center"/>
          </w:tcPr>
          <w:p w14:paraId="73A2A061">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是否要求提交投标保证金</w:t>
            </w:r>
          </w:p>
          <w:p w14:paraId="5151C448">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 xml:space="preserve">☑要求  </w:t>
            </w:r>
          </w:p>
          <w:p w14:paraId="0A587FF3">
            <w:pPr>
              <w:widowControl w:val="0"/>
              <w:spacing w:beforeLines="0" w:afterLines="0" w:line="360" w:lineRule="auto"/>
              <w:ind w:left="0" w:right="0"/>
              <w:jc w:val="both"/>
              <w:rPr>
                <w:rFonts w:hint="default" w:ascii="宋体" w:hAnsi="宋体" w:eastAsia="宋体" w:cs="宋体"/>
                <w:b/>
                <w:bCs/>
                <w:kern w:val="2"/>
                <w:sz w:val="21"/>
                <w:szCs w:val="21"/>
                <w:highlight w:val="none"/>
                <w:shd w:val="clear" w:color="auto" w:fill="FFFFFF"/>
                <w:lang w:val="en-US" w:eastAsia="zh-CN" w:bidi="ar-SA"/>
              </w:rPr>
            </w:pPr>
            <w:r>
              <w:rPr>
                <w:rFonts w:hint="eastAsia" w:ascii="宋体" w:hAnsi="宋体" w:eastAsia="宋体" w:cs="宋体"/>
                <w:b/>
                <w:bCs/>
                <w:kern w:val="2"/>
                <w:sz w:val="21"/>
                <w:szCs w:val="21"/>
                <w:highlight w:val="none"/>
                <w:shd w:val="clear" w:color="auto" w:fill="FFFFFF"/>
                <w:lang w:val="en-US" w:eastAsia="zh-CN" w:bidi="ar-SA"/>
              </w:rPr>
              <w:t>投标保证金的金</w:t>
            </w:r>
            <w:r>
              <w:rPr>
                <w:rFonts w:hint="eastAsia" w:ascii="宋体" w:hAnsi="宋体" w:eastAsia="宋体" w:cs="宋体"/>
                <w:b/>
                <w:bCs/>
                <w:kern w:val="2"/>
                <w:sz w:val="21"/>
                <w:szCs w:val="21"/>
                <w:highlight w:val="none"/>
                <w:shd w:val="clear" w:color="auto" w:fill="auto"/>
                <w:lang w:val="en-US" w:eastAsia="zh-CN" w:bidi="ar-SA"/>
              </w:rPr>
              <w:t>额：人民币壹拾万元整；</w:t>
            </w:r>
          </w:p>
          <w:p w14:paraId="5BC87FAA">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投标保证金提交截止时间：同投标截止时间</w:t>
            </w:r>
          </w:p>
          <w:p w14:paraId="56F539F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投标保证金递交形式：银行转账、电子保函等。</w:t>
            </w:r>
          </w:p>
          <w:p w14:paraId="4F054E1C">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1.转账形式：投标人须登录交易系统，在【业务管理】里面的【保证金交纳查询】菜单里，查找该标段的投标保证金收款账户，投标人可挑选该标段对应的任一个账户按要求递交投标保证金，交纳完成后，在【保证金交纳查询】菜单里下载打印投标保证金交纳回执单，投标人必须将投标保证金交纳回执单的复印件装订到投标文件中并加盖公章。</w:t>
            </w:r>
          </w:p>
          <w:p w14:paraId="1A2C4101">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投标人将投标保证金于开标时间前登录交易系统从本公司基本账户一次性足额存至驻马店市公共资源交易平台指定账户,不得以现金提交，逾期到账的投标保证金不予受理。（未从基本账户汇出或未按时到账者视为无效）。如联合体投标，应当以联合体中牵头人的名义提交保证金。</w:t>
            </w:r>
          </w:p>
          <w:p w14:paraId="714C8137">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2、电子投标保函缴纳方式：</w:t>
            </w:r>
          </w:p>
          <w:p w14:paraId="711758DC">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①投标人必须首先确认本企业诚信库内填写的基本账户相关信息真实准确；</w:t>
            </w:r>
          </w:p>
          <w:p w14:paraId="356069BF">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②企业可以在交易平台电子交易系统业务管理“电子保函申请”功能中自主选择电子保函平台、承保机构办理电子保函业务；</w:t>
            </w:r>
          </w:p>
          <w:p w14:paraId="14E01809">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③办理电子投标保函费用必须出自投标人基本账户；</w:t>
            </w:r>
          </w:p>
          <w:p w14:paraId="25813116">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④投标截止时间前投标人应按照以上要求在保函平台中申请并生成电子投标保函。否则开标现场交易系统将无法获取到该投标单位的电子投标保函，视为未交纳投标保证金，其投标文件将被拒绝，不能参加开标活动。</w:t>
            </w:r>
          </w:p>
          <w:p w14:paraId="78920B7D">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交易平台技术咨询：0396-2613088</w:t>
            </w:r>
          </w:p>
          <w:p w14:paraId="10957374">
            <w:pPr>
              <w:widowControl w:val="0"/>
              <w:spacing w:beforeLines="0" w:afterLines="0" w:line="360" w:lineRule="auto"/>
              <w:ind w:left="0" w:right="0"/>
              <w:jc w:val="both"/>
              <w:rPr>
                <w:rFonts w:hint="eastAsia" w:ascii="宋体" w:hAnsi="宋体" w:eastAsia="宋体" w:cs="宋体"/>
                <w:kern w:val="2"/>
                <w:sz w:val="21"/>
                <w:szCs w:val="21"/>
                <w:highlight w:val="none"/>
                <w:shd w:val="clear" w:color="auto" w:fill="FFFFFF"/>
                <w:lang w:val="en-US" w:eastAsia="zh-CN" w:bidi="ar-SA"/>
              </w:rPr>
            </w:pPr>
            <w:r>
              <w:rPr>
                <w:rFonts w:hint="eastAsia" w:ascii="宋体" w:hAnsi="宋体" w:eastAsia="宋体" w:cs="宋体"/>
                <w:kern w:val="2"/>
                <w:sz w:val="21"/>
                <w:szCs w:val="21"/>
                <w:highlight w:val="none"/>
                <w:shd w:val="clear" w:color="auto" w:fill="FFFFFF"/>
                <w:lang w:val="en-US" w:eastAsia="zh-CN" w:bidi="ar-SA"/>
              </w:rPr>
              <w:t>□不要求</w:t>
            </w:r>
          </w:p>
        </w:tc>
      </w:tr>
      <w:tr w14:paraId="54BB1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5" w:hRule="atLeast"/>
          <w:jc w:val="center"/>
        </w:trPr>
        <w:tc>
          <w:tcPr>
            <w:tcW w:w="1123" w:type="dxa"/>
            <w:noWrap w:val="0"/>
            <w:vAlign w:val="center"/>
          </w:tcPr>
          <w:p w14:paraId="70400BA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3.4.4</w:t>
            </w:r>
          </w:p>
        </w:tc>
        <w:tc>
          <w:tcPr>
            <w:tcW w:w="2095" w:type="dxa"/>
            <w:noWrap w:val="0"/>
            <w:vAlign w:val="center"/>
          </w:tcPr>
          <w:p w14:paraId="0D2A802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其他可以不予退还投标保证金的情形</w:t>
            </w:r>
          </w:p>
        </w:tc>
        <w:tc>
          <w:tcPr>
            <w:tcW w:w="6320" w:type="dxa"/>
            <w:noWrap w:val="0"/>
            <w:vAlign w:val="center"/>
          </w:tcPr>
          <w:p w14:paraId="47FA031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有串通投标、弄虚作假、行贿等违法行为的；被查实存在影响中标结果的违法行为的。</w:t>
            </w:r>
          </w:p>
        </w:tc>
      </w:tr>
      <w:tr w14:paraId="3DE539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0" w:hRule="atLeast"/>
          <w:jc w:val="center"/>
        </w:trPr>
        <w:tc>
          <w:tcPr>
            <w:tcW w:w="1123" w:type="dxa"/>
            <w:noWrap w:val="0"/>
            <w:vAlign w:val="center"/>
          </w:tcPr>
          <w:p w14:paraId="7EA6F9E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2095" w:type="dxa"/>
            <w:noWrap w:val="0"/>
            <w:vAlign w:val="center"/>
          </w:tcPr>
          <w:p w14:paraId="550FBB0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资格审查资料的特殊要求</w:t>
            </w:r>
          </w:p>
        </w:tc>
        <w:tc>
          <w:tcPr>
            <w:tcW w:w="6320" w:type="dxa"/>
            <w:noWrap w:val="0"/>
            <w:vAlign w:val="center"/>
          </w:tcPr>
          <w:p w14:paraId="4628F64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□无</w:t>
            </w:r>
          </w:p>
          <w:p w14:paraId="00BA0C2C">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color w:val="333333"/>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有，具体要求：投标人无需递交纸质投标文件及原件，投标企业应在项目开标前，将项目负责人、人员、资质、业绩、荣誉、财务等投标所需材料原件扫描件，上传至驻马店市公共资源电子交易平台诚信库中，并且在“资格审查材料（不见面开标）”菜单下按标段从诚信库中挑选该标段投标所用资格审查材料，以供评标过程中评委查阅。评标时以电子投标文件及“资格审查材料（不见面开标）”菜单中选取的信息为准。</w:t>
            </w:r>
          </w:p>
          <w:p w14:paraId="43FB41E0">
            <w:pPr>
              <w:widowControl w:val="0"/>
              <w:adjustRightInd w:val="0"/>
              <w:snapToGrid w:val="0"/>
              <w:spacing w:beforeLines="0" w:afterLines="0" w:line="360" w:lineRule="auto"/>
              <w:ind w:left="0" w:leftChars="0" w:right="0"/>
              <w:jc w:val="both"/>
              <w:outlineLvl w:val="3"/>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（注：各投标企业应如实填报诚信库信息，因交易主体自行填报信息的错误、缺项、虚假而造成的后果由交易主体自行承担。）</w:t>
            </w:r>
          </w:p>
        </w:tc>
      </w:tr>
      <w:tr w14:paraId="400B73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A475E9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3.5.2</w:t>
            </w:r>
          </w:p>
        </w:tc>
        <w:tc>
          <w:tcPr>
            <w:tcW w:w="2095" w:type="dxa"/>
            <w:noWrap w:val="0"/>
            <w:vAlign w:val="center"/>
          </w:tcPr>
          <w:p w14:paraId="3B9DD0DA">
            <w:pPr>
              <w:keepNext w:val="0"/>
              <w:keepLines w:val="0"/>
              <w:pageBreakBefore w:val="0"/>
              <w:widowControl w:val="0"/>
              <w:kinsoku/>
              <w:wordWrap/>
              <w:overflowPunct/>
              <w:topLinePunct w:val="0"/>
              <w:bidi w:val="0"/>
              <w:snapToGrid/>
              <w:spacing w:beforeLines="0" w:afterLines="0" w:line="360" w:lineRule="auto"/>
              <w:ind w:left="0" w:lef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近年财务状况的年份要求</w:t>
            </w:r>
          </w:p>
        </w:tc>
        <w:tc>
          <w:tcPr>
            <w:tcW w:w="6320" w:type="dxa"/>
            <w:noWrap w:val="0"/>
            <w:vAlign w:val="center"/>
          </w:tcPr>
          <w:p w14:paraId="64BA3601">
            <w:pPr>
              <w:keepNext w:val="0"/>
              <w:keepLines w:val="0"/>
              <w:pageBreakBefore w:val="0"/>
              <w:widowControl w:val="0"/>
              <w:kinsoku/>
              <w:wordWrap/>
              <w:overflowPunct/>
              <w:topLinePunct w:val="0"/>
              <w:autoSpaceDE/>
              <w:autoSpaceDN/>
              <w:bidi w:val="0"/>
              <w:adjustRightInd w:val="0"/>
              <w:snapToGrid/>
              <w:spacing w:before="0" w:beforeLines="0" w:afterLines="0" w:line="360" w:lineRule="auto"/>
              <w:ind w:left="0" w:leftChars="0" w:firstLine="0" w:firstLineChars="0"/>
              <w:jc w:val="both"/>
              <w:textAlignment w:val="auto"/>
              <w:rPr>
                <w:rFonts w:hint="eastAsia" w:ascii="宋体" w:hAnsi="宋体" w:eastAsia="宋体" w:cs="宋体"/>
                <w:sz w:val="21"/>
                <w:szCs w:val="21"/>
                <w:highlight w:val="none"/>
                <w:lang w:eastAsia="zh-CN"/>
              </w:rPr>
            </w:pP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23年</w:t>
            </w:r>
            <w:r>
              <w:rPr>
                <w:rFonts w:hint="eastAsia" w:ascii="宋体" w:hAnsi="宋体" w:eastAsia="宋体" w:cs="宋体"/>
                <w:caps w:val="0"/>
                <w:smallCaps w:val="0"/>
                <w:color w:val="auto"/>
                <w:spacing w:val="0"/>
                <w:w w:val="100"/>
                <w:position w:val="0"/>
                <w:sz w:val="21"/>
                <w:szCs w:val="21"/>
                <w:highlight w:val="none"/>
                <w:lang w:eastAsia="zh-CN"/>
              </w:rPr>
              <w:t>、20</w:t>
            </w:r>
            <w:r>
              <w:rPr>
                <w:rFonts w:hint="eastAsia" w:ascii="宋体" w:hAnsi="宋体" w:eastAsia="宋体" w:cs="宋体"/>
                <w:caps w:val="0"/>
                <w:smallCaps w:val="0"/>
                <w:color w:val="auto"/>
                <w:spacing w:val="0"/>
                <w:w w:val="100"/>
                <w:position w:val="0"/>
                <w:sz w:val="21"/>
                <w:szCs w:val="21"/>
                <w:highlight w:val="none"/>
                <w:lang w:val="en-US" w:eastAsia="zh-CN"/>
              </w:rPr>
              <w:t>24年</w:t>
            </w:r>
            <w:r>
              <w:rPr>
                <w:rFonts w:hint="eastAsia" w:ascii="宋体" w:hAnsi="宋体" w:eastAsia="宋体" w:cs="宋体"/>
                <w:caps w:val="0"/>
                <w:smallCaps w:val="0"/>
                <w:color w:val="auto"/>
                <w:spacing w:val="0"/>
                <w:w w:val="100"/>
                <w:position w:val="0"/>
                <w:sz w:val="21"/>
                <w:szCs w:val="21"/>
                <w:highlight w:val="none"/>
                <w:lang w:eastAsia="zh-CN"/>
              </w:rPr>
              <w:t>、202</w:t>
            </w:r>
            <w:r>
              <w:rPr>
                <w:rFonts w:hint="eastAsia" w:ascii="宋体" w:hAnsi="宋体" w:eastAsia="宋体" w:cs="宋体"/>
                <w:caps w:val="0"/>
                <w:smallCaps w:val="0"/>
                <w:color w:val="auto"/>
                <w:spacing w:val="0"/>
                <w:w w:val="100"/>
                <w:position w:val="0"/>
                <w:sz w:val="21"/>
                <w:szCs w:val="21"/>
                <w:highlight w:val="none"/>
                <w:lang w:val="en-US" w:eastAsia="zh-CN"/>
              </w:rPr>
              <w:t>5年</w:t>
            </w:r>
          </w:p>
        </w:tc>
      </w:tr>
      <w:tr w14:paraId="493C9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1120F20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3.5.3</w:t>
            </w:r>
          </w:p>
        </w:tc>
        <w:tc>
          <w:tcPr>
            <w:tcW w:w="2095" w:type="dxa"/>
            <w:noWrap w:val="0"/>
            <w:vAlign w:val="top"/>
          </w:tcPr>
          <w:p w14:paraId="3642418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完成的类似项目情况的时间要求</w:t>
            </w:r>
          </w:p>
        </w:tc>
        <w:tc>
          <w:tcPr>
            <w:tcW w:w="6320" w:type="dxa"/>
            <w:noWrap w:val="0"/>
            <w:vAlign w:val="center"/>
          </w:tcPr>
          <w:p w14:paraId="398935B8">
            <w:pPr>
              <w:widowControl w:val="0"/>
              <w:tabs>
                <w:tab w:val="left" w:pos="799"/>
                <w:tab w:val="left" w:pos="1569"/>
                <w:tab w:val="left" w:pos="2340"/>
              </w:tabs>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u w:val="none"/>
                <w:lang w:val="en-US" w:eastAsia="en-US" w:bidi="ar-SA"/>
              </w:rPr>
              <w:t>20</w:t>
            </w:r>
            <w:r>
              <w:rPr>
                <w:rFonts w:hint="eastAsia" w:ascii="宋体" w:hAnsi="宋体" w:eastAsia="宋体" w:cs="宋体"/>
                <w:kern w:val="0"/>
                <w:sz w:val="21"/>
                <w:szCs w:val="21"/>
                <w:highlight w:val="none"/>
                <w:u w:val="none"/>
                <w:lang w:val="en-US" w:eastAsia="zh-CN" w:bidi="ar-SA"/>
              </w:rPr>
              <w:t>21</w:t>
            </w:r>
            <w:r>
              <w:rPr>
                <w:rFonts w:hint="eastAsia" w:ascii="宋体" w:hAnsi="宋体" w:eastAsia="宋体" w:cs="宋体"/>
                <w:kern w:val="0"/>
                <w:sz w:val="21"/>
                <w:szCs w:val="21"/>
                <w:highlight w:val="none"/>
                <w:lang w:val="en-US" w:eastAsia="en-US" w:bidi="ar-SA"/>
              </w:rPr>
              <w:t>年</w:t>
            </w:r>
            <w:r>
              <w:rPr>
                <w:rFonts w:hint="eastAsia" w:ascii="宋体" w:hAnsi="宋体" w:eastAsia="宋体" w:cs="宋体"/>
                <w:kern w:val="0"/>
                <w:sz w:val="21"/>
                <w:szCs w:val="21"/>
                <w:highlight w:val="none"/>
                <w:u w:val="none"/>
                <w:lang w:val="en-US" w:eastAsia="zh-CN" w:bidi="ar-SA"/>
              </w:rPr>
              <w:t>9</w:t>
            </w:r>
            <w:r>
              <w:rPr>
                <w:rFonts w:hint="eastAsia" w:ascii="宋体" w:hAnsi="宋体" w:eastAsia="宋体" w:cs="宋体"/>
                <w:kern w:val="0"/>
                <w:sz w:val="21"/>
                <w:szCs w:val="21"/>
                <w:highlight w:val="none"/>
                <w:lang w:val="en-US" w:eastAsia="en-US" w:bidi="ar-SA"/>
              </w:rPr>
              <w:t>月</w:t>
            </w:r>
            <w:r>
              <w:rPr>
                <w:rFonts w:hint="eastAsia" w:ascii="宋体" w:hAnsi="宋体" w:eastAsia="宋体" w:cs="宋体"/>
                <w:kern w:val="0"/>
                <w:sz w:val="21"/>
                <w:szCs w:val="21"/>
                <w:highlight w:val="none"/>
                <w:u w:val="none"/>
                <w:lang w:val="en-US" w:eastAsia="en-US" w:bidi="ar-SA"/>
              </w:rPr>
              <w:t>1</w:t>
            </w:r>
            <w:r>
              <w:rPr>
                <w:rFonts w:hint="eastAsia" w:ascii="宋体" w:hAnsi="宋体" w:eastAsia="宋体" w:cs="宋体"/>
                <w:kern w:val="0"/>
                <w:sz w:val="21"/>
                <w:szCs w:val="21"/>
                <w:highlight w:val="none"/>
                <w:lang w:val="en-US" w:eastAsia="en-US" w:bidi="ar-SA"/>
              </w:rPr>
              <w:t>日</w:t>
            </w:r>
            <w:r>
              <w:rPr>
                <w:rFonts w:hint="eastAsia" w:ascii="宋体" w:hAnsi="宋体" w:eastAsia="宋体" w:cs="宋体"/>
                <w:kern w:val="0"/>
                <w:sz w:val="21"/>
                <w:szCs w:val="21"/>
                <w:highlight w:val="none"/>
                <w:lang w:val="en-US" w:eastAsia="zh-CN" w:bidi="ar-SA"/>
              </w:rPr>
              <w:t>以来</w:t>
            </w:r>
          </w:p>
        </w:tc>
      </w:tr>
      <w:tr w14:paraId="052D50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0" w:hRule="atLeast"/>
          <w:jc w:val="center"/>
        </w:trPr>
        <w:tc>
          <w:tcPr>
            <w:tcW w:w="1123" w:type="dxa"/>
            <w:noWrap w:val="0"/>
            <w:vAlign w:val="center"/>
          </w:tcPr>
          <w:p w14:paraId="12B845F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3.6.1</w:t>
            </w:r>
          </w:p>
        </w:tc>
        <w:tc>
          <w:tcPr>
            <w:tcW w:w="2095" w:type="dxa"/>
            <w:noWrap w:val="0"/>
            <w:vAlign w:val="center"/>
          </w:tcPr>
          <w:p w14:paraId="0B386A1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是否允许递交备选投标方案</w:t>
            </w:r>
          </w:p>
        </w:tc>
        <w:tc>
          <w:tcPr>
            <w:tcW w:w="6320" w:type="dxa"/>
            <w:noWrap w:val="0"/>
            <w:vAlign w:val="center"/>
          </w:tcPr>
          <w:p w14:paraId="489D337E">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不允许</w:t>
            </w:r>
          </w:p>
          <w:p w14:paraId="729C94F0">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允许</w:t>
            </w:r>
          </w:p>
        </w:tc>
      </w:tr>
      <w:tr w14:paraId="55C099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65E9B0F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3.7.3（1）</w:t>
            </w:r>
          </w:p>
        </w:tc>
        <w:tc>
          <w:tcPr>
            <w:tcW w:w="2095" w:type="dxa"/>
            <w:noWrap w:val="0"/>
            <w:vAlign w:val="center"/>
          </w:tcPr>
          <w:p w14:paraId="0099DF34">
            <w:pPr>
              <w:keepNext w:val="0"/>
              <w:keepLines w:val="0"/>
              <w:pageBreakBefore w:val="0"/>
              <w:widowControl w:val="0"/>
              <w:kinsoku/>
              <w:wordWrap/>
              <w:overflowPunct/>
              <w:topLinePunct w:val="0"/>
              <w:bidi w:val="0"/>
              <w:snapToGrid/>
              <w:spacing w:beforeLines="0" w:afterLines="0" w:line="360" w:lineRule="auto"/>
              <w:ind w:left="0" w:leftChars="0" w:right="0" w:righ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投标文件所附证书证件要求</w:t>
            </w:r>
          </w:p>
        </w:tc>
        <w:tc>
          <w:tcPr>
            <w:tcW w:w="6320" w:type="dxa"/>
            <w:noWrap w:val="0"/>
            <w:vAlign w:val="center"/>
          </w:tcPr>
          <w:p w14:paraId="33F3AE77">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z w:val="21"/>
                <w:szCs w:val="21"/>
                <w:highlight w:val="none"/>
                <w:bdr w:val="single" w:color="auto" w:sz="4" w:space="0"/>
              </w:rPr>
            </w:pPr>
            <w:r>
              <w:rPr>
                <w:rFonts w:hint="eastAsia" w:ascii="宋体" w:hAnsi="宋体" w:eastAsia="宋体" w:cs="宋体"/>
                <w:color w:val="auto"/>
                <w:sz w:val="21"/>
                <w:szCs w:val="21"/>
                <w:highlight w:val="none"/>
              </w:rPr>
              <w:t>投标文件所附证书证件均为原件扫描件</w:t>
            </w:r>
            <w:r>
              <w:rPr>
                <w:rFonts w:hint="eastAsia" w:ascii="宋体" w:hAnsi="宋体" w:eastAsia="宋体" w:cs="宋体"/>
                <w:color w:val="auto"/>
                <w:sz w:val="21"/>
                <w:szCs w:val="21"/>
                <w:highlight w:val="none"/>
                <w:lang w:val="en-US" w:eastAsia="zh-CN"/>
              </w:rPr>
              <w:t>或复印件</w:t>
            </w:r>
            <w:r>
              <w:rPr>
                <w:rFonts w:hint="eastAsia" w:ascii="宋体" w:hAnsi="宋体" w:eastAsia="宋体" w:cs="宋体"/>
                <w:color w:val="auto"/>
                <w:sz w:val="21"/>
                <w:szCs w:val="21"/>
                <w:highlight w:val="none"/>
              </w:rPr>
              <w:t>或照片</w:t>
            </w:r>
          </w:p>
        </w:tc>
      </w:tr>
      <w:tr w14:paraId="0FDAED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1" w:hRule="atLeast"/>
          <w:jc w:val="center"/>
        </w:trPr>
        <w:tc>
          <w:tcPr>
            <w:tcW w:w="1123" w:type="dxa"/>
            <w:noWrap w:val="0"/>
            <w:vAlign w:val="center"/>
          </w:tcPr>
          <w:p w14:paraId="263A4C6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3.7.3（2）</w:t>
            </w:r>
          </w:p>
        </w:tc>
        <w:tc>
          <w:tcPr>
            <w:tcW w:w="2095" w:type="dxa"/>
            <w:noWrap w:val="0"/>
            <w:vAlign w:val="center"/>
          </w:tcPr>
          <w:p w14:paraId="4DDA1B3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投标文件签字或盖章要求</w:t>
            </w:r>
          </w:p>
        </w:tc>
        <w:tc>
          <w:tcPr>
            <w:tcW w:w="6320" w:type="dxa"/>
            <w:noWrap w:val="0"/>
            <w:vAlign w:val="center"/>
          </w:tcPr>
          <w:p w14:paraId="039E9E31">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上传的加密电子投标文件在要求签字盖章的地方加盖电子印章。投标人如授权委托代理人，投标人制作电子投标文件时，先上传签字并盖章后的授权委托书扫描件，再使用CA锁加盖电子公章和法定代表人签字电子章。</w:t>
            </w:r>
          </w:p>
        </w:tc>
      </w:tr>
      <w:tr w14:paraId="37FECC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68" w:hRule="atLeast"/>
          <w:jc w:val="center"/>
        </w:trPr>
        <w:tc>
          <w:tcPr>
            <w:tcW w:w="1123" w:type="dxa"/>
            <w:noWrap w:val="0"/>
            <w:vAlign w:val="center"/>
          </w:tcPr>
          <w:p w14:paraId="471FA7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4.1.1</w:t>
            </w:r>
          </w:p>
        </w:tc>
        <w:tc>
          <w:tcPr>
            <w:tcW w:w="2095" w:type="dxa"/>
            <w:noWrap w:val="0"/>
            <w:vAlign w:val="center"/>
          </w:tcPr>
          <w:p w14:paraId="043CBA2E">
            <w:pPr>
              <w:keepNext w:val="0"/>
              <w:keepLines w:val="0"/>
              <w:pageBreakBefore w:val="0"/>
              <w:widowControl w:val="0"/>
              <w:kinsoku/>
              <w:wordWrap/>
              <w:overflowPunct/>
              <w:topLinePunct w:val="0"/>
              <w:bidi w:val="0"/>
              <w:snapToGrid/>
              <w:spacing w:beforeLines="0" w:afterLines="0" w:line="360" w:lineRule="auto"/>
              <w:ind w:left="0" w:leftChars="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投标文件加密要求</w:t>
            </w:r>
          </w:p>
        </w:tc>
        <w:tc>
          <w:tcPr>
            <w:tcW w:w="6320" w:type="dxa"/>
            <w:noWrap w:val="0"/>
            <w:vAlign w:val="center"/>
          </w:tcPr>
          <w:p w14:paraId="1A17EAEE">
            <w:pPr>
              <w:keepNext w:val="0"/>
              <w:keepLines w:val="0"/>
              <w:pageBreakBefore w:val="0"/>
              <w:widowControl w:val="0"/>
              <w:kinsoku/>
              <w:wordWrap/>
              <w:overflowPunct/>
              <w:topLinePunct w:val="0"/>
              <w:bidi w:val="0"/>
              <w:snapToGrid/>
              <w:spacing w:beforeLines="0" w:afterLines="0" w:line="360" w:lineRule="auto"/>
              <w:jc w:val="both"/>
              <w:textAlignment w:val="auto"/>
              <w:outlineLvl w:val="9"/>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按照电子招标投标交易平台的要求加密投标文件</w:t>
            </w:r>
          </w:p>
        </w:tc>
      </w:tr>
      <w:tr w14:paraId="097081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0" w:hRule="atLeast"/>
          <w:jc w:val="center"/>
        </w:trPr>
        <w:tc>
          <w:tcPr>
            <w:tcW w:w="1123" w:type="dxa"/>
            <w:noWrap w:val="0"/>
            <w:vAlign w:val="center"/>
          </w:tcPr>
          <w:p w14:paraId="48650ED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4.2.1</w:t>
            </w:r>
          </w:p>
        </w:tc>
        <w:tc>
          <w:tcPr>
            <w:tcW w:w="2095" w:type="dxa"/>
            <w:noWrap w:val="0"/>
            <w:vAlign w:val="center"/>
          </w:tcPr>
          <w:p w14:paraId="028558D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投标截止时间</w:t>
            </w:r>
          </w:p>
        </w:tc>
        <w:tc>
          <w:tcPr>
            <w:tcW w:w="6320" w:type="dxa"/>
            <w:noWrap w:val="0"/>
            <w:vAlign w:val="center"/>
          </w:tcPr>
          <w:p w14:paraId="588C9673">
            <w:pPr>
              <w:widowControl/>
              <w:tabs>
                <w:tab w:val="left" w:pos="1157"/>
              </w:tabs>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2026年10月19日上午9时00分</w:t>
            </w:r>
            <w:r>
              <w:rPr>
                <w:rFonts w:hint="eastAsia" w:ascii="宋体" w:hAnsi="宋体" w:eastAsia="宋体" w:cs="宋体"/>
                <w:b/>
                <w:bCs/>
                <w:spacing w:val="-6"/>
                <w:kern w:val="0"/>
                <w:sz w:val="21"/>
                <w:szCs w:val="21"/>
                <w:highlight w:val="none"/>
              </w:rPr>
              <w:t>（北京时间）</w:t>
            </w:r>
          </w:p>
        </w:tc>
      </w:tr>
      <w:tr w14:paraId="7ED0F5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trPr>
        <w:tc>
          <w:tcPr>
            <w:tcW w:w="1123" w:type="dxa"/>
            <w:noWrap w:val="0"/>
            <w:vAlign w:val="center"/>
          </w:tcPr>
          <w:p w14:paraId="3B8180A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4.2.2</w:t>
            </w:r>
          </w:p>
        </w:tc>
        <w:tc>
          <w:tcPr>
            <w:tcW w:w="2095" w:type="dxa"/>
            <w:noWrap w:val="0"/>
            <w:vAlign w:val="center"/>
          </w:tcPr>
          <w:p w14:paraId="05E878E7">
            <w:pPr>
              <w:keepNext w:val="0"/>
              <w:keepLines w:val="0"/>
              <w:pageBreakBefore w:val="0"/>
              <w:widowControl w:val="0"/>
              <w:kinsoku/>
              <w:wordWrap/>
              <w:overflowPunct/>
              <w:topLinePunct w:val="0"/>
              <w:bidi w:val="0"/>
              <w:snapToGrid/>
              <w:spacing w:beforeLines="0" w:afterLines="0" w:line="360" w:lineRule="auto"/>
              <w:ind w:left="0" w:leftChars="0"/>
              <w:jc w:val="both"/>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递交投标文件地点</w:t>
            </w:r>
          </w:p>
        </w:tc>
        <w:tc>
          <w:tcPr>
            <w:tcW w:w="6320" w:type="dxa"/>
            <w:noWrap w:val="0"/>
            <w:vAlign w:val="center"/>
          </w:tcPr>
          <w:p w14:paraId="536D0F3F">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驻马店市公共资源交易平台系统</w:t>
            </w:r>
          </w:p>
          <w:p w14:paraId="00A3C364">
            <w:pPr>
              <w:keepNext w:val="0"/>
              <w:keepLines w:val="0"/>
              <w:pageBreakBefore w:val="0"/>
              <w:widowControl/>
              <w:kinsoku/>
              <w:wordWrap/>
              <w:overflowPunct/>
              <w:topLinePunct w:val="0"/>
              <w:bidi w:val="0"/>
              <w:snapToGrid/>
              <w:spacing w:beforeLines="0" w:afterLines="0" w:line="360" w:lineRule="auto"/>
              <w:jc w:val="both"/>
              <w:textAlignment w:val="auto"/>
              <w:outlineLvl w:val="9"/>
              <w:rPr>
                <w:rFonts w:hint="eastAsia" w:ascii="宋体" w:hAnsi="宋体" w:eastAsia="宋体" w:cs="宋体"/>
                <w:spacing w:val="-6"/>
                <w:kern w:val="0"/>
                <w:sz w:val="21"/>
                <w:szCs w:val="21"/>
                <w:highlight w:val="none"/>
              </w:rPr>
            </w:pPr>
            <w:r>
              <w:rPr>
                <w:rFonts w:hint="eastAsia" w:ascii="宋体" w:hAnsi="宋体" w:eastAsia="宋体" w:cs="宋体"/>
                <w:b/>
                <w:bCs/>
                <w:color w:val="auto"/>
                <w:sz w:val="21"/>
                <w:szCs w:val="21"/>
                <w:highlight w:val="none"/>
                <w:lang w:val="en-US" w:eastAsia="zh-CN"/>
              </w:rPr>
              <w:t>各投标人应在投标截止时间前上传加密的电子投标文件（*.zmdtf）到会员系统的指定位置。上传时必须得到电脑“上传成功”的确认回复后方为上传成功。请投标人在上传前务必认真检查上传投标文件是否完整、正确。</w:t>
            </w:r>
          </w:p>
        </w:tc>
      </w:tr>
      <w:tr w14:paraId="0DF092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7CED74C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4.2.3</w:t>
            </w:r>
          </w:p>
        </w:tc>
        <w:tc>
          <w:tcPr>
            <w:tcW w:w="2095" w:type="dxa"/>
            <w:noWrap w:val="0"/>
            <w:vAlign w:val="center"/>
          </w:tcPr>
          <w:p w14:paraId="5F329918">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投标文件是否退还</w:t>
            </w:r>
          </w:p>
        </w:tc>
        <w:tc>
          <w:tcPr>
            <w:tcW w:w="6320" w:type="dxa"/>
            <w:noWrap w:val="0"/>
            <w:vAlign w:val="center"/>
          </w:tcPr>
          <w:p w14:paraId="7A3EC840">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☑否</w:t>
            </w:r>
          </w:p>
          <w:p w14:paraId="57D254E3">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spacing w:val="-6"/>
                <w:kern w:val="0"/>
                <w:sz w:val="21"/>
                <w:szCs w:val="21"/>
                <w:highlight w:val="none"/>
                <w:lang w:val="en-US" w:eastAsia="zh-CN" w:bidi="ar-SA"/>
              </w:rPr>
              <w:t>□是，退还时间：</w:t>
            </w:r>
          </w:p>
        </w:tc>
      </w:tr>
      <w:tr w14:paraId="42968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atLeast"/>
          <w:jc w:val="center"/>
        </w:trPr>
        <w:tc>
          <w:tcPr>
            <w:tcW w:w="1123" w:type="dxa"/>
            <w:noWrap w:val="0"/>
            <w:vAlign w:val="center"/>
          </w:tcPr>
          <w:p w14:paraId="12AF0B27">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2095" w:type="dxa"/>
            <w:noWrap w:val="0"/>
            <w:vAlign w:val="center"/>
          </w:tcPr>
          <w:p w14:paraId="25E5EEF9">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开标时间和地点</w:t>
            </w:r>
          </w:p>
        </w:tc>
        <w:tc>
          <w:tcPr>
            <w:tcW w:w="6320" w:type="dxa"/>
            <w:noWrap w:val="0"/>
            <w:vAlign w:val="center"/>
          </w:tcPr>
          <w:p w14:paraId="2DD8C094">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开标时间：2026年10月19日9时00分（北京时间）</w:t>
            </w:r>
          </w:p>
          <w:p w14:paraId="38FF9217">
            <w:pPr>
              <w:widowControl w:val="0"/>
              <w:adjustRightInd w:val="0"/>
              <w:snapToGrid w:val="0"/>
              <w:spacing w:beforeLines="0" w:afterLines="0" w:line="360" w:lineRule="auto"/>
              <w:ind w:left="0" w:leftChars="0"/>
              <w:jc w:val="both"/>
              <w:rPr>
                <w:rFonts w:hint="eastAsia" w:ascii="宋体" w:hAnsi="宋体" w:eastAsia="宋体" w:cs="宋体"/>
                <w:b/>
                <w:bCs/>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开标地点：驻马店市公共资源交易平台不见面开标大厅</w:t>
            </w:r>
          </w:p>
          <w:p w14:paraId="30DDCE20">
            <w:pPr>
              <w:widowControl w:val="0"/>
              <w:adjustRightInd w:val="0"/>
              <w:snapToGrid w:val="0"/>
              <w:spacing w:beforeLines="0" w:afterLines="0" w:line="360" w:lineRule="auto"/>
              <w:ind w:left="0" w:leftChars="0"/>
              <w:jc w:val="both"/>
              <w:rPr>
                <w:rFonts w:hint="eastAsia" w:ascii="宋体" w:hAnsi="宋体" w:eastAsia="宋体" w:cs="宋体"/>
                <w:spacing w:val="-6"/>
                <w:kern w:val="0"/>
                <w:sz w:val="21"/>
                <w:szCs w:val="21"/>
                <w:highlight w:val="none"/>
                <w:lang w:val="en-US" w:eastAsia="zh-CN" w:bidi="ar-SA"/>
              </w:rPr>
            </w:pPr>
            <w:r>
              <w:rPr>
                <w:rFonts w:hint="eastAsia" w:ascii="宋体" w:hAnsi="宋体" w:eastAsia="宋体" w:cs="宋体"/>
                <w:b/>
                <w:bCs/>
                <w:spacing w:val="-6"/>
                <w:kern w:val="0"/>
                <w:sz w:val="21"/>
                <w:szCs w:val="21"/>
                <w:highlight w:val="none"/>
                <w:lang w:val="en-US" w:eastAsia="zh-CN" w:bidi="ar-SA"/>
              </w:rPr>
              <w:t>（电子投标文件必须凭制作投标文件所用的 CA 密钥在30分钟内完成解密）。</w:t>
            </w:r>
          </w:p>
        </w:tc>
      </w:tr>
      <w:tr w14:paraId="088211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4C3C8AF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5.2</w:t>
            </w:r>
          </w:p>
        </w:tc>
        <w:tc>
          <w:tcPr>
            <w:tcW w:w="2095" w:type="dxa"/>
            <w:noWrap w:val="0"/>
            <w:vAlign w:val="center"/>
          </w:tcPr>
          <w:p w14:paraId="2FD4B4D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开标程序</w:t>
            </w:r>
          </w:p>
        </w:tc>
        <w:tc>
          <w:tcPr>
            <w:tcW w:w="6320" w:type="dxa"/>
            <w:noWrap w:val="0"/>
            <w:vAlign w:val="top"/>
          </w:tcPr>
          <w:p w14:paraId="09EF4694">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left="0" w:leftChars="0"/>
              <w:jc w:val="both"/>
              <w:textAlignment w:val="auto"/>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w:t>
            </w:r>
            <w:r>
              <w:rPr>
                <w:rFonts w:hint="eastAsia" w:ascii="宋体" w:hAnsi="宋体" w:eastAsia="宋体" w:cs="宋体"/>
                <w:b/>
                <w:bCs/>
                <w:kern w:val="0"/>
                <w:sz w:val="21"/>
                <w:szCs w:val="21"/>
                <w:highlight w:val="none"/>
                <w:lang w:val="en-US" w:eastAsia="zh-CN" w:bidi="ar-SA"/>
              </w:rPr>
              <w:t>因投标人原因未能解密、解密失败或解密超时，视为投标人撤销其投标文件，系统内投标文件将被退回</w:t>
            </w:r>
            <w:r>
              <w:rPr>
                <w:rFonts w:hint="eastAsia" w:ascii="宋体" w:hAnsi="宋体" w:eastAsia="宋体" w:cs="宋体"/>
                <w:kern w:val="0"/>
                <w:sz w:val="21"/>
                <w:szCs w:val="21"/>
                <w:highlight w:val="none"/>
                <w:lang w:val="en-US" w:eastAsia="zh-CN" w:bidi="ar-SA"/>
              </w:rPr>
              <w:t>；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D969BBC">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2、在投标截止时间前，各投标人必须在网上开标系统内完成签到，否则其投标按无效标处理，系统内投标文件将被退回。</w:t>
            </w:r>
          </w:p>
        </w:tc>
      </w:tr>
      <w:tr w14:paraId="189B25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703954E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5.3</w:t>
            </w:r>
          </w:p>
        </w:tc>
        <w:tc>
          <w:tcPr>
            <w:tcW w:w="2095" w:type="dxa"/>
            <w:noWrap w:val="0"/>
            <w:vAlign w:val="center"/>
          </w:tcPr>
          <w:p w14:paraId="5EF18DA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开标异议</w:t>
            </w:r>
          </w:p>
        </w:tc>
        <w:tc>
          <w:tcPr>
            <w:tcW w:w="6320" w:type="dxa"/>
            <w:noWrap w:val="0"/>
            <w:vAlign w:val="top"/>
          </w:tcPr>
          <w:p w14:paraId="3C52613F">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投标人对开标有异议的，应当在开标环节提出，招标人当场作出答复，并制作记录。</w:t>
            </w:r>
          </w:p>
        </w:tc>
      </w:tr>
      <w:tr w14:paraId="17D234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0D6583CC">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6.1.1</w:t>
            </w:r>
          </w:p>
        </w:tc>
        <w:tc>
          <w:tcPr>
            <w:tcW w:w="2095" w:type="dxa"/>
            <w:noWrap w:val="0"/>
            <w:vAlign w:val="center"/>
          </w:tcPr>
          <w:p w14:paraId="48544F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评标委员会的组建</w:t>
            </w:r>
          </w:p>
        </w:tc>
        <w:tc>
          <w:tcPr>
            <w:tcW w:w="6320" w:type="dxa"/>
            <w:noWrap w:val="0"/>
            <w:vAlign w:val="center"/>
          </w:tcPr>
          <w:p w14:paraId="40C63C61">
            <w:pPr>
              <w:widowControl/>
              <w:autoSpaceDE/>
              <w:autoSpaceDN/>
              <w:adjustRightInd w:val="0"/>
              <w:spacing w:beforeLines="0" w:afterLines="0" w:line="360" w:lineRule="auto"/>
              <w:ind w:right="0" w:rightChars="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评标委员会由招标人依法组建，由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5 </w:t>
            </w:r>
            <w:r>
              <w:rPr>
                <w:rFonts w:hint="eastAsia" w:ascii="宋体" w:hAnsi="宋体" w:eastAsia="宋体" w:cs="宋体"/>
                <w:color w:val="auto"/>
                <w:kern w:val="0"/>
                <w:sz w:val="21"/>
                <w:szCs w:val="21"/>
                <w:highlight w:val="none"/>
              </w:rPr>
              <w:t>人组成；</w:t>
            </w:r>
          </w:p>
          <w:p w14:paraId="18A7AAE1">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5C1E70F5">
            <w:pPr>
              <w:widowControl/>
              <w:wordWrap w:val="0"/>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人（招标人代表应当从招标人本单位、本级系统内正式工作人员或河南省综合评标专家库本行业专家中产生。）</w:t>
            </w:r>
          </w:p>
          <w:p w14:paraId="4452DDDB">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4 </w:t>
            </w:r>
            <w:r>
              <w:rPr>
                <w:rFonts w:hint="eastAsia" w:ascii="宋体" w:hAnsi="宋体" w:eastAsia="宋体" w:cs="宋体"/>
                <w:color w:val="auto"/>
                <w:sz w:val="21"/>
                <w:szCs w:val="21"/>
                <w:highlight w:val="none"/>
              </w:rPr>
              <w:t>人；</w:t>
            </w:r>
          </w:p>
          <w:p w14:paraId="08DDA4E5">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24EE04DE">
            <w:pPr>
              <w:widowControl/>
              <w:adjustRightInd w:val="0"/>
              <w:snapToGrid w:val="0"/>
              <w:spacing w:beforeLines="0" w:afterLines="0"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2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开标时在监督部门的监督下</w:t>
            </w:r>
            <w:r>
              <w:rPr>
                <w:rFonts w:hint="eastAsia" w:ascii="宋体" w:hAnsi="宋体" w:eastAsia="宋体" w:cs="宋体"/>
                <w:color w:val="auto"/>
                <w:sz w:val="21"/>
                <w:szCs w:val="21"/>
                <w:highlight w:val="none"/>
              </w:rPr>
              <w:t>从《河南省综合专家库》中采用电脑随机抽签方式确定，</w:t>
            </w:r>
            <w:r>
              <w:rPr>
                <w:rFonts w:hint="eastAsia" w:ascii="宋体" w:hAnsi="宋体" w:eastAsia="宋体" w:cs="宋体"/>
                <w:color w:val="auto"/>
                <w:kern w:val="0"/>
                <w:sz w:val="21"/>
                <w:szCs w:val="21"/>
                <w:highlight w:val="none"/>
              </w:rPr>
              <w:t>负责评标活动。</w:t>
            </w:r>
            <w:r>
              <w:rPr>
                <w:rFonts w:hint="eastAsia" w:ascii="宋体" w:hAnsi="宋体" w:eastAsia="宋体" w:cs="宋体"/>
                <w:color w:val="auto"/>
                <w:sz w:val="21"/>
                <w:szCs w:val="21"/>
                <w:highlight w:val="none"/>
              </w:rPr>
              <w:t>（默认）</w:t>
            </w:r>
          </w:p>
          <w:p w14:paraId="02C96D9A">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kern w:val="0"/>
                <w:sz w:val="21"/>
                <w:szCs w:val="21"/>
                <w:highlight w:val="none"/>
              </w:rPr>
              <w:t xml:space="preserve">     </w:t>
            </w:r>
          </w:p>
        </w:tc>
      </w:tr>
      <w:tr w14:paraId="67CC26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A7571D0">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6.3.2</w:t>
            </w:r>
          </w:p>
        </w:tc>
        <w:tc>
          <w:tcPr>
            <w:tcW w:w="2095" w:type="dxa"/>
            <w:noWrap w:val="0"/>
            <w:vAlign w:val="center"/>
          </w:tcPr>
          <w:p w14:paraId="333DB29F">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评标委员会推荐中标候选人的人数</w:t>
            </w:r>
          </w:p>
        </w:tc>
        <w:tc>
          <w:tcPr>
            <w:tcW w:w="6320" w:type="dxa"/>
            <w:noWrap w:val="0"/>
            <w:vAlign w:val="center"/>
          </w:tcPr>
          <w:p w14:paraId="1F5F9ECF">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推荐中标候选人：</w:t>
            </w:r>
          </w:p>
          <w:p w14:paraId="6F01BC9E">
            <w:pPr>
              <w:keepNext w:val="0"/>
              <w:keepLines w:val="0"/>
              <w:widowControl/>
              <w:suppressLineNumbers w:val="0"/>
              <w:spacing w:before="0" w:beforeLines="0" w:beforeAutospacing="0" w:after="0" w:afterLines="0" w:afterAutospacing="0" w:line="360" w:lineRule="auto"/>
              <w:ind w:left="0" w:right="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评标委员会对进入详细评审阶段的有效投标人按照招标文件要求进行评审，并按得分由高到低顺序推荐中标候选人。</w:t>
            </w:r>
          </w:p>
          <w:p w14:paraId="68103002">
            <w:pPr>
              <w:keepNext w:val="0"/>
              <w:keepLines w:val="0"/>
              <w:widowControl/>
              <w:numPr>
                <w:ilvl w:val="0"/>
                <w:numId w:val="0"/>
              </w:numPr>
              <w:suppressLineNumbers w:val="0"/>
              <w:spacing w:before="0" w:beforeLines="0" w:beforeAutospacing="0" w:after="0" w:afterLines="0" w:afterAutospacing="0" w:line="360" w:lineRule="auto"/>
              <w:ind w:left="0" w:right="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（1）当有效投标人数量为3至10家（含10家）时，全部推荐为中标候选人；</w:t>
            </w:r>
          </w:p>
          <w:p w14:paraId="60DCD4E5">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（2）当有效投标人数量大于10家时，推荐前10名为中标候选人。10名内末位总得分并列的同时推荐为中标候选人。</w:t>
            </w:r>
          </w:p>
        </w:tc>
      </w:tr>
      <w:tr w14:paraId="44EA89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21E677B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7.1</w:t>
            </w:r>
          </w:p>
        </w:tc>
        <w:tc>
          <w:tcPr>
            <w:tcW w:w="2095" w:type="dxa"/>
            <w:noWrap w:val="0"/>
            <w:vAlign w:val="top"/>
          </w:tcPr>
          <w:p w14:paraId="26777F00">
            <w:pPr>
              <w:keepNext w:val="0"/>
              <w:keepLines w:val="0"/>
              <w:pageBreakBefore w:val="0"/>
              <w:widowControl w:val="0"/>
              <w:kinsoku/>
              <w:wordWrap/>
              <w:overflowPunct/>
              <w:topLinePunct w:val="0"/>
              <w:bidi w:val="0"/>
              <w:snapToGrid/>
              <w:spacing w:beforeLines="0" w:afterLines="0" w:line="360" w:lineRule="auto"/>
              <w:ind w:left="0" w:leftChars="0"/>
              <w:jc w:val="center"/>
              <w:textAlignment w:val="auto"/>
              <w:outlineLvl w:val="9"/>
              <w:rPr>
                <w:rFonts w:hint="eastAsia" w:ascii="宋体" w:hAnsi="宋体" w:eastAsia="宋体" w:cs="宋体"/>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中标候选人公示媒介及期限</w:t>
            </w:r>
          </w:p>
        </w:tc>
        <w:tc>
          <w:tcPr>
            <w:tcW w:w="6320" w:type="dxa"/>
            <w:noWrap w:val="0"/>
            <w:vAlign w:val="top"/>
          </w:tcPr>
          <w:p w14:paraId="217918C5">
            <w:pPr>
              <w:keepNext w:val="0"/>
              <w:keepLines w:val="0"/>
              <w:pageBreakBefore w:val="0"/>
              <w:widowControl w:val="0"/>
              <w:kinsoku/>
              <w:wordWrap/>
              <w:overflowPunct/>
              <w:topLinePunct w:val="0"/>
              <w:bidi w:val="0"/>
              <w:snapToGrid/>
              <w:spacing w:beforeLines="0" w:afterLines="0" w:line="360" w:lineRule="auto"/>
              <w:textAlignment w:val="auto"/>
              <w:outlineLvl w:val="9"/>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公示媒介：同</w:t>
            </w:r>
            <w:r>
              <w:rPr>
                <w:rFonts w:hint="eastAsia" w:ascii="宋体" w:hAnsi="宋体" w:eastAsia="宋体" w:cs="宋体"/>
                <w:color w:val="auto"/>
                <w:kern w:val="0"/>
                <w:sz w:val="21"/>
                <w:szCs w:val="21"/>
                <w:highlight w:val="none"/>
                <w:lang w:val="en-US" w:eastAsia="zh-CN" w:bidi="ar-SA"/>
              </w:rPr>
              <w:t>招标</w:t>
            </w:r>
            <w:r>
              <w:rPr>
                <w:rFonts w:hint="eastAsia" w:ascii="宋体" w:hAnsi="宋体" w:eastAsia="宋体" w:cs="宋体"/>
                <w:color w:val="auto"/>
                <w:kern w:val="0"/>
                <w:sz w:val="21"/>
                <w:szCs w:val="21"/>
                <w:highlight w:val="none"/>
                <w:lang w:val="en-US" w:eastAsia="en-US" w:bidi="ar-SA"/>
              </w:rPr>
              <w:t>公告发布媒介</w:t>
            </w:r>
          </w:p>
          <w:p w14:paraId="6B99CB2A">
            <w:pPr>
              <w:keepNext w:val="0"/>
              <w:keepLines w:val="0"/>
              <w:pageBreakBefore w:val="0"/>
              <w:widowControl w:val="0"/>
              <w:kinsoku/>
              <w:wordWrap/>
              <w:overflowPunct/>
              <w:topLinePunct w:val="0"/>
              <w:bidi w:val="0"/>
              <w:snapToGrid/>
              <w:spacing w:beforeLines="0" w:afterLines="0" w:line="360" w:lineRule="auto"/>
              <w:textAlignment w:val="auto"/>
              <w:outlineLvl w:val="9"/>
              <w:rPr>
                <w:rFonts w:hint="eastAsia" w:ascii="宋体" w:hAnsi="宋体" w:eastAsia="宋体" w:cs="宋体"/>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en-US" w:bidi="ar-SA"/>
              </w:rPr>
              <w:t>公示期限：不少于3日</w:t>
            </w:r>
          </w:p>
        </w:tc>
      </w:tr>
      <w:tr w14:paraId="39CDF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1123" w:type="dxa"/>
            <w:noWrap w:val="0"/>
            <w:vAlign w:val="center"/>
          </w:tcPr>
          <w:p w14:paraId="0051FD2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7.4</w:t>
            </w:r>
          </w:p>
        </w:tc>
        <w:tc>
          <w:tcPr>
            <w:tcW w:w="2095" w:type="dxa"/>
            <w:noWrap w:val="0"/>
            <w:vAlign w:val="center"/>
          </w:tcPr>
          <w:p w14:paraId="6B44900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是否授权评标委员会确定中标人</w:t>
            </w:r>
          </w:p>
        </w:tc>
        <w:tc>
          <w:tcPr>
            <w:tcW w:w="6320" w:type="dxa"/>
            <w:noWrap w:val="0"/>
            <w:vAlign w:val="center"/>
          </w:tcPr>
          <w:p w14:paraId="7F44A2B9">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zh-CN" w:bidi="ar-SA"/>
              </w:rPr>
              <w:t>□</w:t>
            </w:r>
            <w:r>
              <w:rPr>
                <w:rFonts w:hint="eastAsia" w:ascii="宋体" w:hAnsi="宋体" w:eastAsia="宋体" w:cs="宋体"/>
                <w:kern w:val="0"/>
                <w:sz w:val="21"/>
                <w:szCs w:val="21"/>
                <w:highlight w:val="none"/>
                <w:lang w:val="en-US" w:eastAsia="en-US" w:bidi="ar-SA"/>
              </w:rPr>
              <w:t>是</w:t>
            </w:r>
          </w:p>
          <w:p w14:paraId="1B68C635">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shd w:val="clear" w:color="auto" w:fill="FFFFFF"/>
                <w:lang w:val="en-US" w:eastAsia="en-US" w:bidi="ar-SA"/>
              </w:rPr>
              <w:t>☑</w:t>
            </w:r>
            <w:r>
              <w:rPr>
                <w:rFonts w:hint="eastAsia" w:ascii="宋体" w:hAnsi="宋体" w:eastAsia="宋体" w:cs="宋体"/>
                <w:kern w:val="0"/>
                <w:sz w:val="21"/>
                <w:szCs w:val="21"/>
                <w:highlight w:val="none"/>
                <w:lang w:val="en-US" w:eastAsia="en-US" w:bidi="ar-SA"/>
              </w:rPr>
              <w:t>否</w:t>
            </w:r>
          </w:p>
        </w:tc>
      </w:tr>
      <w:tr w14:paraId="22B49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123" w:type="dxa"/>
            <w:noWrap w:val="0"/>
            <w:vAlign w:val="center"/>
          </w:tcPr>
          <w:p w14:paraId="01208DBB">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7.6.1</w:t>
            </w:r>
          </w:p>
        </w:tc>
        <w:tc>
          <w:tcPr>
            <w:tcW w:w="2095" w:type="dxa"/>
            <w:noWrap w:val="0"/>
            <w:vAlign w:val="center"/>
          </w:tcPr>
          <w:p w14:paraId="3D24617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履约保证金</w:t>
            </w:r>
          </w:p>
        </w:tc>
        <w:tc>
          <w:tcPr>
            <w:tcW w:w="6320" w:type="dxa"/>
            <w:noWrap w:val="0"/>
            <w:vAlign w:val="center"/>
          </w:tcPr>
          <w:p w14:paraId="6CE97982">
            <w:pPr>
              <w:widowControl w:val="0"/>
              <w:adjustRightInd w:val="0"/>
              <w:snapToGrid w:val="0"/>
              <w:spacing w:beforeLines="0" w:afterLines="0" w:line="360" w:lineRule="auto"/>
              <w:ind w:left="0" w:leftChars="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是否要求中标人提交履约保证金：</w:t>
            </w:r>
          </w:p>
          <w:p w14:paraId="6565453B">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☑要求，履约保证金的形式：现金转账或保函</w:t>
            </w:r>
          </w:p>
          <w:p w14:paraId="72899F73">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履约保证金金额：中标价的8%</w:t>
            </w:r>
          </w:p>
          <w:p w14:paraId="5C39E114">
            <w:pPr>
              <w:widowControl/>
              <w:adjustRightInd w:val="0"/>
              <w:snapToGrid w:val="0"/>
              <w:spacing w:beforeLines="0" w:afterLines="0" w:line="360" w:lineRule="auto"/>
              <w:ind w:left="0" w:left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证金递交时间：招标人确定中标人后，中标人应在接到招标人通知后5日内，将保证金打入招标人指定账户或按照招标人要求的形式提交其他保证。逾期未缴纳的取消其中标资格（投标时应对缴纳时间、缴纳金额做出响应，否则将被否决其投标）。</w:t>
            </w:r>
          </w:p>
          <w:p w14:paraId="58BF2C34">
            <w:pPr>
              <w:widowControl/>
              <w:adjustRightInd w:val="0"/>
              <w:snapToGrid w:val="0"/>
              <w:spacing w:beforeLines="0" w:afterLines="0" w:line="360" w:lineRule="auto"/>
              <w:ind w:left="0" w:left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不要求</w:t>
            </w:r>
          </w:p>
        </w:tc>
      </w:tr>
      <w:tr w14:paraId="1A2096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1123" w:type="dxa"/>
            <w:noWrap w:val="0"/>
            <w:vAlign w:val="center"/>
          </w:tcPr>
          <w:p w14:paraId="702702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2095" w:type="dxa"/>
            <w:noWrap w:val="0"/>
            <w:vAlign w:val="center"/>
          </w:tcPr>
          <w:p w14:paraId="775FA7F2">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是否采用电子招标投标</w:t>
            </w:r>
          </w:p>
        </w:tc>
        <w:tc>
          <w:tcPr>
            <w:tcW w:w="6320" w:type="dxa"/>
            <w:noWrap w:val="0"/>
            <w:vAlign w:val="center"/>
          </w:tcPr>
          <w:p w14:paraId="42D2F30A">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□否</w:t>
            </w:r>
          </w:p>
          <w:p w14:paraId="5A01BD04">
            <w:pPr>
              <w:widowControl w:val="0"/>
              <w:adjustRightInd w:val="0"/>
              <w:snapToGrid w:val="0"/>
              <w:spacing w:beforeLines="0" w:afterLines="0" w:line="360" w:lineRule="auto"/>
              <w:ind w:left="0" w:leftChars="0"/>
              <w:jc w:val="both"/>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shd w:val="clear" w:color="auto" w:fill="FFFFFF"/>
                <w:lang w:val="en-US" w:eastAsia="zh-CN" w:bidi="ar-SA"/>
              </w:rPr>
              <w:t>☑</w:t>
            </w:r>
            <w:r>
              <w:rPr>
                <w:rFonts w:hint="eastAsia" w:ascii="宋体" w:hAnsi="宋体" w:eastAsia="宋体" w:cs="宋体"/>
                <w:kern w:val="0"/>
                <w:sz w:val="21"/>
                <w:szCs w:val="21"/>
                <w:highlight w:val="none"/>
                <w:lang w:val="en-US" w:eastAsia="zh-CN" w:bidi="ar-SA"/>
              </w:rPr>
              <w:t>是，具体要求：投标截止时间前在</w:t>
            </w:r>
            <w:r>
              <w:rPr>
                <w:rFonts w:hint="eastAsia" w:ascii="宋体" w:hAnsi="宋体" w:eastAsia="宋体" w:cs="宋体"/>
                <w:spacing w:val="-6"/>
                <w:kern w:val="0"/>
                <w:sz w:val="21"/>
                <w:szCs w:val="21"/>
                <w:highlight w:val="none"/>
                <w:lang w:val="en-US" w:eastAsia="en-US" w:bidi="ar-SA"/>
              </w:rPr>
              <w:t>驻马店市公共资源</w:t>
            </w:r>
            <w:r>
              <w:rPr>
                <w:rFonts w:hint="eastAsia" w:ascii="宋体" w:hAnsi="宋体" w:eastAsia="宋体" w:cs="宋体"/>
                <w:spacing w:val="-6"/>
                <w:kern w:val="0"/>
                <w:sz w:val="21"/>
                <w:szCs w:val="21"/>
                <w:highlight w:val="none"/>
                <w:lang w:val="en-US" w:eastAsia="zh-CN" w:bidi="ar-SA"/>
              </w:rPr>
              <w:t>交易平台</w:t>
            </w:r>
            <w:r>
              <w:rPr>
                <w:rFonts w:hint="eastAsia" w:ascii="宋体" w:hAnsi="宋体" w:eastAsia="宋体" w:cs="宋体"/>
                <w:kern w:val="0"/>
                <w:sz w:val="21"/>
                <w:szCs w:val="21"/>
                <w:highlight w:val="none"/>
                <w:lang w:val="en-US" w:eastAsia="zh-CN" w:bidi="ar-SA"/>
              </w:rPr>
              <w:t>交易系统中上传加密电子投标文件。</w:t>
            </w:r>
          </w:p>
        </w:tc>
      </w:tr>
      <w:tr w14:paraId="33B1F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6" w:hRule="atLeast"/>
          <w:jc w:val="center"/>
        </w:trPr>
        <w:tc>
          <w:tcPr>
            <w:tcW w:w="1123" w:type="dxa"/>
            <w:noWrap w:val="0"/>
            <w:vAlign w:val="center"/>
          </w:tcPr>
          <w:p w14:paraId="51EA86B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10</w:t>
            </w:r>
          </w:p>
        </w:tc>
        <w:tc>
          <w:tcPr>
            <w:tcW w:w="8415" w:type="dxa"/>
            <w:gridSpan w:val="2"/>
            <w:noWrap w:val="0"/>
            <w:vAlign w:val="center"/>
          </w:tcPr>
          <w:p w14:paraId="2F5E08D9">
            <w:pPr>
              <w:widowControl w:val="0"/>
              <w:adjustRightInd w:val="0"/>
              <w:snapToGrid w:val="0"/>
              <w:spacing w:beforeLines="0" w:afterLines="0" w:line="360" w:lineRule="auto"/>
              <w:ind w:left="0" w:lef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需要补充的其他内容</w:t>
            </w:r>
          </w:p>
        </w:tc>
      </w:tr>
      <w:tr w14:paraId="59E7D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123" w:type="dxa"/>
            <w:noWrap w:val="0"/>
            <w:vAlign w:val="center"/>
          </w:tcPr>
          <w:p w14:paraId="6DC856AA">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10.1</w:t>
            </w:r>
          </w:p>
        </w:tc>
        <w:tc>
          <w:tcPr>
            <w:tcW w:w="2095" w:type="dxa"/>
            <w:tcBorders>
              <w:right w:val="single" w:color="auto" w:sz="4" w:space="0"/>
            </w:tcBorders>
            <w:noWrap w:val="0"/>
            <w:vAlign w:val="center"/>
          </w:tcPr>
          <w:p w14:paraId="35477C8F">
            <w:pPr>
              <w:widowControl/>
              <w:wordWrap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Cs w:val="21"/>
                <w:highlight w:val="none"/>
              </w:rPr>
              <w:t>类似项目</w:t>
            </w:r>
          </w:p>
        </w:tc>
        <w:tc>
          <w:tcPr>
            <w:tcW w:w="6320" w:type="dxa"/>
            <w:tcBorders>
              <w:left w:val="single" w:color="auto" w:sz="4" w:space="0"/>
            </w:tcBorders>
            <w:noWrap w:val="0"/>
            <w:vAlign w:val="center"/>
          </w:tcPr>
          <w:p w14:paraId="114450BE">
            <w:pPr>
              <w:widowControl/>
              <w:wordWrap w:val="0"/>
              <w:adjustRightInd w:val="0"/>
              <w:snapToGrid w:val="0"/>
              <w:spacing w:beforeLines="0" w:afterLines="0" w:line="360" w:lineRule="auto"/>
              <w:jc w:val="left"/>
              <w:rPr>
                <w:rFonts w:hint="eastAsia" w:ascii="宋体" w:hAnsi="宋体" w:eastAsia="宋体" w:cs="宋体"/>
                <w:sz w:val="21"/>
                <w:szCs w:val="21"/>
                <w:highlight w:val="none"/>
              </w:rPr>
            </w:pPr>
            <w:r>
              <w:rPr>
                <w:rFonts w:hint="eastAsia" w:ascii="宋体" w:hAnsi="宋体" w:eastAsia="宋体" w:cs="宋体"/>
                <w:color w:val="auto"/>
                <w:szCs w:val="21"/>
                <w:highlight w:val="none"/>
              </w:rPr>
              <w:t>类似项目是指：</w:t>
            </w:r>
            <w:r>
              <w:rPr>
                <w:rFonts w:hint="eastAsia" w:ascii="宋体" w:hAnsi="宋体" w:eastAsia="宋体" w:cs="宋体"/>
                <w:b/>
                <w:bCs/>
                <w:color w:val="auto"/>
                <w:szCs w:val="21"/>
                <w:highlight w:val="none"/>
              </w:rPr>
              <w:t>大型水库或大（1）型水闸金属结构设备（含闸门或启闭机）</w:t>
            </w:r>
          </w:p>
        </w:tc>
      </w:tr>
      <w:tr w14:paraId="07E41B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1" w:hRule="atLeast"/>
          <w:jc w:val="center"/>
        </w:trPr>
        <w:tc>
          <w:tcPr>
            <w:tcW w:w="1123" w:type="dxa"/>
            <w:noWrap w:val="0"/>
            <w:vAlign w:val="center"/>
          </w:tcPr>
          <w:p w14:paraId="37BC7C8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10.2</w:t>
            </w:r>
          </w:p>
        </w:tc>
        <w:tc>
          <w:tcPr>
            <w:tcW w:w="2095" w:type="dxa"/>
            <w:tcBorders>
              <w:right w:val="single" w:color="auto" w:sz="4" w:space="0"/>
            </w:tcBorders>
            <w:noWrap w:val="0"/>
            <w:vAlign w:val="center"/>
          </w:tcPr>
          <w:p w14:paraId="06773AB5">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原件</w:t>
            </w:r>
          </w:p>
        </w:tc>
        <w:tc>
          <w:tcPr>
            <w:tcW w:w="6320" w:type="dxa"/>
            <w:tcBorders>
              <w:left w:val="single" w:color="auto" w:sz="4" w:space="0"/>
            </w:tcBorders>
            <w:noWrap w:val="0"/>
            <w:vAlign w:val="center"/>
          </w:tcPr>
          <w:p w14:paraId="0C3CC225">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i w:val="0"/>
                <w:iCs w:val="0"/>
                <w:color w:val="auto"/>
                <w:kern w:val="0"/>
                <w:sz w:val="21"/>
                <w:szCs w:val="21"/>
                <w:highlight w:val="none"/>
                <w:lang w:val="en-US" w:eastAsia="zh-CN" w:bidi="ar-SA"/>
              </w:rPr>
              <w:t>投标人无需到达现场提交原件资料。</w:t>
            </w:r>
            <w:r>
              <w:rPr>
                <w:rFonts w:hint="eastAsia" w:ascii="宋体" w:hAnsi="宋体" w:eastAsia="宋体" w:cs="宋体"/>
                <w:b/>
                <w:bCs/>
                <w:i w:val="0"/>
                <w:iCs w:val="0"/>
                <w:color w:val="auto"/>
                <w:kern w:val="0"/>
                <w:sz w:val="21"/>
                <w:szCs w:val="21"/>
                <w:highlight w:val="none"/>
                <w:lang w:val="en-US" w:eastAsia="zh-CN" w:bidi="ar-SA"/>
              </w:rPr>
              <w:t>投标人编制的“其他内容”应附有相关证明材料扫描件或复印件。投标人自行对此次投标提供的所有资料和证明文件等材料的真实性负责，若弄虚作假被查实，承担相应法律责任，按规定接受相关处罚，如中标，中标结果无效。</w:t>
            </w:r>
          </w:p>
        </w:tc>
      </w:tr>
      <w:tr w14:paraId="569FC1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29" w:hRule="atLeast"/>
          <w:jc w:val="center"/>
        </w:trPr>
        <w:tc>
          <w:tcPr>
            <w:tcW w:w="1123" w:type="dxa"/>
            <w:noWrap w:val="0"/>
            <w:vAlign w:val="center"/>
          </w:tcPr>
          <w:p w14:paraId="498A08C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10.3</w:t>
            </w:r>
          </w:p>
        </w:tc>
        <w:tc>
          <w:tcPr>
            <w:tcW w:w="2095" w:type="dxa"/>
            <w:noWrap w:val="0"/>
            <w:vAlign w:val="center"/>
          </w:tcPr>
          <w:p w14:paraId="2A72973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远程开标事项说明</w:t>
            </w:r>
          </w:p>
        </w:tc>
        <w:tc>
          <w:tcPr>
            <w:tcW w:w="6320" w:type="dxa"/>
            <w:noWrap w:val="0"/>
            <w:vAlign w:val="center"/>
          </w:tcPr>
          <w:p w14:paraId="7DE3B318">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（1）本项目采用电子化进行招标。投标人应当在投标文件递交截止时间前，在线准时参加开标活动并进行文件解密、答疑澄清等。</w:t>
            </w:r>
          </w:p>
          <w:p w14:paraId="2F0F7F93">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（2）因投标人自身原因而导致投标文件无法导入电子招标投标交易平台电子开标、评标系统，该投标视为无效投标，投标人自行承担由此导致的全部责任。</w:t>
            </w:r>
          </w:p>
          <w:p w14:paraId="78B6CC7C">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（3）若在整个投标、开标、评标等招标过程中，由于系统异常出现特殊情况时，招标人将上报监督部门，依据监督部门意见暂停或推迟投标、开标、评标等招标事宜。</w:t>
            </w:r>
          </w:p>
          <w:p w14:paraId="4E10EE0C">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right="0" w:hanging="1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（4）本项目在驻马店市公共资源交易平台实施网上招投标，具体操作流程请登录驻马店市公共资源交易平台网站电子交易平台查看。</w:t>
            </w:r>
          </w:p>
          <w:p w14:paraId="0FA5D52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注：上述内容描述如有新变化，应根据驻马店市公共资源交易平台最新规定执行。</w:t>
            </w:r>
          </w:p>
        </w:tc>
      </w:tr>
      <w:tr w14:paraId="616EA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6" w:hRule="atLeast"/>
          <w:jc w:val="center"/>
        </w:trPr>
        <w:tc>
          <w:tcPr>
            <w:tcW w:w="1123" w:type="dxa"/>
            <w:noWrap w:val="0"/>
            <w:vAlign w:val="center"/>
          </w:tcPr>
          <w:p w14:paraId="7B57510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10.4</w:t>
            </w:r>
          </w:p>
        </w:tc>
        <w:tc>
          <w:tcPr>
            <w:tcW w:w="2095" w:type="dxa"/>
            <w:noWrap w:val="0"/>
            <w:vAlign w:val="center"/>
          </w:tcPr>
          <w:p w14:paraId="1359F0D0">
            <w:pPr>
              <w:widowControl w:val="0"/>
              <w:adjustRightInd w:val="0"/>
              <w:snapToGrid w:val="0"/>
              <w:spacing w:beforeLines="0" w:afterLines="0" w:line="360" w:lineRule="auto"/>
              <w:jc w:val="center"/>
              <w:rPr>
                <w:rFonts w:hint="eastAsia" w:ascii="宋体" w:hAnsi="宋体" w:eastAsia="宋体" w:cs="宋体"/>
                <w:sz w:val="21"/>
                <w:szCs w:val="21"/>
                <w:highlight w:val="none"/>
              </w:rPr>
            </w:pPr>
            <w:bookmarkStart w:id="53" w:name="_Toc3273434"/>
            <w:bookmarkStart w:id="54" w:name="_Toc26253872"/>
            <w:bookmarkStart w:id="55" w:name="_Toc39765646"/>
            <w:bookmarkStart w:id="56" w:name="_Toc33294143"/>
            <w:bookmarkStart w:id="57" w:name="_Toc26267032"/>
            <w:bookmarkStart w:id="58" w:name="_Toc508610402"/>
            <w:r>
              <w:rPr>
                <w:rFonts w:hint="eastAsia" w:ascii="宋体" w:hAnsi="宋体" w:eastAsia="宋体" w:cs="宋体"/>
                <w:sz w:val="21"/>
                <w:szCs w:val="21"/>
                <w:highlight w:val="none"/>
              </w:rPr>
              <w:t>招标代理服务费</w:t>
            </w:r>
            <w:bookmarkEnd w:id="53"/>
            <w:bookmarkEnd w:id="54"/>
            <w:bookmarkEnd w:id="55"/>
            <w:bookmarkEnd w:id="56"/>
            <w:bookmarkEnd w:id="57"/>
            <w:bookmarkEnd w:id="58"/>
          </w:p>
        </w:tc>
        <w:tc>
          <w:tcPr>
            <w:tcW w:w="6320" w:type="dxa"/>
            <w:noWrap w:val="0"/>
            <w:vAlign w:val="center"/>
          </w:tcPr>
          <w:p w14:paraId="1A0E7197">
            <w:pPr>
              <w:widowControl w:val="0"/>
              <w:autoSpaceDE/>
              <w:autoSpaceDN/>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按照合同约定执行。</w:t>
            </w:r>
          </w:p>
        </w:tc>
      </w:tr>
      <w:tr w14:paraId="7903F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1EBF7A24">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10.5</w:t>
            </w:r>
          </w:p>
        </w:tc>
        <w:tc>
          <w:tcPr>
            <w:tcW w:w="2095" w:type="dxa"/>
            <w:noWrap w:val="0"/>
            <w:vAlign w:val="center"/>
          </w:tcPr>
          <w:p w14:paraId="50423021">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投标保证金退还事项说明</w:t>
            </w:r>
          </w:p>
        </w:tc>
        <w:tc>
          <w:tcPr>
            <w:tcW w:w="6320" w:type="dxa"/>
            <w:noWrap w:val="0"/>
            <w:vAlign w:val="center"/>
          </w:tcPr>
          <w:p w14:paraId="662AFEE1">
            <w:pPr>
              <w:widowControl w:val="0"/>
              <w:autoSpaceDE/>
              <w:autoSpaceDN/>
              <w:adjustRightInd w:val="0"/>
              <w:snapToGrid w:val="0"/>
              <w:spacing w:beforeLines="0" w:afterLines="0" w:line="360" w:lineRule="auto"/>
              <w:ind w:left="0" w:leftChars="0" w:hanging="12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投标保证金退还事项说明详见驻马店市公共资源交易平台的相关规定。</w:t>
            </w:r>
          </w:p>
        </w:tc>
      </w:tr>
      <w:tr w14:paraId="638F4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1A436D8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10.6</w:t>
            </w:r>
          </w:p>
        </w:tc>
        <w:tc>
          <w:tcPr>
            <w:tcW w:w="2095" w:type="dxa"/>
            <w:noWrap w:val="0"/>
            <w:vAlign w:val="center"/>
          </w:tcPr>
          <w:p w14:paraId="7852F31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center"/>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评定分离规定</w:t>
            </w:r>
          </w:p>
        </w:tc>
        <w:tc>
          <w:tcPr>
            <w:tcW w:w="6320" w:type="dxa"/>
            <w:noWrap w:val="0"/>
            <w:vAlign w:val="center"/>
          </w:tcPr>
          <w:p w14:paraId="12DBFF8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本项目采用评定分离方式确定中标人，评标委员会按照招标文件规定的方法和数量推荐中标候选人。招标人在收到评标报告后10日内完成定标工作。</w:t>
            </w:r>
          </w:p>
          <w:p w14:paraId="790B2663">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定标方法：核查随机法。</w:t>
            </w:r>
          </w:p>
        </w:tc>
      </w:tr>
      <w:tr w14:paraId="34C24F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22D24EBD">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10.7</w:t>
            </w:r>
          </w:p>
        </w:tc>
        <w:tc>
          <w:tcPr>
            <w:tcW w:w="2095" w:type="dxa"/>
            <w:noWrap w:val="0"/>
            <w:vAlign w:val="center"/>
          </w:tcPr>
          <w:p w14:paraId="29C59779">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中标后须提交的投标文件</w:t>
            </w:r>
          </w:p>
        </w:tc>
        <w:tc>
          <w:tcPr>
            <w:tcW w:w="6320" w:type="dxa"/>
            <w:noWrap w:val="0"/>
            <w:vAlign w:val="center"/>
          </w:tcPr>
          <w:p w14:paraId="21A063C0">
            <w:pPr>
              <w:keepNext w:val="0"/>
              <w:keepLines w:val="0"/>
              <w:pageBreakBefore w:val="0"/>
              <w:widowControl w:val="0"/>
              <w:kinsoku/>
              <w:wordWrap/>
              <w:overflowPunct/>
              <w:topLinePunct w:val="0"/>
              <w:autoSpaceDE/>
              <w:autoSpaceDN/>
              <w:bidi w:val="0"/>
              <w:adjustRightInd/>
              <w:snapToGrid/>
              <w:spacing w:beforeLines="0" w:afterLines="0" w:line="360" w:lineRule="auto"/>
              <w:ind w:left="0" w:leftChars="0" w:right="0" w:rightChars="0" w:firstLine="0" w:firstLineChars="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与上传的电子投标文件内容完全相同的纸质投标文件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份数及形式以招标人实际通知为准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pacing w:val="-1"/>
                <w:sz w:val="21"/>
                <w:szCs w:val="21"/>
                <w:highlight w:val="none"/>
              </w:rPr>
              <w:t>。</w:t>
            </w:r>
          </w:p>
        </w:tc>
      </w:tr>
      <w:tr w14:paraId="466336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54713FF3">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lang w:val="en-US" w:eastAsia="zh-CN"/>
              </w:rPr>
              <w:t>10.8</w:t>
            </w:r>
          </w:p>
        </w:tc>
        <w:tc>
          <w:tcPr>
            <w:tcW w:w="2095" w:type="dxa"/>
            <w:noWrap w:val="0"/>
            <w:vAlign w:val="center"/>
          </w:tcPr>
          <w:p w14:paraId="1CAFE1BE">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其他</w:t>
            </w:r>
          </w:p>
        </w:tc>
        <w:tc>
          <w:tcPr>
            <w:tcW w:w="6320" w:type="dxa"/>
            <w:noWrap w:val="0"/>
            <w:vAlign w:val="center"/>
          </w:tcPr>
          <w:p w14:paraId="03A4FB6D">
            <w:pPr>
              <w:keepNext w:val="0"/>
              <w:keepLines w:val="0"/>
              <w:pageBreakBefore w:val="0"/>
              <w:widowControl w:val="0"/>
              <w:kinsoku/>
              <w:wordWrap/>
              <w:overflowPunct/>
              <w:topLinePunct w:val="0"/>
              <w:autoSpaceDE/>
              <w:autoSpaceDN/>
              <w:bidi w:val="0"/>
              <w:adjustRightInd w:val="0"/>
              <w:snapToGrid w:val="0"/>
              <w:spacing w:beforeLines="0" w:afterLines="0" w:line="360" w:lineRule="auto"/>
              <w:ind w:left="0" w:leftChars="0" w:hanging="120"/>
              <w:jc w:val="both"/>
              <w:textAlignment w:val="auto"/>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color w:val="auto"/>
                <w:kern w:val="0"/>
                <w:sz w:val="21"/>
                <w:szCs w:val="21"/>
                <w:highlight w:val="none"/>
                <w:lang w:val="en-US" w:eastAsia="zh-CN" w:bidi="ar-SA"/>
              </w:rPr>
              <w:t>遵照驻马店市公共资源交易平台规定。</w:t>
            </w:r>
          </w:p>
        </w:tc>
      </w:tr>
      <w:tr w14:paraId="24BA1B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2040BC76">
            <w:pPr>
              <w:widowControl w:val="0"/>
              <w:adjustRightInd w:val="0"/>
              <w:snapToGrid w:val="0"/>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10.9</w:t>
            </w:r>
          </w:p>
        </w:tc>
        <w:tc>
          <w:tcPr>
            <w:tcW w:w="2095" w:type="dxa"/>
            <w:noWrap w:val="0"/>
            <w:vAlign w:val="center"/>
          </w:tcPr>
          <w:p w14:paraId="0D725450">
            <w:pPr>
              <w:widowControl w:val="0"/>
              <w:autoSpaceDE/>
              <w:autoSpaceDN/>
              <w:adjustRightInd w:val="0"/>
              <w:spacing w:beforeLines="0" w:afterLines="0" w:line="360" w:lineRule="auto"/>
              <w:ind w:left="0" w:hanging="120"/>
              <w:jc w:val="center"/>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特别说明</w:t>
            </w:r>
          </w:p>
        </w:tc>
        <w:tc>
          <w:tcPr>
            <w:tcW w:w="6320" w:type="dxa"/>
            <w:noWrap w:val="0"/>
            <w:vAlign w:val="center"/>
          </w:tcPr>
          <w:p w14:paraId="60107799">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1.投标人在全国水利建设市场监管平台公开的信用信息隐瞒真实情况、弄虚作假或提交的相关证明材料弄虚作假被查实的，取消其中标候选人、中标人资格，并按有关规定进行处理。</w:t>
            </w:r>
          </w:p>
          <w:p w14:paraId="676DDDDA">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hanging="120"/>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2.网页查询</w:t>
            </w:r>
            <w:r>
              <w:rPr>
                <w:rFonts w:hint="eastAsia" w:ascii="宋体" w:hAnsi="宋体" w:eastAsia="宋体" w:cs="宋体"/>
                <w:color w:val="auto"/>
                <w:kern w:val="0"/>
                <w:sz w:val="21"/>
                <w:szCs w:val="21"/>
                <w:highlight w:val="none"/>
                <w:lang w:val="en-US" w:eastAsia="zh-CN" w:bidi="ar-SA"/>
              </w:rPr>
              <w:t>如遇网址或者查询菜单（搜索栏）、功能、内容等有调整或变化，可以提供调整或变化后的查询证明材料。</w:t>
            </w:r>
          </w:p>
          <w:p w14:paraId="00280200">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outlineLvl w:val="9"/>
              <w:rPr>
                <w:rFonts w:hint="eastAsia" w:ascii="宋体" w:hAnsi="宋体" w:eastAsia="宋体" w:cs="宋体"/>
                <w:b/>
                <w:color w:val="auto"/>
                <w:kern w:val="0"/>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3.本投标</w:t>
            </w:r>
            <w:r>
              <w:rPr>
                <w:rFonts w:hint="eastAsia" w:ascii="宋体" w:hAnsi="宋体" w:eastAsia="宋体" w:cs="宋体"/>
                <w:b/>
                <w:bCs/>
                <w:color w:val="auto"/>
                <w:kern w:val="0"/>
                <w:sz w:val="21"/>
                <w:szCs w:val="21"/>
                <w:highlight w:val="none"/>
                <w:lang w:val="en-US" w:eastAsia="zh-CN" w:bidi="ar-SA"/>
              </w:rPr>
              <w:t>须知前附表是对投标人须知正文的具体补充和修改，如有不一致的，均以本表为准。</w:t>
            </w:r>
          </w:p>
        </w:tc>
      </w:tr>
      <w:tr w14:paraId="2D075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123" w:type="dxa"/>
            <w:noWrap w:val="0"/>
            <w:vAlign w:val="center"/>
          </w:tcPr>
          <w:p w14:paraId="42322D98">
            <w:pPr>
              <w:spacing w:line="360" w:lineRule="auto"/>
              <w:jc w:val="center"/>
              <w:rPr>
                <w:rFonts w:hint="default" w:ascii="宋体" w:hAnsi="宋体" w:eastAsia="宋体" w:cs="宋体"/>
                <w:b/>
                <w:bCs/>
                <w:color w:val="auto"/>
                <w:sz w:val="21"/>
                <w:szCs w:val="21"/>
                <w:highlight w:val="none"/>
                <w:lang w:val="en-US" w:eastAsia="zh-CN"/>
              </w:rPr>
            </w:pPr>
            <w:bookmarkStart w:id="59" w:name="_Toc168476047"/>
            <w:bookmarkStart w:id="60" w:name="_Toc221950083"/>
            <w:bookmarkStart w:id="61" w:name="_Toc144974497"/>
            <w:bookmarkStart w:id="62" w:name="_Toc168475644"/>
            <w:r>
              <w:rPr>
                <w:rFonts w:hint="eastAsia" w:ascii="宋体" w:hAnsi="宋体" w:eastAsia="宋体" w:cs="宋体"/>
                <w:b/>
                <w:bCs/>
                <w:color w:val="auto"/>
                <w:sz w:val="21"/>
                <w:szCs w:val="21"/>
                <w:highlight w:val="none"/>
                <w:lang w:val="en-US" w:eastAsia="zh-CN"/>
              </w:rPr>
              <w:t>10.10</w:t>
            </w:r>
          </w:p>
        </w:tc>
        <w:tc>
          <w:tcPr>
            <w:tcW w:w="2095" w:type="dxa"/>
            <w:noWrap w:val="0"/>
            <w:vAlign w:val="center"/>
          </w:tcPr>
          <w:p w14:paraId="23485DF8">
            <w:pPr>
              <w:spacing w:line="312" w:lineRule="auto"/>
              <w:jc w:val="center"/>
              <w:rPr>
                <w:rFonts w:hint="eastAsia" w:ascii="宋体" w:hAnsi="宋体" w:eastAsia="宋体" w:cs="宋体"/>
                <w:b/>
                <w:bCs/>
                <w:color w:val="auto"/>
                <w:kern w:val="0"/>
                <w:sz w:val="21"/>
                <w:szCs w:val="21"/>
                <w:highlight w:val="none"/>
                <w:lang w:val="en-US" w:eastAsia="zh-CN" w:bidi="ar-SA"/>
              </w:rPr>
            </w:pPr>
            <w:r>
              <w:rPr>
                <w:rFonts w:hint="default" w:ascii="Times New Roman" w:hAnsi="Times New Roman" w:cs="Times New Roman"/>
                <w:color w:val="auto"/>
                <w:szCs w:val="21"/>
                <w:highlight w:val="none"/>
              </w:rPr>
              <w:t>远程异地评标</w:t>
            </w:r>
          </w:p>
        </w:tc>
        <w:tc>
          <w:tcPr>
            <w:tcW w:w="6320" w:type="dxa"/>
            <w:noWrap w:val="0"/>
            <w:vAlign w:val="center"/>
          </w:tcPr>
          <w:p w14:paraId="3CD0B3A9">
            <w:pPr>
              <w:spacing w:line="312"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□否</w:t>
            </w:r>
          </w:p>
          <w:p w14:paraId="52A144F5">
            <w:pPr>
              <w:spacing w:line="312" w:lineRule="auto"/>
              <w:rPr>
                <w:rFonts w:hint="eastAsia" w:ascii="宋体" w:hAnsi="宋体" w:eastAsia="宋体" w:cs="宋体"/>
                <w:b/>
                <w:bCs/>
                <w:color w:val="auto"/>
                <w:kern w:val="2"/>
                <w:sz w:val="21"/>
                <w:szCs w:val="21"/>
                <w:highlight w:val="none"/>
                <w:lang w:val="en-US" w:eastAsia="zh-CN" w:bidi="ar-SA"/>
              </w:rPr>
            </w:pP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是，具体要求：</w:t>
            </w:r>
            <w:r>
              <w:rPr>
                <w:rFonts w:hint="default" w:ascii="Times New Roman" w:hAnsi="Times New Roman" w:cs="Times New Roman"/>
                <w:color w:val="auto"/>
                <w:szCs w:val="21"/>
                <w:highlight w:val="none"/>
                <w:u w:val="single"/>
              </w:rPr>
              <w:t xml:space="preserve">  </w:t>
            </w:r>
            <w:r>
              <w:rPr>
                <w:rFonts w:hint="eastAsia" w:ascii="Times New Roman" w:hAnsi="Times New Roman" w:cs="Times New Roman"/>
                <w:color w:val="auto"/>
                <w:szCs w:val="21"/>
                <w:highlight w:val="none"/>
                <w:u w:val="single"/>
                <w:lang w:val="en-US" w:eastAsia="zh-CN"/>
              </w:rPr>
              <w:t>/</w:t>
            </w:r>
            <w:r>
              <w:rPr>
                <w:rFonts w:hint="default" w:ascii="Times New Roman" w:hAnsi="Times New Roman" w:cs="Times New Roman"/>
                <w:color w:val="auto"/>
                <w:szCs w:val="21"/>
                <w:highlight w:val="none"/>
                <w:u w:val="single"/>
              </w:rPr>
              <w:t xml:space="preserve">   </w:t>
            </w:r>
          </w:p>
        </w:tc>
      </w:tr>
    </w:tbl>
    <w:p w14:paraId="5B9F528F">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r>
        <w:rPr>
          <w:rFonts w:hint="eastAsia" w:ascii="宋体" w:hAnsi="宋体" w:eastAsia="宋体" w:cs="宋体"/>
          <w:b/>
          <w:sz w:val="21"/>
          <w:szCs w:val="21"/>
          <w:highlight w:val="none"/>
        </w:rPr>
        <w:br w:type="page"/>
      </w:r>
      <w:bookmarkEnd w:id="59"/>
      <w:bookmarkEnd w:id="60"/>
      <w:bookmarkEnd w:id="61"/>
      <w:bookmarkEnd w:id="62"/>
      <w:bookmarkStart w:id="63" w:name="_Toc9583"/>
      <w:bookmarkStart w:id="64" w:name="_Toc19012"/>
      <w:bookmarkStart w:id="65" w:name="_Toc62034399"/>
      <w:bookmarkStart w:id="66" w:name="_Toc13576"/>
      <w:bookmarkStart w:id="67" w:name="_Toc9479"/>
      <w:bookmarkStart w:id="68" w:name="_Toc24120"/>
      <w:bookmarkStart w:id="69" w:name="_Toc14675"/>
      <w:bookmarkStart w:id="70" w:name="_Toc221950256"/>
      <w:bookmarkStart w:id="71" w:name="_Toc168475696"/>
      <w:bookmarkStart w:id="72" w:name="_Toc168476099"/>
      <w:bookmarkStart w:id="73" w:name="_Toc144974548"/>
      <w:r>
        <w:rPr>
          <w:rFonts w:hint="eastAsia" w:ascii="宋体" w:hAnsi="宋体" w:eastAsia="宋体" w:cs="宋体"/>
          <w:b/>
          <w:color w:val="auto"/>
          <w:sz w:val="21"/>
          <w:szCs w:val="21"/>
          <w:highlight w:val="none"/>
        </w:rPr>
        <w:t>1.总则</w:t>
      </w:r>
      <w:bookmarkEnd w:id="63"/>
      <w:bookmarkEnd w:id="64"/>
      <w:bookmarkEnd w:id="65"/>
      <w:bookmarkEnd w:id="66"/>
      <w:bookmarkEnd w:id="67"/>
      <w:bookmarkEnd w:id="68"/>
      <w:bookmarkEnd w:id="69"/>
    </w:p>
    <w:p w14:paraId="5169DA5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74" w:name="_bookmark21"/>
      <w:bookmarkEnd w:id="74"/>
      <w:bookmarkStart w:id="75" w:name="_Toc54550683"/>
      <w:bookmarkStart w:id="76" w:name="_Toc62034400"/>
      <w:r>
        <w:rPr>
          <w:rFonts w:hint="eastAsia" w:ascii="宋体" w:hAnsi="宋体" w:eastAsia="宋体" w:cs="宋体"/>
          <w:b/>
          <w:bCs/>
          <w:color w:val="auto"/>
          <w:sz w:val="21"/>
          <w:szCs w:val="21"/>
          <w:highlight w:val="none"/>
        </w:rPr>
        <w:t>1.1 招标项目概况</w:t>
      </w:r>
      <w:bookmarkEnd w:id="75"/>
      <w:bookmarkEnd w:id="76"/>
    </w:p>
    <w:p w14:paraId="13ED53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根据《中华人民共和国招标投标法》、《中华人民共和国招标投标法实施条例》等有关法律、法规和规章的规定，本招标项目已具备招标条件，现对</w:t>
      </w:r>
      <w:r>
        <w:rPr>
          <w:rFonts w:hint="eastAsia" w:ascii="宋体" w:hAnsi="宋体" w:eastAsia="宋体" w:cs="宋体"/>
          <w:color w:val="auto"/>
          <w:sz w:val="21"/>
          <w:szCs w:val="21"/>
          <w:highlight w:val="none"/>
          <w:lang w:eastAsia="zh-CN"/>
        </w:rPr>
        <w:t>设备</w:t>
      </w:r>
      <w:r>
        <w:rPr>
          <w:rFonts w:hint="eastAsia" w:ascii="宋体" w:hAnsi="宋体" w:eastAsia="宋体" w:cs="宋体"/>
          <w:color w:val="auto"/>
          <w:sz w:val="21"/>
          <w:szCs w:val="21"/>
          <w:highlight w:val="none"/>
        </w:rPr>
        <w:t>采购进行招标。</w:t>
      </w:r>
    </w:p>
    <w:p w14:paraId="0550F0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招标人：见投标人须知前附表。</w:t>
      </w:r>
    </w:p>
    <w:p w14:paraId="1250FC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招标代理机构：见投标人须知前附表。</w:t>
      </w:r>
    </w:p>
    <w:p w14:paraId="1FDA29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1.1.4 项目名称：见投标人须知前附表。</w:t>
      </w:r>
    </w:p>
    <w:p w14:paraId="66E6EFA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 </w:t>
      </w:r>
      <w:r>
        <w:rPr>
          <w:rFonts w:hint="eastAsia" w:ascii="宋体" w:hAnsi="宋体" w:eastAsia="宋体" w:cs="宋体"/>
          <w:color w:val="auto"/>
          <w:sz w:val="21"/>
          <w:szCs w:val="21"/>
          <w:highlight w:val="none"/>
          <w:lang w:val="en-US" w:eastAsia="zh-CN"/>
        </w:rPr>
        <w:t>标段</w:t>
      </w:r>
      <w:r>
        <w:rPr>
          <w:rFonts w:hint="eastAsia" w:ascii="宋体" w:hAnsi="宋体" w:eastAsia="宋体" w:cs="宋体"/>
          <w:color w:val="auto"/>
          <w:sz w:val="21"/>
          <w:szCs w:val="21"/>
          <w:highlight w:val="none"/>
        </w:rPr>
        <w:t>名称：见投标人须知前附表。</w:t>
      </w:r>
    </w:p>
    <w:p w14:paraId="31D2C20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77" w:name="_bookmark22"/>
      <w:bookmarkEnd w:id="77"/>
      <w:bookmarkStart w:id="78" w:name="_Toc62034401"/>
      <w:bookmarkStart w:id="79" w:name="_Toc54550684"/>
      <w:r>
        <w:rPr>
          <w:rFonts w:hint="eastAsia" w:ascii="宋体" w:hAnsi="宋体" w:eastAsia="宋体" w:cs="宋体"/>
          <w:b/>
          <w:bCs/>
          <w:color w:val="auto"/>
          <w:sz w:val="21"/>
          <w:szCs w:val="21"/>
          <w:highlight w:val="none"/>
        </w:rPr>
        <w:t>1.2 招标项目的资金来源和落实情况</w:t>
      </w:r>
      <w:bookmarkEnd w:id="78"/>
      <w:bookmarkEnd w:id="79"/>
    </w:p>
    <w:p w14:paraId="36CFC33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 资金来源及比例：见投标人须知前附表。</w:t>
      </w:r>
    </w:p>
    <w:p w14:paraId="240E6F1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1.2.2 资金落实情况：见投标人须知前附表。</w:t>
      </w:r>
    </w:p>
    <w:p w14:paraId="16D7864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lang w:val="en-US" w:eastAsia="zh-CN"/>
        </w:rPr>
      </w:pPr>
      <w:bookmarkStart w:id="80" w:name="_bookmark23"/>
      <w:bookmarkEnd w:id="80"/>
      <w:bookmarkStart w:id="81" w:name="_Toc62034402"/>
      <w:bookmarkStart w:id="82" w:name="_Toc54550685"/>
      <w:r>
        <w:rPr>
          <w:rFonts w:hint="eastAsia" w:ascii="宋体" w:hAnsi="宋体" w:eastAsia="宋体" w:cs="宋体"/>
          <w:b/>
          <w:bCs/>
          <w:color w:val="auto"/>
          <w:sz w:val="21"/>
          <w:szCs w:val="21"/>
          <w:highlight w:val="none"/>
        </w:rPr>
        <w:t>1.3 招标范围、供货期（服务期）、交货地点和</w:t>
      </w:r>
      <w:bookmarkEnd w:id="81"/>
      <w:bookmarkEnd w:id="82"/>
      <w:r>
        <w:rPr>
          <w:rFonts w:hint="eastAsia" w:ascii="宋体" w:hAnsi="宋体" w:eastAsia="宋体" w:cs="宋体"/>
          <w:b/>
          <w:bCs/>
          <w:color w:val="auto"/>
          <w:sz w:val="21"/>
          <w:szCs w:val="21"/>
          <w:highlight w:val="none"/>
          <w:lang w:val="en-US" w:eastAsia="zh-CN"/>
        </w:rPr>
        <w:t>质量要求</w:t>
      </w:r>
    </w:p>
    <w:p w14:paraId="1955283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招标范围：见投标人须知前附表。</w:t>
      </w:r>
    </w:p>
    <w:p w14:paraId="2D50D70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 供货期（服务期）：见投标人须知前附表。</w:t>
      </w:r>
    </w:p>
    <w:p w14:paraId="1C89CB5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 交货地点：见投标人须知前附表。</w:t>
      </w:r>
    </w:p>
    <w:p w14:paraId="5EE0999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w:t>
      </w:r>
      <w:r>
        <w:rPr>
          <w:rFonts w:hint="eastAsia" w:ascii="宋体" w:hAnsi="宋体" w:eastAsia="宋体" w:cs="宋体"/>
          <w:color w:val="auto"/>
          <w:sz w:val="21"/>
          <w:szCs w:val="21"/>
          <w:highlight w:val="none"/>
          <w:lang w:val="en-US" w:eastAsia="zh-CN"/>
        </w:rPr>
        <w:t>质量要求</w:t>
      </w:r>
      <w:r>
        <w:rPr>
          <w:rFonts w:hint="eastAsia" w:ascii="宋体" w:hAnsi="宋体" w:eastAsia="宋体" w:cs="宋体"/>
          <w:color w:val="auto"/>
          <w:sz w:val="21"/>
          <w:szCs w:val="21"/>
          <w:highlight w:val="none"/>
        </w:rPr>
        <w:t>：见投标人须知前附表。</w:t>
      </w:r>
    </w:p>
    <w:p w14:paraId="5F2FB07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3" w:name="_bookmark24"/>
      <w:bookmarkEnd w:id="83"/>
      <w:bookmarkStart w:id="84" w:name="_Toc62034403"/>
      <w:bookmarkStart w:id="85" w:name="_Toc54550686"/>
      <w:r>
        <w:rPr>
          <w:rFonts w:hint="eastAsia" w:ascii="宋体" w:hAnsi="宋体" w:eastAsia="宋体" w:cs="宋体"/>
          <w:b/>
          <w:bCs/>
          <w:color w:val="auto"/>
          <w:sz w:val="21"/>
          <w:szCs w:val="21"/>
          <w:highlight w:val="none"/>
        </w:rPr>
        <w:t>1.4 投标人资格要求</w:t>
      </w:r>
      <w:bookmarkEnd w:id="84"/>
      <w:bookmarkEnd w:id="85"/>
    </w:p>
    <w:p w14:paraId="4EE8336F">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1.4.1 </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应具备承担本项目的资质条件、能力和信誉。本标段的资格要求如下：</w:t>
      </w:r>
    </w:p>
    <w:p w14:paraId="42F3F632">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（1）资质条件：见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31289ACD">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（2）财务要求：见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18B7240">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（3）业绩要求：见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F3013A3">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（4）信誉条件：见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72883FD6">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（5）</w:t>
      </w:r>
      <w:r>
        <w:rPr>
          <w:rFonts w:hint="eastAsia" w:ascii="宋体" w:hAnsi="宋体" w:eastAsia="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zh-CN"/>
        </w:rPr>
        <w:t>负责人资格：见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52D79D67">
      <w:pPr>
        <w:widowControl/>
        <w:autoSpaceDE/>
        <w:autoSpaceDN/>
        <w:adjustRightInd w:val="0"/>
        <w:spacing w:beforeLines="0" w:afterLines="0" w:line="360" w:lineRule="auto"/>
        <w:ind w:firstLine="420" w:firstLineChars="200"/>
        <w:jc w:val="lef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（6）其他要求：见</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lang w:val="zh-CN"/>
        </w:rPr>
        <w:t>须知前附表。</w:t>
      </w:r>
    </w:p>
    <w:p w14:paraId="1DA065E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1.4.2 投标人须知前附表规定接受联合体投标的，联合体除应符合本章第1.4.1项和投标人须知前附表的要求外，还应遵守以下规定：</w:t>
      </w:r>
    </w:p>
    <w:p w14:paraId="640308B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（1）联合体各方应按招标文件提供的格式签订联合体协议书，明确联合体牵头人和各方权利义务，并承诺就中标项目向招标人承担连带责任；</w:t>
      </w:r>
    </w:p>
    <w:p w14:paraId="014D459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3398103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（3）联合体各方不得再以自己名义单独或参加其他联合体在本招标项目中投标，否则各相关投标均无效。</w:t>
      </w:r>
    </w:p>
    <w:p w14:paraId="402804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1.4.3 投标人不得存在下列情形之一：</w:t>
      </w:r>
    </w:p>
    <w:p w14:paraId="574456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（1）与招标人存在利害关系且可能影响招标公正性；</w:t>
      </w:r>
    </w:p>
    <w:p w14:paraId="598A907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（2）与本招标项目的其他投标人为同一个单位负责人；</w:t>
      </w:r>
    </w:p>
    <w:p w14:paraId="4B1076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（3）与本招标项目的其他投标人存在控股、管理关系；</w:t>
      </w:r>
    </w:p>
    <w:p w14:paraId="4385282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）为本招标项目提供过设计、编制技术规范和其他文件的咨询服务；</w:t>
      </w:r>
    </w:p>
    <w:p w14:paraId="57420DC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）为本工程项目的相关监理人，或者与本工程项目的相关监理人存在隶属关系或者其他利害关系；</w:t>
      </w:r>
    </w:p>
    <w:p w14:paraId="01AA2D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）为本招标项目的代建人；</w:t>
      </w:r>
    </w:p>
    <w:p w14:paraId="1A90506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）为本招标项目的招标代理机构；</w:t>
      </w:r>
    </w:p>
    <w:p w14:paraId="7C58F21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）与本招标项目的监理人或代建人或招标代理机构同为一个法定代表人；</w:t>
      </w:r>
    </w:p>
    <w:p w14:paraId="29E1E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）与本招标项目的监理人或代建人或招标代理机构存在控股或参股关系；</w:t>
      </w:r>
    </w:p>
    <w:p w14:paraId="5C40CD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）被依法暂停或者取消投标资格；</w:t>
      </w:r>
    </w:p>
    <w:p w14:paraId="27D9E6A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）被责令停产停业、暂扣或者吊销许可证、暂扣或者吊销执照；</w:t>
      </w:r>
    </w:p>
    <w:p w14:paraId="7FD8F2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）进入清算程序，或被宣告破产，或其他丧失履约能力的情形；</w:t>
      </w:r>
    </w:p>
    <w:p w14:paraId="0C9474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）在最近三年内发生重大产品质量问题（以相关行业主管部门的行政处罚决定或司法机关出具的有关法律文书为准）；</w:t>
      </w:r>
    </w:p>
    <w:p w14:paraId="590B155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）被工商行政管理机关</w:t>
      </w:r>
      <w:r>
        <w:rPr>
          <w:rFonts w:hint="eastAsia" w:ascii="宋体" w:hAnsi="宋体" w:eastAsia="宋体" w:cs="宋体"/>
          <w:color w:val="auto"/>
          <w:sz w:val="21"/>
          <w:szCs w:val="21"/>
          <w:highlight w:val="none"/>
          <w:lang w:eastAsia="zh-CN"/>
        </w:rPr>
        <w:t>在国家企业信用信息公示系统</w:t>
      </w:r>
      <w:r>
        <w:rPr>
          <w:rFonts w:hint="eastAsia" w:ascii="宋体" w:hAnsi="宋体" w:eastAsia="宋体" w:cs="宋体"/>
          <w:color w:val="auto"/>
          <w:sz w:val="21"/>
          <w:szCs w:val="21"/>
          <w:highlight w:val="none"/>
        </w:rPr>
        <w:t>中列入严重违法失信企业名单；</w:t>
      </w:r>
    </w:p>
    <w:p w14:paraId="758557D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）被最高人民法院在“信用中国”网站（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"http://www.creditchina.gov.cn/" \h</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www.creditchina.gov.cn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）或各级信用信息共享平台中列入失信被执行人名单；</w:t>
      </w:r>
    </w:p>
    <w:p w14:paraId="0F9DA1A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16</w:t>
      </w:r>
      <w:r>
        <w:rPr>
          <w:rFonts w:hint="eastAsia" w:ascii="宋体" w:hAnsi="宋体" w:eastAsia="宋体" w:cs="宋体"/>
          <w:color w:val="auto"/>
          <w:sz w:val="21"/>
          <w:szCs w:val="21"/>
          <w:highlight w:val="none"/>
        </w:rPr>
        <w:t>）单位负责人为同一人或者存在控股、管理关系的不同单位，不得参加同一标段投标或者未划分标段的同一招标项目投标。</w:t>
      </w:r>
    </w:p>
    <w:p w14:paraId="4BA4B64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17</w:t>
      </w:r>
      <w:r>
        <w:rPr>
          <w:rFonts w:hint="eastAsia" w:ascii="宋体" w:hAnsi="宋体" w:eastAsia="宋体" w:cs="宋体"/>
          <w:color w:val="auto"/>
          <w:sz w:val="21"/>
          <w:szCs w:val="21"/>
          <w:highlight w:val="none"/>
        </w:rPr>
        <w:t>）法律法规或投标人须知前附表规定的其他情形。</w:t>
      </w:r>
    </w:p>
    <w:p w14:paraId="5ACC1B9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6" w:name="_Toc54550687"/>
      <w:bookmarkStart w:id="87" w:name="_Toc62034404"/>
      <w:r>
        <w:rPr>
          <w:rFonts w:hint="eastAsia" w:ascii="宋体" w:hAnsi="宋体" w:eastAsia="宋体" w:cs="宋体"/>
          <w:b/>
          <w:bCs/>
          <w:color w:val="auto"/>
          <w:sz w:val="21"/>
          <w:szCs w:val="21"/>
          <w:highlight w:val="none"/>
        </w:rPr>
        <w:t>1.5 费用承担</w:t>
      </w:r>
      <w:bookmarkEnd w:id="86"/>
      <w:bookmarkEnd w:id="87"/>
    </w:p>
    <w:p w14:paraId="6DEAD7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投标人准备和参加投标活动发生的费用自理。</w:t>
      </w:r>
    </w:p>
    <w:p w14:paraId="6625931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88" w:name="_bookmark26"/>
      <w:bookmarkEnd w:id="88"/>
      <w:bookmarkStart w:id="89" w:name="_Toc62034405"/>
      <w:bookmarkStart w:id="90" w:name="_Toc54550688"/>
      <w:r>
        <w:rPr>
          <w:rFonts w:hint="eastAsia" w:ascii="宋体" w:hAnsi="宋体" w:eastAsia="宋体" w:cs="宋体"/>
          <w:b/>
          <w:bCs/>
          <w:color w:val="auto"/>
          <w:sz w:val="21"/>
          <w:szCs w:val="21"/>
          <w:highlight w:val="none"/>
        </w:rPr>
        <w:t>1.6 保密</w:t>
      </w:r>
      <w:bookmarkEnd w:id="89"/>
      <w:bookmarkEnd w:id="90"/>
    </w:p>
    <w:p w14:paraId="34C25FE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参与招标投标活动的各方应对招标文件和投标文件中的商业和技术等秘密保密，否则应承担相应的法律责任。</w:t>
      </w:r>
    </w:p>
    <w:p w14:paraId="65C85ED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1" w:name="_bookmark27"/>
      <w:bookmarkEnd w:id="91"/>
      <w:bookmarkStart w:id="92" w:name="_Toc62034406"/>
      <w:bookmarkStart w:id="93" w:name="_Toc54550689"/>
      <w:r>
        <w:rPr>
          <w:rFonts w:hint="eastAsia" w:ascii="宋体" w:hAnsi="宋体" w:eastAsia="宋体" w:cs="宋体"/>
          <w:b/>
          <w:bCs/>
          <w:color w:val="auto"/>
          <w:sz w:val="21"/>
          <w:szCs w:val="21"/>
          <w:highlight w:val="none"/>
        </w:rPr>
        <w:t>1.7 语言文字</w:t>
      </w:r>
      <w:bookmarkEnd w:id="92"/>
      <w:bookmarkEnd w:id="93"/>
    </w:p>
    <w:p w14:paraId="058E43C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招标投标文件使用的语言文字为中文。专用术语使用外文的，应附有中文注释。</w:t>
      </w:r>
    </w:p>
    <w:p w14:paraId="7F922A9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4" w:name="_bookmark28"/>
      <w:bookmarkEnd w:id="94"/>
      <w:bookmarkStart w:id="95" w:name="_Toc62034407"/>
      <w:bookmarkStart w:id="96" w:name="_Toc54550690"/>
      <w:r>
        <w:rPr>
          <w:rFonts w:hint="eastAsia" w:ascii="宋体" w:hAnsi="宋体" w:eastAsia="宋体" w:cs="宋体"/>
          <w:b/>
          <w:bCs/>
          <w:color w:val="auto"/>
          <w:sz w:val="21"/>
          <w:szCs w:val="21"/>
          <w:highlight w:val="none"/>
        </w:rPr>
        <w:t>1.8 计量单位</w:t>
      </w:r>
      <w:bookmarkEnd w:id="95"/>
      <w:bookmarkEnd w:id="96"/>
    </w:p>
    <w:p w14:paraId="456ADE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5C5D2699">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97" w:name="_bookmark29"/>
      <w:bookmarkEnd w:id="97"/>
      <w:bookmarkStart w:id="98" w:name="_Toc62034408"/>
      <w:bookmarkStart w:id="99" w:name="_Toc54550691"/>
      <w:r>
        <w:rPr>
          <w:rFonts w:hint="eastAsia" w:ascii="宋体" w:hAnsi="宋体" w:eastAsia="宋体" w:cs="宋体"/>
          <w:b/>
          <w:bCs/>
          <w:color w:val="auto"/>
          <w:sz w:val="21"/>
          <w:szCs w:val="21"/>
          <w:highlight w:val="none"/>
        </w:rPr>
        <w:t>1.9 投标预备会</w:t>
      </w:r>
      <w:bookmarkEnd w:id="98"/>
      <w:bookmarkEnd w:id="99"/>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不召开</w:t>
      </w:r>
      <w:r>
        <w:rPr>
          <w:rFonts w:hint="eastAsia" w:ascii="宋体" w:hAnsi="宋体" w:eastAsia="宋体" w:cs="宋体"/>
          <w:b/>
          <w:bCs/>
          <w:color w:val="auto"/>
          <w:sz w:val="21"/>
          <w:szCs w:val="21"/>
          <w:highlight w:val="none"/>
          <w:lang w:eastAsia="zh-CN"/>
        </w:rPr>
        <w:t>）</w:t>
      </w:r>
    </w:p>
    <w:p w14:paraId="550EF74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1.9.1 投标人须知前附表规定召开投标预备会的，招标人按投标人须知前附表规定的时间和地点召开投标预备会，澄清投标人提出的问题。</w:t>
      </w:r>
    </w:p>
    <w:p w14:paraId="7EBCD74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1.9.2 投标人应按投标人须知前附表规定的时间和形式将提出的问题送达招标人，以便招标人在会议期间澄清。</w:t>
      </w:r>
    </w:p>
    <w:p w14:paraId="6218E8F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1.9.3 投标预备会后，招标人将对投标人所提问题的澄清，以投标人须知前附表规定的形式通知所有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招标文件的投标人。该澄清内容为招标文件的组成部分。</w:t>
      </w:r>
    </w:p>
    <w:p w14:paraId="2FF0DCB8">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00" w:name="_bookmark30"/>
      <w:bookmarkEnd w:id="100"/>
      <w:bookmarkStart w:id="101" w:name="_Toc62034409"/>
      <w:bookmarkStart w:id="102" w:name="_Toc54550692"/>
      <w:r>
        <w:rPr>
          <w:rFonts w:hint="eastAsia" w:ascii="宋体" w:hAnsi="宋体" w:eastAsia="宋体" w:cs="宋体"/>
          <w:b/>
          <w:bCs/>
          <w:color w:val="auto"/>
          <w:sz w:val="21"/>
          <w:szCs w:val="21"/>
          <w:highlight w:val="none"/>
        </w:rPr>
        <w:t>1.10 分包</w:t>
      </w:r>
      <w:bookmarkEnd w:id="101"/>
      <w:bookmarkEnd w:id="102"/>
    </w:p>
    <w:p w14:paraId="0C2D2D5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1.10.1 投标人拟在中标后将中标项目的非主体设备进行分包的，应符合投标人须知前附表规定的分包内容、分包金额和资质要求等限制性条件，除投标人须知前附表规定的非主体设备外，其他工作不得分包。</w:t>
      </w:r>
    </w:p>
    <w:p w14:paraId="5DF639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1.10.2 中标人不得向他人转让中标项目，接受分包的人不得再次分包。中标人应当就分包项目向招标人负责，接受分包的人就分包项目承担连带责任。</w:t>
      </w:r>
    </w:p>
    <w:p w14:paraId="418CC14A">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03" w:name="_bookmark31"/>
      <w:bookmarkEnd w:id="103"/>
      <w:bookmarkStart w:id="104" w:name="_Toc62034410"/>
      <w:bookmarkStart w:id="105" w:name="_Toc54550693"/>
      <w:r>
        <w:rPr>
          <w:rFonts w:hint="eastAsia" w:ascii="宋体" w:hAnsi="宋体" w:eastAsia="宋体" w:cs="宋体"/>
          <w:b/>
          <w:bCs/>
          <w:color w:val="auto"/>
          <w:sz w:val="21"/>
          <w:szCs w:val="21"/>
          <w:highlight w:val="none"/>
        </w:rPr>
        <w:t>1.11 响应和偏差</w:t>
      </w:r>
      <w:bookmarkEnd w:id="104"/>
      <w:bookmarkEnd w:id="105"/>
    </w:p>
    <w:p w14:paraId="5DC69A9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1.11.1 投标文件应当对招标文件的实质性要求和条件作出满足性或更有利于招标人的响应，否则，投标人的投标将被否决。实质性要求和条件见投标人须知前附表。</w:t>
      </w:r>
    </w:p>
    <w:p w14:paraId="056AA7F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1.11.2 投标人应根据招标文件的要求提供投标设备技术性能指标的详细描述、技术支持资料及技术服务和质量保证期服务计划等内容以对招标文件作出响应。</w:t>
      </w:r>
    </w:p>
    <w:p w14:paraId="27AB58A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1.11.3 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7897557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1.11.4 投标人须知前附表规定了可以偏差的范围和最高偏差项数的，偏差应当符合投标人须知前附表规定的偏差范围和最高项数，超出偏差范围和最高偏差项数的投标将被否决。</w:t>
      </w:r>
    </w:p>
    <w:p w14:paraId="6294BE7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1.11.5 投标文件对招标文件的全部偏差，均应在投标文件的技术偏差表中列明，除列明的内容外，视为投标人响应招标文件的全部要求。</w:t>
      </w:r>
    </w:p>
    <w:p w14:paraId="7CDA7C18">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06" w:name="_bookmark32"/>
      <w:bookmarkEnd w:id="106"/>
      <w:bookmarkStart w:id="107" w:name="_Toc8769"/>
      <w:bookmarkStart w:id="108" w:name="_Toc24173"/>
      <w:bookmarkStart w:id="109" w:name="_Toc19164"/>
      <w:bookmarkStart w:id="110" w:name="_Toc20201"/>
      <w:bookmarkStart w:id="111" w:name="_Toc62034411"/>
      <w:bookmarkStart w:id="112" w:name="_Toc17206"/>
      <w:bookmarkStart w:id="113" w:name="_Toc1595"/>
      <w:r>
        <w:rPr>
          <w:rFonts w:hint="eastAsia" w:ascii="宋体" w:hAnsi="宋体" w:eastAsia="宋体" w:cs="宋体"/>
          <w:b/>
          <w:color w:val="auto"/>
          <w:sz w:val="21"/>
          <w:szCs w:val="21"/>
          <w:highlight w:val="none"/>
        </w:rPr>
        <w:t>2.招标文件</w:t>
      </w:r>
      <w:bookmarkEnd w:id="107"/>
      <w:bookmarkEnd w:id="108"/>
      <w:bookmarkEnd w:id="109"/>
      <w:bookmarkEnd w:id="110"/>
      <w:bookmarkEnd w:id="111"/>
      <w:bookmarkEnd w:id="112"/>
      <w:bookmarkEnd w:id="113"/>
    </w:p>
    <w:p w14:paraId="3E3EE6E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14" w:name="_bookmark33"/>
      <w:bookmarkEnd w:id="114"/>
      <w:bookmarkStart w:id="115" w:name="_Toc54550695"/>
      <w:bookmarkStart w:id="116" w:name="_Toc62034412"/>
      <w:r>
        <w:rPr>
          <w:rFonts w:hint="eastAsia" w:ascii="宋体" w:hAnsi="宋体" w:eastAsia="宋体" w:cs="宋体"/>
          <w:b/>
          <w:bCs/>
          <w:color w:val="auto"/>
          <w:sz w:val="21"/>
          <w:szCs w:val="21"/>
          <w:highlight w:val="none"/>
        </w:rPr>
        <w:t>2.1 招标文件的组成</w:t>
      </w:r>
      <w:bookmarkEnd w:id="115"/>
      <w:bookmarkEnd w:id="116"/>
    </w:p>
    <w:p w14:paraId="782D61A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本招标文件包括：</w:t>
      </w:r>
    </w:p>
    <w:p w14:paraId="5CE4CE2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招标公告</w:t>
      </w:r>
      <w:r>
        <w:rPr>
          <w:rFonts w:hint="eastAsia" w:ascii="宋体" w:hAnsi="宋体" w:eastAsia="宋体" w:cs="宋体"/>
          <w:color w:val="auto"/>
          <w:sz w:val="21"/>
          <w:szCs w:val="21"/>
          <w:highlight w:val="none"/>
        </w:rPr>
        <w:t>；</w:t>
      </w:r>
    </w:p>
    <w:p w14:paraId="3178C5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（2）投标人须知；</w:t>
      </w:r>
    </w:p>
    <w:p w14:paraId="5E988C2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（3）评标办法</w:t>
      </w:r>
      <w:r>
        <w:rPr>
          <w:rFonts w:hint="eastAsia" w:ascii="宋体" w:hAnsi="宋体" w:eastAsia="宋体" w:cs="宋体"/>
          <w:color w:val="auto"/>
          <w:sz w:val="21"/>
          <w:szCs w:val="21"/>
          <w:highlight w:val="none"/>
          <w:lang w:eastAsia="zh-CN"/>
        </w:rPr>
        <w:t>及定标办法</w:t>
      </w:r>
      <w:r>
        <w:rPr>
          <w:rFonts w:hint="eastAsia" w:ascii="宋体" w:hAnsi="宋体" w:eastAsia="宋体" w:cs="宋体"/>
          <w:color w:val="auto"/>
          <w:sz w:val="21"/>
          <w:szCs w:val="21"/>
          <w:highlight w:val="none"/>
        </w:rPr>
        <w:t>；</w:t>
      </w:r>
    </w:p>
    <w:p w14:paraId="4C93CF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（4）合同条款及格式；</w:t>
      </w:r>
    </w:p>
    <w:p w14:paraId="770C75C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（5）供货要求；</w:t>
      </w:r>
    </w:p>
    <w:p w14:paraId="3BA913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（6）投标文件格式；</w:t>
      </w:r>
    </w:p>
    <w:p w14:paraId="365FBF3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（7）投标人须知前附表规定的其他资料。</w:t>
      </w:r>
    </w:p>
    <w:p w14:paraId="1129F924">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根据本章第 1.9款、第 2.2款和第 2.3款对招标文件所作的澄清、修改，构成招标文件的组成部分。</w:t>
      </w:r>
    </w:p>
    <w:p w14:paraId="676961B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17" w:name="_bookmark34"/>
      <w:bookmarkEnd w:id="117"/>
      <w:bookmarkStart w:id="118" w:name="_Toc54550696"/>
      <w:bookmarkStart w:id="119" w:name="_Toc62034413"/>
      <w:r>
        <w:rPr>
          <w:rFonts w:hint="eastAsia" w:ascii="宋体" w:hAnsi="宋体" w:eastAsia="宋体" w:cs="宋体"/>
          <w:b/>
          <w:bCs/>
          <w:color w:val="auto"/>
          <w:sz w:val="21"/>
          <w:szCs w:val="21"/>
          <w:highlight w:val="none"/>
        </w:rPr>
        <w:t>2.2 招标文件的澄清</w:t>
      </w:r>
      <w:bookmarkEnd w:id="118"/>
      <w:bookmarkEnd w:id="119"/>
    </w:p>
    <w:p w14:paraId="3D4A140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 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598A28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招标文件的澄清以投标人须知前附表规定的形式发给所有</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招标文件的投标人，但不指明澄清问题的来源。澄清发出的时间距本章第4.2.1项规定的投标截止时间不足15日的，并且澄清内容可能影响投标文件编制的，将相应延长投标截止时间。</w:t>
      </w:r>
    </w:p>
    <w:p w14:paraId="0A4275D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投标人在收到澄清后，应按投标人须知前附表规定的时间和形式通知招标人，确认已收到该澄清。</w:t>
      </w:r>
    </w:p>
    <w:p w14:paraId="76F4C2E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 除非招标人认为确有必要答复，否则，招标人有权拒绝回复投标人在本章第2.2.1项规定的时间后的任何澄清要求。</w:t>
      </w:r>
    </w:p>
    <w:p w14:paraId="48A676B8">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20" w:name="_bookmark35"/>
      <w:bookmarkEnd w:id="120"/>
      <w:bookmarkStart w:id="121" w:name="_Toc62034414"/>
      <w:bookmarkStart w:id="122" w:name="_Toc54550697"/>
      <w:r>
        <w:rPr>
          <w:rFonts w:hint="eastAsia" w:ascii="宋体" w:hAnsi="宋体" w:eastAsia="宋体" w:cs="宋体"/>
          <w:b/>
          <w:bCs/>
          <w:color w:val="auto"/>
          <w:sz w:val="21"/>
          <w:szCs w:val="21"/>
          <w:highlight w:val="none"/>
        </w:rPr>
        <w:t>2.3 招标文件的修改</w:t>
      </w:r>
      <w:bookmarkEnd w:id="121"/>
      <w:bookmarkEnd w:id="122"/>
    </w:p>
    <w:p w14:paraId="6DA6EB1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2.3.1 招标人以投标人须知前附表规定的形式修改招标文件，并通知所有已</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招标文件的投标人。修改招标文件的时间距本章第4.2.1项规定的投标截止时间不足15 日的，并且修改内容可能影响投标文件编制的，将相应延长投标截止时间。</w:t>
      </w:r>
    </w:p>
    <w:p w14:paraId="2E8AFCE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投标人收到修改内容后，应按投标人须知前附表规定的时间和形式通知招标人，确认已收到该修改。</w:t>
      </w:r>
    </w:p>
    <w:p w14:paraId="4D2F819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23" w:name="_bookmark36"/>
      <w:bookmarkEnd w:id="123"/>
      <w:bookmarkStart w:id="124" w:name="_Toc54550698"/>
      <w:bookmarkStart w:id="125" w:name="_Toc62034415"/>
      <w:r>
        <w:rPr>
          <w:rFonts w:hint="eastAsia" w:ascii="宋体" w:hAnsi="宋体" w:eastAsia="宋体" w:cs="宋体"/>
          <w:b/>
          <w:bCs/>
          <w:color w:val="auto"/>
          <w:sz w:val="21"/>
          <w:szCs w:val="21"/>
          <w:highlight w:val="none"/>
        </w:rPr>
        <w:t>2.4 招标文件的异议</w:t>
      </w:r>
      <w:bookmarkEnd w:id="124"/>
      <w:bookmarkEnd w:id="125"/>
    </w:p>
    <w:p w14:paraId="0892474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投标人或者其他利害关系人对招标文件有异议的，应当在投标截止时间10日前以书面形式提出。招标人将在收到异议之日起3日内作出答复；作出答复前，将暂停招标投标活动。</w:t>
      </w:r>
    </w:p>
    <w:p w14:paraId="32AADFC3">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26" w:name="_bookmark37"/>
      <w:bookmarkEnd w:id="126"/>
      <w:bookmarkStart w:id="127" w:name="_Toc8409"/>
      <w:bookmarkStart w:id="128" w:name="_Toc54550699"/>
      <w:bookmarkStart w:id="129" w:name="_Toc9074"/>
      <w:bookmarkStart w:id="130" w:name="_Toc62034416"/>
      <w:bookmarkStart w:id="131" w:name="_Toc30993"/>
      <w:bookmarkStart w:id="132" w:name="_Toc16106"/>
      <w:bookmarkStart w:id="133" w:name="_Toc8263"/>
      <w:bookmarkStart w:id="134" w:name="_Toc20216"/>
      <w:r>
        <w:rPr>
          <w:rFonts w:hint="eastAsia" w:ascii="宋体" w:hAnsi="宋体" w:eastAsia="宋体" w:cs="宋体"/>
          <w:b/>
          <w:color w:val="auto"/>
          <w:sz w:val="21"/>
          <w:szCs w:val="21"/>
          <w:highlight w:val="none"/>
        </w:rPr>
        <w:t>3.投标文件</w:t>
      </w:r>
      <w:bookmarkEnd w:id="127"/>
      <w:bookmarkEnd w:id="128"/>
      <w:bookmarkEnd w:id="129"/>
      <w:bookmarkEnd w:id="130"/>
      <w:bookmarkEnd w:id="131"/>
      <w:bookmarkEnd w:id="132"/>
      <w:bookmarkEnd w:id="133"/>
      <w:bookmarkEnd w:id="134"/>
    </w:p>
    <w:p w14:paraId="1CAD56E0">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35" w:name="_bookmark38"/>
      <w:bookmarkEnd w:id="135"/>
      <w:bookmarkStart w:id="136" w:name="_Toc62034417"/>
      <w:bookmarkStart w:id="137" w:name="_Toc54550700"/>
      <w:r>
        <w:rPr>
          <w:rFonts w:hint="eastAsia" w:ascii="宋体" w:hAnsi="宋体" w:eastAsia="宋体" w:cs="宋体"/>
          <w:b/>
          <w:bCs/>
          <w:color w:val="auto"/>
          <w:sz w:val="21"/>
          <w:szCs w:val="21"/>
          <w:highlight w:val="none"/>
        </w:rPr>
        <w:t>3.1 投标文件的组成</w:t>
      </w:r>
      <w:bookmarkEnd w:id="136"/>
      <w:bookmarkEnd w:id="137"/>
    </w:p>
    <w:p w14:paraId="1F7A933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投标文件应包括下列内容：</w:t>
      </w:r>
    </w:p>
    <w:p w14:paraId="7F9172E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（1）投标函及投标函附录；</w:t>
      </w:r>
    </w:p>
    <w:p w14:paraId="7DAECD9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（2）法定代表人（单位负责人）身份证明或授权委托书；</w:t>
      </w:r>
    </w:p>
    <w:p w14:paraId="1A6F953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（3）投标保证金</w:t>
      </w:r>
      <w:r>
        <w:rPr>
          <w:rFonts w:hint="eastAsia" w:ascii="宋体" w:hAnsi="宋体" w:eastAsia="宋体" w:cs="宋体"/>
          <w:color w:val="auto"/>
          <w:sz w:val="21"/>
          <w:szCs w:val="21"/>
          <w:highlight w:val="none"/>
          <w:lang w:val="en-US" w:eastAsia="zh-CN"/>
        </w:rPr>
        <w:t>交纳证明</w:t>
      </w:r>
      <w:r>
        <w:rPr>
          <w:rFonts w:hint="eastAsia" w:ascii="宋体" w:hAnsi="宋体" w:eastAsia="宋体" w:cs="宋体"/>
          <w:color w:val="auto"/>
          <w:sz w:val="21"/>
          <w:szCs w:val="21"/>
          <w:highlight w:val="none"/>
        </w:rPr>
        <w:t>；</w:t>
      </w:r>
    </w:p>
    <w:p w14:paraId="220E535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（4）技术偏差表；</w:t>
      </w:r>
    </w:p>
    <w:p w14:paraId="439EDB2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（5）分项报价表；</w:t>
      </w:r>
    </w:p>
    <w:p w14:paraId="0374388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资格审查资料</w:t>
      </w:r>
      <w:r>
        <w:rPr>
          <w:rFonts w:hint="eastAsia" w:ascii="宋体" w:hAnsi="宋体" w:eastAsia="宋体" w:cs="宋体"/>
          <w:color w:val="auto"/>
          <w:sz w:val="21"/>
          <w:szCs w:val="21"/>
          <w:highlight w:val="none"/>
        </w:rPr>
        <w:t>；</w:t>
      </w:r>
    </w:p>
    <w:p w14:paraId="04A7B4B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（7）技术资料；</w:t>
      </w:r>
    </w:p>
    <w:p w14:paraId="651C216C">
      <w:pPr>
        <w:widowControl w:val="0"/>
        <w:adjustRightInd w:val="0"/>
        <w:snapToGrid w:val="0"/>
        <w:spacing w:beforeLines="0" w:afterLines="0" w:line="360" w:lineRule="auto"/>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）惩罚记录查询信息</w:t>
      </w:r>
      <w:r>
        <w:rPr>
          <w:rFonts w:hint="eastAsia" w:ascii="宋体" w:hAnsi="宋体" w:eastAsia="宋体" w:cs="宋体"/>
          <w:color w:val="auto"/>
          <w:sz w:val="21"/>
          <w:szCs w:val="21"/>
          <w:highlight w:val="none"/>
          <w:lang w:val="en-US" w:eastAsia="zh-CN"/>
        </w:rPr>
        <w:t>；</w:t>
      </w:r>
    </w:p>
    <w:p w14:paraId="3E0D76F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）投标人须知前附表规定的其他资料。</w:t>
      </w:r>
    </w:p>
    <w:p w14:paraId="643E47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投标人在评标过程中作出的符合法律法规和招标文件规定的澄清确认，构成投标文件的组成部分。</w:t>
      </w:r>
    </w:p>
    <w:p w14:paraId="19EE633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投标人须知前附表规定不接受联合体投标的，或投标人没有组成联合体的，投标文件不包括联合体协议书。</w:t>
      </w:r>
    </w:p>
    <w:p w14:paraId="5F868B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投标人须知前附表未要求提交投标保证金的，投标文件不包括本章第3.1.1（3）目所指的投标保证金。</w:t>
      </w:r>
    </w:p>
    <w:p w14:paraId="08D727CB">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38" w:name="_bookmark39"/>
      <w:bookmarkEnd w:id="138"/>
      <w:bookmarkStart w:id="139" w:name="_Toc54550701"/>
      <w:bookmarkStart w:id="140" w:name="_Toc62034418"/>
      <w:r>
        <w:rPr>
          <w:rFonts w:hint="eastAsia" w:ascii="宋体" w:hAnsi="宋体" w:eastAsia="宋体" w:cs="宋体"/>
          <w:b/>
          <w:bCs/>
          <w:color w:val="auto"/>
          <w:sz w:val="21"/>
          <w:szCs w:val="21"/>
          <w:highlight w:val="none"/>
        </w:rPr>
        <w:t>3.2 投标报价</w:t>
      </w:r>
      <w:bookmarkEnd w:id="139"/>
      <w:bookmarkEnd w:id="140"/>
    </w:p>
    <w:p w14:paraId="5FC729E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3.2.1 投标报价应包括国家规定的增值税税金，除投标人须知前附表另有规定外，增值税税金按一般计税方法计算。投标人应按第六章“投标文件格式”的要求在投标函中进行报价并填写分项报价表。</w:t>
      </w:r>
    </w:p>
    <w:p w14:paraId="1B5A879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 投标人应充分了解该项目的总体情况以及影响投标报价的其他要素。</w:t>
      </w:r>
    </w:p>
    <w:p w14:paraId="5295D73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3.2.3 投标报价为各分项报价金额之和，投标报价与分项报价的合价不一致的，应以各分项合价累计数为准，修正投标报价；如分项报价中存在缺漏项，则视为缺漏项价格已包含在其他分项报价之中。投标人在投标截止时间前修改投标函中的投标报价总额，应同时修改投标文件 “分项报价表”中的相应报价。此修改须符合本章第 4.3款的有关要求。</w:t>
      </w:r>
    </w:p>
    <w:p w14:paraId="246DDC9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3.2.4 招标人设有最高投标限价的，投标人的投标报价不得超过最高投标限价，最高投标限价在投标人须知前附表中载明。</w:t>
      </w:r>
    </w:p>
    <w:p w14:paraId="502C3E09">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3.2.5 投标报价的其他要求见投标人须知前附表。</w:t>
      </w:r>
    </w:p>
    <w:p w14:paraId="662BD2D3">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1" w:name="_bookmark40"/>
      <w:bookmarkEnd w:id="141"/>
      <w:bookmarkStart w:id="142" w:name="_Toc54550702"/>
      <w:bookmarkStart w:id="143" w:name="_Toc62034419"/>
      <w:r>
        <w:rPr>
          <w:rFonts w:hint="eastAsia" w:ascii="宋体" w:hAnsi="宋体" w:eastAsia="宋体" w:cs="宋体"/>
          <w:b/>
          <w:bCs/>
          <w:color w:val="auto"/>
          <w:sz w:val="21"/>
          <w:szCs w:val="21"/>
          <w:highlight w:val="none"/>
        </w:rPr>
        <w:t>3.3 投标有效期</w:t>
      </w:r>
      <w:bookmarkEnd w:id="142"/>
      <w:bookmarkEnd w:id="143"/>
    </w:p>
    <w:p w14:paraId="49B1834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3.3.1 投标有效期</w:t>
      </w:r>
      <w:r>
        <w:rPr>
          <w:rFonts w:hint="eastAsia" w:ascii="宋体" w:hAnsi="宋体" w:eastAsia="宋体" w:cs="宋体"/>
          <w:color w:val="auto"/>
          <w:sz w:val="21"/>
          <w:szCs w:val="21"/>
          <w:highlight w:val="none"/>
          <w:lang w:val="en-US" w:eastAsia="zh-CN"/>
        </w:rPr>
        <w:t>见投标人前附表</w:t>
      </w:r>
      <w:r>
        <w:rPr>
          <w:rFonts w:hint="eastAsia" w:ascii="宋体" w:hAnsi="宋体" w:eastAsia="宋体" w:cs="宋体"/>
          <w:color w:val="auto"/>
          <w:sz w:val="21"/>
          <w:szCs w:val="21"/>
          <w:highlight w:val="none"/>
        </w:rPr>
        <w:t>。</w:t>
      </w:r>
    </w:p>
    <w:p w14:paraId="6C6CA78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3.3.2 在投标有效期内，投标人撤销投标文件的，应承担招标文件和法律规定的责任。</w:t>
      </w:r>
    </w:p>
    <w:p w14:paraId="559A422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3.3.3 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p>
    <w:p w14:paraId="50C4C35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4" w:name="_bookmark41"/>
      <w:bookmarkEnd w:id="144"/>
      <w:bookmarkStart w:id="145" w:name="_Toc54550703"/>
      <w:bookmarkStart w:id="146" w:name="_Toc62034420"/>
      <w:r>
        <w:rPr>
          <w:rFonts w:hint="eastAsia" w:ascii="宋体" w:hAnsi="宋体" w:eastAsia="宋体" w:cs="宋体"/>
          <w:b/>
          <w:bCs/>
          <w:color w:val="auto"/>
          <w:sz w:val="21"/>
          <w:szCs w:val="21"/>
          <w:highlight w:val="none"/>
        </w:rPr>
        <w:t>3.4 投标保证金</w:t>
      </w:r>
      <w:bookmarkEnd w:id="145"/>
      <w:bookmarkEnd w:id="146"/>
    </w:p>
    <w:p w14:paraId="022B1728">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3.4.1投标人在递交投标文件的同时，应按投标人须知前附表规定的金额、形式和第六章“投标文件格式”规定的投标保证金格式递交投标保证金，并作为其投标文件的组成部分。境内投标人以现金或者支票形式提交的投标保证金，应当从其基本账户转出并在投标文件中附上基本账户开户证明。联合体投标的，其投标保证金可以由牵头人递交，并应符合投标人须知前附表的规定。</w:t>
      </w:r>
    </w:p>
    <w:p w14:paraId="284BC45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3.4.2 投标人不按本章第3.4.1项要求提交投标保证金的，评标委员会将否决其投标。</w:t>
      </w:r>
    </w:p>
    <w:p w14:paraId="01E9810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 </w:t>
      </w:r>
      <w:r>
        <w:rPr>
          <w:rFonts w:hint="eastAsia" w:ascii="宋体" w:hAnsi="宋体" w:eastAsia="宋体" w:cs="宋体"/>
          <w:sz w:val="21"/>
          <w:szCs w:val="21"/>
          <w:highlight w:val="none"/>
          <w:lang w:val="en-US" w:eastAsia="zh-CN"/>
        </w:rPr>
        <w:t>依照驻马店市公共资源交易平台退还投标保证金流程</w:t>
      </w:r>
      <w:r>
        <w:rPr>
          <w:rFonts w:hint="eastAsia" w:ascii="宋体" w:hAnsi="宋体" w:eastAsia="宋体" w:cs="宋体"/>
          <w:sz w:val="21"/>
          <w:szCs w:val="21"/>
          <w:highlight w:val="none"/>
        </w:rPr>
        <w:t>退还向未中标的投标人和中标人退还投标保证金。</w:t>
      </w:r>
    </w:p>
    <w:p w14:paraId="0D03C7C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3.4.4 有下列情形之一的，投标保证金将不予退还：</w:t>
      </w:r>
    </w:p>
    <w:p w14:paraId="1B82974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（1）投标人在投标有效期内撤销投标文件；</w:t>
      </w:r>
    </w:p>
    <w:p w14:paraId="4D3B7A6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（2）中标人在收到中标通知书后，无正当理由不与招标人订立合同，在签订合同时向招标人提出附加条件，或者不按照招标文件要求提交履约保证金；</w:t>
      </w:r>
    </w:p>
    <w:p w14:paraId="0B1BD48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（3）发生投标人须知前附表规定的其他可以不予退还投标保证金的情形。</w:t>
      </w:r>
    </w:p>
    <w:p w14:paraId="0001AAE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47" w:name="_bookmark42"/>
      <w:bookmarkEnd w:id="147"/>
      <w:bookmarkStart w:id="148" w:name="_Toc62034421"/>
      <w:bookmarkStart w:id="149" w:name="_Toc54550704"/>
      <w:r>
        <w:rPr>
          <w:rFonts w:hint="eastAsia" w:ascii="宋体" w:hAnsi="宋体" w:eastAsia="宋体" w:cs="宋体"/>
          <w:b/>
          <w:bCs/>
          <w:color w:val="auto"/>
          <w:sz w:val="21"/>
          <w:szCs w:val="21"/>
          <w:highlight w:val="none"/>
        </w:rPr>
        <w:t>3.5 资格审查资料</w:t>
      </w:r>
      <w:bookmarkEnd w:id="148"/>
      <w:bookmarkEnd w:id="149"/>
    </w:p>
    <w:p w14:paraId="79959580">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bookmarkStart w:id="150" w:name="_bookmark44"/>
      <w:bookmarkEnd w:id="150"/>
      <w:bookmarkStart w:id="151" w:name="_bookmark43"/>
      <w:bookmarkEnd w:id="151"/>
      <w:bookmarkStart w:id="152" w:name="_Toc54550705"/>
      <w:bookmarkStart w:id="153" w:name="_Toc62034422"/>
      <w:r>
        <w:rPr>
          <w:rFonts w:hint="eastAsia" w:ascii="宋体" w:hAnsi="宋体" w:eastAsia="宋体" w:cs="宋体"/>
          <w:b w:val="0"/>
          <w:bCs w:val="0"/>
          <w:color w:val="auto"/>
          <w:kern w:val="2"/>
          <w:sz w:val="21"/>
          <w:szCs w:val="21"/>
          <w:highlight w:val="none"/>
          <w:lang w:val="en-US" w:eastAsia="zh-CN" w:bidi="ar-SA"/>
        </w:rPr>
        <w:t>本项目采用资格后审，投标人在编制投标文件时，应按投标须知前附表1.4.1款规定提供资格审查资料，以证明其满足本章第1.4款规定的资质、业绩、信誉等要求。</w:t>
      </w:r>
    </w:p>
    <w:p w14:paraId="55FCF7D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3.6 备选投标方案</w:t>
      </w:r>
      <w:bookmarkEnd w:id="152"/>
      <w:bookmarkEnd w:id="153"/>
    </w:p>
    <w:p w14:paraId="659FD8A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3.6.1 除投标人须知前附表规定允许外，投标人不得递交备选投标方案，否则其投标将被否决。</w:t>
      </w:r>
    </w:p>
    <w:p w14:paraId="4282AFE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14:paraId="124425F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3.6.3 投标人提供两个或两个以上投标报价，或者在投标文件中提供一个报价，但同时提供两个或两个以上供货方案的，视为提供备选方案。</w:t>
      </w:r>
    </w:p>
    <w:p w14:paraId="1BB1162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54" w:name="_bookmark45"/>
      <w:bookmarkEnd w:id="154"/>
      <w:bookmarkStart w:id="155" w:name="_Toc54550706"/>
      <w:bookmarkStart w:id="156" w:name="_Toc62034423"/>
      <w:r>
        <w:rPr>
          <w:rFonts w:hint="eastAsia" w:ascii="宋体" w:hAnsi="宋体" w:eastAsia="宋体" w:cs="宋体"/>
          <w:b/>
          <w:bCs/>
          <w:color w:val="auto"/>
          <w:sz w:val="21"/>
          <w:szCs w:val="21"/>
          <w:highlight w:val="none"/>
        </w:rPr>
        <w:t>3.7 投标文件的编制</w:t>
      </w:r>
      <w:bookmarkEnd w:id="155"/>
      <w:bookmarkEnd w:id="156"/>
    </w:p>
    <w:p w14:paraId="0E69463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3.7.1 投标文件应按第六章“投标文件格式”进行编写，如有必要，可以增加附页，作为投标文件的组成部分。</w:t>
      </w:r>
    </w:p>
    <w:p w14:paraId="11F055D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3.7.2 投标文件应当对招标文件有关供货期（服务期）、投标有效期、供货要求、招标范围等实质性内容作出响应。投标文件在满足招标文件实质性要求的基础上，可以提出比招标文件要求更有利于招标人的承诺。</w:t>
      </w:r>
    </w:p>
    <w:p w14:paraId="5896AC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3.7.3投标文件全部采用电子文档，除投标人须知前附表另有规定外，投标文件所附证书证件均为原件扫描件，并采用单位和个人数字证书，按招标文件要求在相应位置加盖电子印章。由投标人的法定代表人（单位负责人）签字或加盖电子印章的，应附法定代表人（单位负责人）身份证明，由代理人签字或加盖电子印章的，应附由法定代表人（单位负责人）签署的授权委托书。签字或盖章的具体要求见投标人须知前附表。</w:t>
      </w:r>
    </w:p>
    <w:p w14:paraId="68904E17">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57" w:name="_bookmark46"/>
      <w:bookmarkEnd w:id="157"/>
      <w:bookmarkStart w:id="158" w:name="_Toc6729"/>
      <w:bookmarkStart w:id="159" w:name="_Toc13277"/>
      <w:bookmarkStart w:id="160" w:name="_Toc32088"/>
      <w:bookmarkStart w:id="161" w:name="_Toc62034424"/>
      <w:bookmarkStart w:id="162" w:name="_Toc16768"/>
      <w:bookmarkStart w:id="163" w:name="_Toc3969"/>
      <w:bookmarkStart w:id="164" w:name="_Toc30040"/>
      <w:r>
        <w:rPr>
          <w:rFonts w:hint="eastAsia" w:ascii="宋体" w:hAnsi="宋体" w:eastAsia="宋体" w:cs="宋体"/>
          <w:b/>
          <w:color w:val="auto"/>
          <w:sz w:val="21"/>
          <w:szCs w:val="21"/>
          <w:highlight w:val="none"/>
        </w:rPr>
        <w:t>4.投标</w:t>
      </w:r>
      <w:bookmarkEnd w:id="158"/>
      <w:bookmarkEnd w:id="159"/>
      <w:bookmarkEnd w:id="160"/>
      <w:bookmarkEnd w:id="161"/>
      <w:bookmarkEnd w:id="162"/>
      <w:bookmarkEnd w:id="163"/>
      <w:bookmarkEnd w:id="164"/>
    </w:p>
    <w:p w14:paraId="4A5657C1">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lang w:eastAsia="zh-CN"/>
        </w:rPr>
      </w:pPr>
      <w:bookmarkStart w:id="165" w:name="_bookmark47"/>
      <w:bookmarkEnd w:id="165"/>
      <w:bookmarkStart w:id="166" w:name="_Toc62034425"/>
      <w:bookmarkStart w:id="167" w:name="_Toc54550708"/>
      <w:r>
        <w:rPr>
          <w:rFonts w:hint="eastAsia" w:ascii="宋体" w:hAnsi="宋体" w:eastAsia="宋体" w:cs="宋体"/>
          <w:b/>
          <w:bCs/>
          <w:color w:val="auto"/>
          <w:sz w:val="21"/>
          <w:szCs w:val="21"/>
          <w:highlight w:val="none"/>
        </w:rPr>
        <w:t>4.1 投标文件的</w:t>
      </w:r>
      <w:bookmarkEnd w:id="166"/>
      <w:bookmarkEnd w:id="167"/>
      <w:r>
        <w:rPr>
          <w:rFonts w:hint="eastAsia" w:ascii="宋体" w:hAnsi="宋体" w:eastAsia="宋体" w:cs="宋体"/>
          <w:b/>
          <w:bCs/>
          <w:color w:val="auto"/>
          <w:sz w:val="21"/>
          <w:szCs w:val="21"/>
          <w:highlight w:val="none"/>
          <w:lang w:val="en-US" w:eastAsia="zh-CN"/>
        </w:rPr>
        <w:t>加密</w:t>
      </w:r>
    </w:p>
    <w:p w14:paraId="211605C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4.1.1投标人应当按照招标文件和电子招标投标交易平台的要求加密投标文件，具体要求见投标人须知前附表。</w:t>
      </w:r>
    </w:p>
    <w:p w14:paraId="1AAA4F1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68" w:name="_bookmark48"/>
      <w:bookmarkEnd w:id="168"/>
      <w:bookmarkStart w:id="169" w:name="_Toc62034426"/>
      <w:bookmarkStart w:id="170" w:name="_Toc54550709"/>
      <w:r>
        <w:rPr>
          <w:rFonts w:hint="eastAsia" w:ascii="宋体" w:hAnsi="宋体" w:eastAsia="宋体" w:cs="宋体"/>
          <w:b/>
          <w:bCs/>
          <w:color w:val="auto"/>
          <w:sz w:val="21"/>
          <w:szCs w:val="21"/>
          <w:highlight w:val="none"/>
        </w:rPr>
        <w:t>4.2 投标文件的递交</w:t>
      </w:r>
      <w:bookmarkEnd w:id="169"/>
      <w:bookmarkEnd w:id="170"/>
    </w:p>
    <w:p w14:paraId="5E488880">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71" w:name="_Toc62034427"/>
      <w:bookmarkStart w:id="172" w:name="_Toc54550710"/>
      <w:r>
        <w:rPr>
          <w:rFonts w:hint="eastAsia" w:ascii="宋体" w:hAnsi="宋体" w:eastAsia="宋体" w:cs="宋体"/>
          <w:color w:val="auto"/>
          <w:sz w:val="21"/>
          <w:szCs w:val="21"/>
          <w:highlight w:val="none"/>
        </w:rPr>
        <w:t>4.2.1 投标人加密电子投标文件应在投标截止时间前上传。</w:t>
      </w:r>
    </w:p>
    <w:p w14:paraId="13BD0741">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4.2.2 投标人递交投标文件的地点：见投标人须知前附表。</w:t>
      </w:r>
    </w:p>
    <w:p w14:paraId="40BDFB3B">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4.2.3 除投标人须知前附表另有规定外，投标人所递交的投标文件不予退还。</w:t>
      </w:r>
    </w:p>
    <w:p w14:paraId="7FD7C87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4.2.4 投标人完成电子投标文件上传后，电子招标投标交易平台即时向投标人发出递交回执通知。递交时间以递交回执通知载明的传输完成时间为准。</w:t>
      </w:r>
    </w:p>
    <w:p w14:paraId="4BD4ED49">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4.2.5 逾期</w:t>
      </w:r>
      <w:r>
        <w:rPr>
          <w:rFonts w:hint="eastAsia" w:ascii="宋体" w:hAnsi="宋体" w:eastAsia="宋体" w:cs="宋体"/>
          <w:b w:val="0"/>
          <w:bCs w:val="0"/>
          <w:color w:val="auto"/>
          <w:sz w:val="21"/>
          <w:szCs w:val="21"/>
          <w:highlight w:val="none"/>
          <w:lang w:val="en-US" w:eastAsia="zh-CN"/>
        </w:rPr>
        <w:t>上传</w:t>
      </w:r>
      <w:r>
        <w:rPr>
          <w:rFonts w:hint="eastAsia" w:ascii="宋体" w:hAnsi="宋体" w:eastAsia="宋体" w:cs="宋体"/>
          <w:b w:val="0"/>
          <w:bCs w:val="0"/>
          <w:color w:val="auto"/>
          <w:sz w:val="21"/>
          <w:szCs w:val="21"/>
          <w:highlight w:val="none"/>
        </w:rPr>
        <w:t>的投标文件，电子招标投标交易平台将予以拒收。</w:t>
      </w:r>
    </w:p>
    <w:p w14:paraId="2D30A1CC">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4.3 投标文件的修改与撤回</w:t>
      </w:r>
      <w:bookmarkEnd w:id="171"/>
      <w:bookmarkEnd w:id="172"/>
    </w:p>
    <w:p w14:paraId="27C4401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73" w:name="_bookmark50"/>
      <w:bookmarkEnd w:id="173"/>
      <w:bookmarkStart w:id="174" w:name="_Toc21261"/>
      <w:bookmarkStart w:id="175" w:name="_Toc27753"/>
      <w:bookmarkStart w:id="176" w:name="_Toc4544"/>
      <w:bookmarkStart w:id="177" w:name="_Toc62034428"/>
      <w:bookmarkStart w:id="178" w:name="_Toc12470"/>
      <w:r>
        <w:rPr>
          <w:rFonts w:hint="eastAsia" w:ascii="宋体" w:hAnsi="宋体" w:eastAsia="宋体" w:cs="宋体"/>
          <w:color w:val="auto"/>
          <w:sz w:val="21"/>
          <w:szCs w:val="21"/>
          <w:highlight w:val="none"/>
        </w:rPr>
        <w:t>4.3.1 在规定的投标截止时间前，投标人可以修改或撤回已递交的投标文件。投标人对加密的投标文件进行撤回的，应在“电子交易平台”直接进行撤回操作；投标人对加密的投标文件进行修改的，应在投标截止时间前完成上传。</w:t>
      </w:r>
    </w:p>
    <w:p w14:paraId="264FC1E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4.3.2 投标人修改投标文件的，应使用“投标文件制作工具”制作成完整的投标文件，并按照本章第3条、第4条规定进行编制、加密和递交。对采用网上递交的加密的投标文件，以投标截止时间前最后完成上传的文件为准。</w:t>
      </w:r>
    </w:p>
    <w:p w14:paraId="0356900D">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4.3.3 投标人撤回投标文件的，</w:t>
      </w:r>
      <w:r>
        <w:rPr>
          <w:rFonts w:hint="eastAsia" w:ascii="宋体" w:hAnsi="宋体" w:eastAsia="宋体" w:cs="宋体"/>
          <w:color w:val="auto"/>
          <w:sz w:val="21"/>
          <w:szCs w:val="21"/>
          <w:highlight w:val="none"/>
          <w:lang w:val="en-US" w:eastAsia="zh-CN"/>
        </w:rPr>
        <w:t>依照驻马店市公共资源交易平台退还投标保证金流程</w:t>
      </w:r>
      <w:r>
        <w:rPr>
          <w:rFonts w:hint="eastAsia" w:ascii="宋体" w:hAnsi="宋体" w:eastAsia="宋体" w:cs="宋体"/>
          <w:color w:val="auto"/>
          <w:sz w:val="21"/>
          <w:szCs w:val="21"/>
          <w:highlight w:val="none"/>
        </w:rPr>
        <w:t>退还已收取的投标保证金。</w:t>
      </w:r>
    </w:p>
    <w:p w14:paraId="07413939">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179" w:name="_Toc17369"/>
      <w:bookmarkStart w:id="180" w:name="_Toc24409"/>
      <w:r>
        <w:rPr>
          <w:rFonts w:hint="eastAsia" w:ascii="宋体" w:hAnsi="宋体" w:eastAsia="宋体" w:cs="宋体"/>
          <w:b/>
          <w:color w:val="auto"/>
          <w:sz w:val="21"/>
          <w:szCs w:val="21"/>
          <w:highlight w:val="none"/>
        </w:rPr>
        <w:t>5.开标</w:t>
      </w:r>
      <w:bookmarkEnd w:id="174"/>
      <w:bookmarkEnd w:id="175"/>
      <w:bookmarkEnd w:id="176"/>
      <w:bookmarkEnd w:id="177"/>
      <w:bookmarkEnd w:id="178"/>
      <w:bookmarkEnd w:id="179"/>
      <w:bookmarkEnd w:id="180"/>
    </w:p>
    <w:p w14:paraId="44D97132">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81" w:name="_bookmark51"/>
      <w:bookmarkEnd w:id="181"/>
      <w:bookmarkStart w:id="182" w:name="_Toc54550712"/>
      <w:bookmarkStart w:id="183" w:name="_Toc62034429"/>
      <w:r>
        <w:rPr>
          <w:rFonts w:hint="eastAsia" w:ascii="宋体" w:hAnsi="宋体" w:eastAsia="宋体" w:cs="宋体"/>
          <w:b/>
          <w:bCs/>
          <w:color w:val="auto"/>
          <w:sz w:val="21"/>
          <w:szCs w:val="21"/>
          <w:highlight w:val="none"/>
        </w:rPr>
        <w:t>5.1 开标时间和地点</w:t>
      </w:r>
      <w:bookmarkEnd w:id="182"/>
      <w:bookmarkEnd w:id="183"/>
    </w:p>
    <w:p w14:paraId="64F27EC4">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bookmarkStart w:id="184" w:name="_bookmark53"/>
      <w:bookmarkEnd w:id="184"/>
      <w:bookmarkStart w:id="185" w:name="_bookmark52"/>
      <w:bookmarkEnd w:id="185"/>
      <w:bookmarkStart w:id="186" w:name="_Toc54550713"/>
      <w:bookmarkStart w:id="187" w:name="_Toc62034430"/>
      <w:r>
        <w:rPr>
          <w:rFonts w:hint="eastAsia" w:ascii="宋体" w:hAnsi="宋体" w:eastAsia="宋体" w:cs="宋体"/>
          <w:b w:val="0"/>
          <w:bCs w:val="0"/>
          <w:color w:val="auto"/>
          <w:sz w:val="21"/>
          <w:szCs w:val="21"/>
          <w:highlight w:val="none"/>
        </w:rPr>
        <w:t>招标人在投标截止时间(开标时间)，通过电子招标投标交易平台公开开标，所有投标人的法</w:t>
      </w:r>
    </w:p>
    <w:p w14:paraId="50727493">
      <w:pPr>
        <w:widowControl w:val="0"/>
        <w:adjustRightInd w:val="0"/>
        <w:snapToGrid w:val="0"/>
        <w:spacing w:beforeLines="0" w:afterLines="0" w:line="360" w:lineRule="auto"/>
        <w:ind w:firstLine="420" w:firstLineChars="20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定代表人(单位负责人)或其委托代理人应当准时参加。</w:t>
      </w:r>
    </w:p>
    <w:p w14:paraId="313E74DF">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5.2 开标程序</w:t>
      </w:r>
      <w:bookmarkEnd w:id="186"/>
      <w:bookmarkEnd w:id="187"/>
    </w:p>
    <w:p w14:paraId="3D23AC2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bookmarkStart w:id="188" w:name="_bookmark54"/>
      <w:bookmarkEnd w:id="188"/>
      <w:bookmarkStart w:id="189" w:name="_bookmark55"/>
      <w:bookmarkEnd w:id="189"/>
      <w:bookmarkStart w:id="190" w:name="_Toc14685"/>
      <w:bookmarkStart w:id="191" w:name="_Toc22344"/>
      <w:bookmarkStart w:id="192" w:name="_Toc9179"/>
      <w:bookmarkStart w:id="193" w:name="_Toc16624"/>
      <w:bookmarkStart w:id="194" w:name="_Toc62034432"/>
      <w:bookmarkStart w:id="195" w:name="_Toc2166"/>
      <w:bookmarkStart w:id="196" w:name="_Toc8459"/>
      <w:r>
        <w:rPr>
          <w:rFonts w:hint="eastAsia" w:ascii="宋体" w:hAnsi="宋体" w:eastAsia="宋体" w:cs="宋体"/>
          <w:color w:val="auto"/>
          <w:sz w:val="21"/>
          <w:szCs w:val="21"/>
          <w:highlight w:val="none"/>
        </w:rPr>
        <w:t>见投标人须知前附表。</w:t>
      </w:r>
    </w:p>
    <w:p w14:paraId="02846461">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开标异议</w:t>
      </w:r>
    </w:p>
    <w:p w14:paraId="1A5AB9AA">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投标人对开标有异议的，应当在开标环节提出，招标人当场作出答复，并制作记录。</w:t>
      </w:r>
    </w:p>
    <w:p w14:paraId="27169C79">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6.评标</w:t>
      </w:r>
      <w:bookmarkEnd w:id="190"/>
      <w:bookmarkEnd w:id="191"/>
      <w:bookmarkEnd w:id="192"/>
      <w:bookmarkEnd w:id="193"/>
      <w:bookmarkEnd w:id="194"/>
      <w:bookmarkEnd w:id="195"/>
      <w:bookmarkEnd w:id="196"/>
    </w:p>
    <w:p w14:paraId="3C1CBC2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197" w:name="_bookmark56"/>
      <w:bookmarkEnd w:id="197"/>
      <w:bookmarkStart w:id="198" w:name="_Toc62034433"/>
      <w:bookmarkStart w:id="199" w:name="_Toc54550716"/>
      <w:r>
        <w:rPr>
          <w:rFonts w:hint="eastAsia" w:ascii="宋体" w:hAnsi="宋体" w:eastAsia="宋体" w:cs="宋体"/>
          <w:b/>
          <w:bCs/>
          <w:color w:val="auto"/>
          <w:sz w:val="21"/>
          <w:szCs w:val="21"/>
          <w:highlight w:val="none"/>
        </w:rPr>
        <w:t>6.1 评标委员会</w:t>
      </w:r>
      <w:bookmarkEnd w:id="198"/>
      <w:bookmarkEnd w:id="199"/>
    </w:p>
    <w:p w14:paraId="6BB7751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6.1.1 评标由招标人依法组建的评标委员会负责。评标委员会由有关技术、经济等方面的专家组成。评标委员会成员人数以及技术、经济等方面专家的确定方式见投标人须知前附表。</w:t>
      </w:r>
    </w:p>
    <w:p w14:paraId="44B5C7A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6.1.2 评标委员会成员有下列情形之一的，应当回避：</w:t>
      </w:r>
    </w:p>
    <w:p w14:paraId="204D2B1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（1）投标人或投标人主要负责人的近亲属；</w:t>
      </w:r>
    </w:p>
    <w:p w14:paraId="08E1665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（2）项目主管部门或者行政监督部门的人员；</w:t>
      </w:r>
    </w:p>
    <w:p w14:paraId="18C12CC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（3）与投标人有经济利益关系，可能影响对投标公正评审的；</w:t>
      </w:r>
    </w:p>
    <w:p w14:paraId="5E2F7D1F">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（4）曾因在招标、评标以及其他与招标投标有关活动中从事违法行为而受过行政处罚或刑事处罚的；</w:t>
      </w:r>
    </w:p>
    <w:p w14:paraId="75103A66">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（5）与投标人有其他利害关系。</w:t>
      </w:r>
    </w:p>
    <w:p w14:paraId="7151EAD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14:paraId="7458C255">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00" w:name="_bookmark57"/>
      <w:bookmarkEnd w:id="200"/>
      <w:bookmarkStart w:id="201" w:name="_Toc62034434"/>
      <w:bookmarkStart w:id="202" w:name="_Toc54550717"/>
      <w:r>
        <w:rPr>
          <w:rFonts w:hint="eastAsia" w:ascii="宋体" w:hAnsi="宋体" w:eastAsia="宋体" w:cs="宋体"/>
          <w:b/>
          <w:bCs/>
          <w:color w:val="auto"/>
          <w:sz w:val="21"/>
          <w:szCs w:val="21"/>
          <w:highlight w:val="none"/>
        </w:rPr>
        <w:t>6.2 评标原则</w:t>
      </w:r>
      <w:bookmarkEnd w:id="201"/>
      <w:bookmarkEnd w:id="202"/>
    </w:p>
    <w:p w14:paraId="279FA86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评标活动遵循公平、公正、科学和择优的原则。</w:t>
      </w:r>
    </w:p>
    <w:p w14:paraId="0DFDD78E">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03" w:name="_Toc54550718"/>
      <w:bookmarkStart w:id="204" w:name="_Toc62034435"/>
      <w:r>
        <w:rPr>
          <w:rFonts w:hint="eastAsia" w:ascii="宋体" w:hAnsi="宋体" w:eastAsia="宋体" w:cs="宋体"/>
          <w:b/>
          <w:bCs/>
          <w:color w:val="auto"/>
          <w:sz w:val="21"/>
          <w:szCs w:val="21"/>
          <w:highlight w:val="none"/>
        </w:rPr>
        <w:t>6.3 评标</w:t>
      </w:r>
      <w:bookmarkEnd w:id="203"/>
      <w:bookmarkEnd w:id="204"/>
    </w:p>
    <w:p w14:paraId="3A3EED62">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6.3.1 评标委员会按照第三章“评标办法及定标办法”规定的方法、评审因素、标准和程序对投标文件进行评审。第三章“评标办法及定标办法”没有规定的方法、评审因素和标准，不作为评标依据。</w:t>
      </w:r>
    </w:p>
    <w:p w14:paraId="5678D70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6.3.2 评标完成后，评标委员会应当向招标人提交书面评标报告和中标候选人名单。评标委员会推荐中标候选人的人数见投标人须知前附表。</w:t>
      </w:r>
    </w:p>
    <w:p w14:paraId="17B276DC">
      <w:pPr>
        <w:widowControl w:val="0"/>
        <w:adjustRightInd w:val="0"/>
        <w:snapToGrid w:val="0"/>
        <w:spacing w:before="0" w:beforeLines="0" w:after="0" w:afterLines="0" w:line="360" w:lineRule="auto"/>
        <w:ind w:firstLine="0" w:firstLineChars="0"/>
        <w:jc w:val="both"/>
        <w:outlineLvl w:val="1"/>
        <w:rPr>
          <w:rFonts w:hint="eastAsia" w:ascii="宋体" w:hAnsi="宋体" w:eastAsia="宋体" w:cs="宋体"/>
          <w:color w:val="auto"/>
          <w:sz w:val="21"/>
          <w:szCs w:val="21"/>
          <w:highlight w:val="none"/>
        </w:rPr>
      </w:pPr>
      <w:bookmarkStart w:id="205" w:name="_bookmark59"/>
      <w:bookmarkEnd w:id="205"/>
      <w:bookmarkStart w:id="206" w:name="_Toc21577"/>
      <w:bookmarkStart w:id="207" w:name="_Toc15649"/>
      <w:bookmarkStart w:id="208" w:name="_Toc17255"/>
      <w:bookmarkStart w:id="209" w:name="_Toc4798"/>
      <w:bookmarkStart w:id="210" w:name="_Toc9976"/>
      <w:bookmarkStart w:id="211" w:name="_Toc62034436"/>
      <w:bookmarkStart w:id="212" w:name="_Toc13538"/>
      <w:r>
        <w:rPr>
          <w:rFonts w:hint="eastAsia" w:ascii="宋体" w:hAnsi="宋体" w:eastAsia="宋体" w:cs="宋体"/>
          <w:b/>
          <w:color w:val="auto"/>
          <w:sz w:val="21"/>
          <w:szCs w:val="21"/>
          <w:highlight w:val="none"/>
        </w:rPr>
        <w:t>7.合同授予</w:t>
      </w:r>
      <w:bookmarkEnd w:id="206"/>
      <w:bookmarkEnd w:id="207"/>
      <w:bookmarkEnd w:id="208"/>
      <w:bookmarkEnd w:id="209"/>
      <w:bookmarkEnd w:id="210"/>
      <w:bookmarkEnd w:id="211"/>
      <w:bookmarkEnd w:id="212"/>
    </w:p>
    <w:p w14:paraId="1F375BF6">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3" w:name="_bookmark60"/>
      <w:bookmarkEnd w:id="213"/>
      <w:bookmarkStart w:id="214" w:name="_Toc54550720"/>
      <w:bookmarkStart w:id="215" w:name="_Toc62034437"/>
      <w:r>
        <w:rPr>
          <w:rFonts w:hint="eastAsia" w:ascii="宋体" w:hAnsi="宋体" w:eastAsia="宋体" w:cs="宋体"/>
          <w:b/>
          <w:bCs/>
          <w:color w:val="auto"/>
          <w:sz w:val="21"/>
          <w:szCs w:val="21"/>
          <w:highlight w:val="none"/>
        </w:rPr>
        <w:t>7.1 中标候选人公示</w:t>
      </w:r>
      <w:bookmarkEnd w:id="214"/>
      <w:bookmarkEnd w:id="215"/>
    </w:p>
    <w:p w14:paraId="388648F2">
      <w:pPr>
        <w:keepNext w:val="0"/>
        <w:keepLines w:val="0"/>
        <w:pageBreakBefore w:val="0"/>
        <w:widowControl/>
        <w:kinsoku/>
        <w:wordWrap/>
        <w:overflowPunct/>
        <w:topLinePunct w:val="0"/>
        <w:autoSpaceDE/>
        <w:autoSpaceDN/>
        <w:bidi w:val="0"/>
        <w:spacing w:beforeLines="0" w:afterLines="0" w:line="360" w:lineRule="auto"/>
        <w:ind w:firstLine="420" w:firstLineChars="200"/>
        <w:jc w:val="left"/>
        <w:textAlignment w:val="auto"/>
        <w:rPr>
          <w:rFonts w:hint="eastAsia" w:ascii="宋体" w:hAnsi="宋体" w:eastAsia="宋体" w:cs="宋体"/>
          <w:sz w:val="21"/>
          <w:szCs w:val="21"/>
          <w:highlight w:val="none"/>
        </w:rPr>
      </w:pPr>
      <w:bookmarkStart w:id="216" w:name="_bookmark61"/>
      <w:bookmarkEnd w:id="216"/>
      <w:r>
        <w:rPr>
          <w:rFonts w:hint="eastAsia" w:ascii="宋体" w:hAnsi="宋体" w:eastAsia="宋体" w:cs="宋体"/>
          <w:sz w:val="21"/>
          <w:szCs w:val="21"/>
          <w:highlight w:val="none"/>
        </w:rPr>
        <w:t>招标人在收到评标报告之日起3日内，按照投标人须知前附表规定的公示媒介和期限公示中标候选人，公示期不得少于3天。</w:t>
      </w:r>
    </w:p>
    <w:p w14:paraId="6C864B51">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7" w:name="_Toc54550721"/>
      <w:bookmarkStart w:id="218" w:name="_Toc62034438"/>
      <w:r>
        <w:rPr>
          <w:rFonts w:hint="eastAsia" w:ascii="宋体" w:hAnsi="宋体" w:eastAsia="宋体" w:cs="宋体"/>
          <w:b/>
          <w:bCs/>
          <w:color w:val="auto"/>
          <w:sz w:val="21"/>
          <w:szCs w:val="21"/>
          <w:highlight w:val="none"/>
        </w:rPr>
        <w:t>7.2 评标结果异议</w:t>
      </w:r>
      <w:bookmarkEnd w:id="217"/>
      <w:bookmarkEnd w:id="218"/>
    </w:p>
    <w:p w14:paraId="0884AD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投标人或者其他利害关系人对评标结果有异议的，应当在中标候选人公示期间提出。招标人将在收到异议之日起3日内作出答复；作出答复前，将暂停招标投标活动。</w:t>
      </w:r>
    </w:p>
    <w:p w14:paraId="4F4C4807">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0" w:firstLineChars="0"/>
        <w:jc w:val="both"/>
        <w:textAlignment w:val="auto"/>
        <w:rPr>
          <w:rFonts w:hint="eastAsia" w:ascii="宋体" w:hAnsi="宋体" w:eastAsia="宋体" w:cs="宋体"/>
          <w:b/>
          <w:bCs/>
          <w:color w:val="auto"/>
          <w:sz w:val="21"/>
          <w:szCs w:val="21"/>
          <w:highlight w:val="none"/>
        </w:rPr>
      </w:pPr>
      <w:bookmarkStart w:id="219" w:name="_bookmark62"/>
      <w:bookmarkEnd w:id="219"/>
      <w:bookmarkStart w:id="220" w:name="_Toc62034439"/>
      <w:bookmarkStart w:id="221" w:name="_Toc54550722"/>
      <w:r>
        <w:rPr>
          <w:rFonts w:hint="eastAsia" w:ascii="宋体" w:hAnsi="宋体" w:eastAsia="宋体" w:cs="宋体"/>
          <w:b/>
          <w:bCs/>
          <w:color w:val="auto"/>
          <w:sz w:val="21"/>
          <w:szCs w:val="21"/>
          <w:highlight w:val="none"/>
        </w:rPr>
        <w:t>7.3 中标候选人履约能力审查</w:t>
      </w:r>
      <w:bookmarkEnd w:id="220"/>
      <w:bookmarkEnd w:id="221"/>
    </w:p>
    <w:p w14:paraId="3E9300DC">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中标候选人的经营、财务状况发生较大变化或存在违法行为，招标人认为可能影响其履约能力的，将在发出中标通知书前提请原评标委员会按照招标文件规定的标准和方法进行审查确认。</w:t>
      </w:r>
    </w:p>
    <w:p w14:paraId="1E89C98E">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2" w:name="_bookmark63"/>
      <w:bookmarkEnd w:id="222"/>
      <w:bookmarkStart w:id="223" w:name="_Toc54550724"/>
      <w:bookmarkStart w:id="224" w:name="_Toc62034441"/>
      <w:r>
        <w:rPr>
          <w:rFonts w:hint="eastAsia" w:ascii="宋体" w:hAnsi="宋体" w:eastAsia="宋体" w:cs="宋体"/>
          <w:b/>
          <w:bCs/>
          <w:color w:val="auto"/>
          <w:sz w:val="21"/>
          <w:szCs w:val="21"/>
          <w:highlight w:val="none"/>
        </w:rPr>
        <w:t>7.4 定标方式</w:t>
      </w:r>
    </w:p>
    <w:p w14:paraId="58E7743E">
      <w:pPr>
        <w:keepNext w:val="0"/>
        <w:keepLines w:val="0"/>
        <w:pageBreakBefore w:val="0"/>
        <w:widowControl w:val="0"/>
        <w:kinsoku/>
        <w:wordWrap/>
        <w:overflowPunct/>
        <w:topLinePunct w:val="0"/>
        <w:autoSpaceDE/>
        <w:autoSpaceDN/>
        <w:bidi w:val="0"/>
        <w:adjustRightInd w:val="0"/>
        <w:snapToGrid w:val="0"/>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按照投标人须知前附表的规定，采用评定分离方式确定中标人。具体定标办法详见第三章“评标办法和定标办法”。</w:t>
      </w:r>
    </w:p>
    <w:p w14:paraId="1730080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7.5 中标通知</w:t>
      </w:r>
      <w:bookmarkEnd w:id="223"/>
      <w:bookmarkEnd w:id="224"/>
    </w:p>
    <w:p w14:paraId="2FAD9FF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在本章第3.3款规定的投标有效期内，招标人以书面形式向中标人发出中标通知书，同时将中标结果通知未中标的投标人。</w:t>
      </w:r>
    </w:p>
    <w:p w14:paraId="54D275C4">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5" w:name="_bookmark65"/>
      <w:bookmarkEnd w:id="225"/>
      <w:bookmarkStart w:id="226" w:name="_Toc62034442"/>
      <w:bookmarkStart w:id="227" w:name="_Toc54550725"/>
      <w:r>
        <w:rPr>
          <w:rFonts w:hint="eastAsia" w:ascii="宋体" w:hAnsi="宋体" w:eastAsia="宋体" w:cs="宋体"/>
          <w:b/>
          <w:bCs/>
          <w:color w:val="auto"/>
          <w:sz w:val="21"/>
          <w:szCs w:val="21"/>
          <w:highlight w:val="none"/>
        </w:rPr>
        <w:t>7.6 履约保证金</w:t>
      </w:r>
      <w:bookmarkEnd w:id="226"/>
      <w:bookmarkEnd w:id="227"/>
    </w:p>
    <w:p w14:paraId="721DFF8E">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7.6.1 在签订合同前，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%。联合体中标的，其履约保证金以联合体各方或者联合体中牵头人的名义提交。</w:t>
      </w:r>
    </w:p>
    <w:p w14:paraId="71A7B697">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7.6.2 中标人不能按本章第7.6.1项要求提交履约保证金的，视为放弃中标，其投标保证金不予退还，给招标人造成的损失超过投标保证金数额的，中标人还应当对超过部分予以赔偿。</w:t>
      </w:r>
    </w:p>
    <w:p w14:paraId="6774DC97">
      <w:pPr>
        <w:widowControl w:val="0"/>
        <w:adjustRightInd w:val="0"/>
        <w:snapToGrid w:val="0"/>
        <w:spacing w:beforeLines="0" w:afterLines="0" w:line="360" w:lineRule="auto"/>
        <w:ind w:firstLine="0" w:firstLineChars="0"/>
        <w:jc w:val="both"/>
        <w:rPr>
          <w:rFonts w:hint="eastAsia" w:ascii="宋体" w:hAnsi="宋体" w:eastAsia="宋体" w:cs="宋体"/>
          <w:b/>
          <w:bCs/>
          <w:color w:val="auto"/>
          <w:sz w:val="21"/>
          <w:szCs w:val="21"/>
          <w:highlight w:val="none"/>
        </w:rPr>
      </w:pPr>
      <w:bookmarkStart w:id="228" w:name="_bookmark66"/>
      <w:bookmarkEnd w:id="228"/>
      <w:bookmarkStart w:id="229" w:name="_Toc54550726"/>
      <w:bookmarkStart w:id="230" w:name="_Toc62034443"/>
      <w:r>
        <w:rPr>
          <w:rFonts w:hint="eastAsia" w:ascii="宋体" w:hAnsi="宋体" w:eastAsia="宋体" w:cs="宋体"/>
          <w:b/>
          <w:bCs/>
          <w:color w:val="auto"/>
          <w:sz w:val="21"/>
          <w:szCs w:val="21"/>
          <w:highlight w:val="none"/>
        </w:rPr>
        <w:t>7.7 签订合同</w:t>
      </w:r>
      <w:bookmarkEnd w:id="229"/>
      <w:bookmarkEnd w:id="230"/>
    </w:p>
    <w:p w14:paraId="61B784F5">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7.7.1 招标人和中标人应当自中标通知书发出之日起7天内，投标人需在投标文件中针对上述要求做出承诺。根据招标文件和中标人的投标文件订立书面合同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无正当理由拒签合同的，招标人取消其中标资格，其投标保证金不予退还;给招标人造成的损失超过投标保证金数额的，中标人还应当对超过部分予以赔偿。</w:t>
      </w:r>
    </w:p>
    <w:p w14:paraId="0F21813C">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7.7.2 发出中标通知书后，招标人无正当理由拒签合同，或者在签订合同时向中标人提出附加条件的，招标人向中标人退还投标保证金；给中标人造成损失的，还应当赔偿损失。</w:t>
      </w:r>
    </w:p>
    <w:p w14:paraId="13F40813">
      <w:pPr>
        <w:widowControl w:val="0"/>
        <w:adjustRightInd w:val="0"/>
        <w:snapToGrid w:val="0"/>
        <w:spacing w:beforeLines="0" w:afterLines="0" w:line="360" w:lineRule="auto"/>
        <w:ind w:firstLine="420" w:firstLineChars="2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7.7.3 联合体中标的，联合体各方应当共同与招标人签订合同，就中标项目向招标人承担连带责任。</w:t>
      </w:r>
    </w:p>
    <w:p w14:paraId="2BD6333B">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bookmarkStart w:id="231" w:name="_bookmark67"/>
      <w:bookmarkEnd w:id="231"/>
      <w:bookmarkStart w:id="232" w:name="_Toc168476089"/>
      <w:bookmarkStart w:id="233" w:name="_Toc229305348"/>
      <w:bookmarkStart w:id="234" w:name="_Toc222032657"/>
      <w:bookmarkStart w:id="235" w:name="_Toc221950220"/>
      <w:bookmarkStart w:id="236" w:name="_Toc222033839"/>
      <w:bookmarkStart w:id="237" w:name="_Toc144974539"/>
      <w:bookmarkStart w:id="238" w:name="_Toc12419"/>
      <w:bookmarkStart w:id="239" w:name="_Toc222029488"/>
      <w:bookmarkStart w:id="240" w:name="_Toc17270"/>
      <w:bookmarkStart w:id="241" w:name="_Toc5056"/>
      <w:bookmarkStart w:id="242" w:name="_Toc28472"/>
      <w:bookmarkStart w:id="243" w:name="_Toc168475686"/>
      <w:bookmarkStart w:id="244" w:name="_Toc222030990"/>
      <w:bookmarkStart w:id="245" w:name="_Toc32645"/>
      <w:bookmarkStart w:id="246" w:name="_Toc25095"/>
      <w:bookmarkStart w:id="247" w:name="_Toc24065"/>
      <w:r>
        <w:rPr>
          <w:rFonts w:hint="eastAsia" w:ascii="宋体" w:hAnsi="宋体" w:eastAsia="宋体" w:cs="宋体"/>
          <w:b/>
          <w:bCs/>
          <w:color w:val="auto"/>
          <w:kern w:val="0"/>
          <w:sz w:val="21"/>
          <w:szCs w:val="21"/>
          <w:highlight w:val="none"/>
          <w:lang w:val="en-US" w:eastAsia="zh-CN" w:bidi="ar-SA"/>
        </w:rPr>
        <w:t>8. 重新招标或经批准不招标</w:t>
      </w:r>
      <w:bookmarkEnd w:id="232"/>
      <w:bookmarkEnd w:id="233"/>
      <w:bookmarkEnd w:id="234"/>
      <w:bookmarkEnd w:id="235"/>
      <w:bookmarkEnd w:id="236"/>
      <w:bookmarkEnd w:id="237"/>
      <w:bookmarkEnd w:id="238"/>
      <w:bookmarkEnd w:id="239"/>
      <w:bookmarkEnd w:id="240"/>
      <w:bookmarkEnd w:id="241"/>
      <w:bookmarkEnd w:id="242"/>
      <w:bookmarkEnd w:id="243"/>
      <w:bookmarkEnd w:id="244"/>
    </w:p>
    <w:p w14:paraId="284E777E">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8" w:name="_Toc221950225"/>
      <w:r>
        <w:rPr>
          <w:rFonts w:hint="eastAsia" w:ascii="宋体" w:hAnsi="宋体" w:eastAsia="宋体" w:cs="宋体"/>
          <w:b/>
          <w:bCs/>
          <w:color w:val="auto"/>
          <w:sz w:val="21"/>
          <w:szCs w:val="21"/>
          <w:highlight w:val="none"/>
        </w:rPr>
        <w:t>8.1 重新招标</w:t>
      </w:r>
    </w:p>
    <w:p w14:paraId="71CF463A">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7CF680E7">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 3 个的；</w:t>
      </w:r>
    </w:p>
    <w:p w14:paraId="60832B79">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7E77B97D">
      <w:pPr>
        <w:widowControl/>
        <w:spacing w:beforeLines="0" w:afterLines="0" w:line="360" w:lineRule="auto"/>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（3）评标委员会否决不合格投标后，因有效投标不足 3 个使得投标明显缺乏竞争的，评标委员会决定否决全部投标的；</w:t>
      </w:r>
      <w:r>
        <w:rPr>
          <w:rFonts w:hint="eastAsia" w:ascii="宋体" w:hAnsi="宋体" w:eastAsia="宋体" w:cs="宋体"/>
          <w:color w:val="auto"/>
          <w:sz w:val="21"/>
          <w:szCs w:val="21"/>
          <w:highlight w:val="none"/>
          <w:lang w:val="en-US" w:eastAsia="zh-CN"/>
        </w:rPr>
        <w:t>采用评定分离方式确定中标人的项目，有效投标人不足3个的；</w:t>
      </w:r>
    </w:p>
    <w:p w14:paraId="002D981F">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（4）同意延长投标有效期的投标人少于 3 个的；</w:t>
      </w:r>
    </w:p>
    <w:p w14:paraId="1A6122AB">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（5）中标候选人均未与招标人签订合同的；</w:t>
      </w:r>
    </w:p>
    <w:p w14:paraId="304B3474">
      <w:pPr>
        <w:widowControl/>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（6）经查实，中标候选人均不具备中标资格或存在违规行为的。。</w:t>
      </w:r>
    </w:p>
    <w:p w14:paraId="2C39D123">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8.2 不再招标</w:t>
      </w:r>
    </w:p>
    <w:p w14:paraId="393FD56D">
      <w:pPr>
        <w:widowControl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重新招标后，仍出现本章第8.1条规定情形之一的，属于必须审批的工程建设项目，经行政监督部门批准后不再进行招标。</w:t>
      </w:r>
      <w:bookmarkEnd w:id="248"/>
    </w:p>
    <w:p w14:paraId="14EF4D01">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9.纪律和监督</w:t>
      </w:r>
      <w:bookmarkEnd w:id="245"/>
      <w:bookmarkEnd w:id="246"/>
      <w:bookmarkEnd w:id="247"/>
    </w:p>
    <w:p w14:paraId="10178AC5">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49" w:name="_bookmark69"/>
      <w:bookmarkEnd w:id="249"/>
      <w:bookmarkStart w:id="250" w:name="_Toc19314"/>
      <w:bookmarkStart w:id="251" w:name="_Toc24847"/>
      <w:bookmarkStart w:id="252" w:name="_Toc34814248"/>
      <w:bookmarkStart w:id="253" w:name="_Toc3273482"/>
      <w:bookmarkStart w:id="254" w:name="_Toc33277308"/>
      <w:bookmarkStart w:id="255" w:name="_Toc13447"/>
      <w:bookmarkStart w:id="256" w:name="_Toc11949"/>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.1 对招标人的纪律要求</w:t>
      </w:r>
      <w:bookmarkEnd w:id="250"/>
      <w:bookmarkEnd w:id="251"/>
      <w:bookmarkEnd w:id="252"/>
      <w:bookmarkEnd w:id="253"/>
      <w:bookmarkEnd w:id="254"/>
      <w:bookmarkEnd w:id="255"/>
      <w:bookmarkEnd w:id="256"/>
    </w:p>
    <w:p w14:paraId="37341F42">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招标人不得泄露招标投标活动中应当保密的情况和资料，不得与投标人串通损害国家利益、社会公共利益或者他人合法权益。</w:t>
      </w:r>
    </w:p>
    <w:p w14:paraId="3D77C017">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57" w:name="_bookmark70"/>
      <w:bookmarkEnd w:id="257"/>
      <w:bookmarkStart w:id="258" w:name="_Toc34814249"/>
      <w:bookmarkStart w:id="259" w:name="_Toc33277309"/>
      <w:bookmarkStart w:id="260" w:name="_Toc32216"/>
      <w:bookmarkStart w:id="261" w:name="_Toc24328"/>
      <w:bookmarkStart w:id="262" w:name="_Toc13314"/>
      <w:bookmarkStart w:id="263" w:name="_Toc9197"/>
      <w:bookmarkStart w:id="264" w:name="_Toc3273483"/>
      <w:bookmarkStart w:id="265" w:name="_Toc10372"/>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.2 对投标人的纪律要求</w:t>
      </w:r>
      <w:bookmarkEnd w:id="258"/>
      <w:bookmarkEnd w:id="259"/>
      <w:bookmarkEnd w:id="260"/>
      <w:bookmarkEnd w:id="261"/>
      <w:bookmarkEnd w:id="262"/>
      <w:bookmarkEnd w:id="263"/>
      <w:bookmarkEnd w:id="264"/>
      <w:bookmarkEnd w:id="265"/>
    </w:p>
    <w:p w14:paraId="0ED54DEC">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4954D69">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66" w:name="_bookmark71"/>
      <w:bookmarkEnd w:id="266"/>
      <w:bookmarkStart w:id="267" w:name="_Toc20882"/>
      <w:bookmarkStart w:id="268" w:name="_Toc3273484"/>
      <w:bookmarkStart w:id="269" w:name="_Toc34814250"/>
      <w:bookmarkStart w:id="270" w:name="_Toc1795"/>
      <w:bookmarkStart w:id="271" w:name="_Toc2636"/>
      <w:bookmarkStart w:id="272" w:name="_Toc31437"/>
      <w:bookmarkStart w:id="273" w:name="_Toc33277310"/>
      <w:bookmarkStart w:id="274" w:name="_Toc2837"/>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.3 对评标委员会成员的纪律要求</w:t>
      </w:r>
      <w:bookmarkEnd w:id="267"/>
      <w:bookmarkEnd w:id="268"/>
      <w:bookmarkEnd w:id="269"/>
      <w:bookmarkEnd w:id="270"/>
      <w:bookmarkEnd w:id="271"/>
      <w:bookmarkEnd w:id="272"/>
      <w:bookmarkEnd w:id="273"/>
      <w:bookmarkEnd w:id="274"/>
    </w:p>
    <w:p w14:paraId="40C34E9A">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w:t>
      </w:r>
      <w:r>
        <w:rPr>
          <w:rFonts w:hint="eastAsia" w:ascii="宋体" w:hAnsi="宋体" w:eastAsia="宋体" w:cs="宋体"/>
          <w:color w:val="auto"/>
          <w:sz w:val="21"/>
          <w:szCs w:val="21"/>
          <w:highlight w:val="none"/>
          <w:lang w:val="en-US" w:eastAsia="zh-CN"/>
        </w:rPr>
        <w:t>及定标办法</w:t>
      </w:r>
      <w:r>
        <w:rPr>
          <w:rFonts w:hint="eastAsia" w:ascii="宋体" w:hAnsi="宋体" w:eastAsia="宋体" w:cs="宋体"/>
          <w:color w:val="auto"/>
          <w:sz w:val="21"/>
          <w:szCs w:val="21"/>
          <w:highlight w:val="none"/>
        </w:rPr>
        <w:t>”没有规定的评审因素和标准进行评标。</w:t>
      </w:r>
    </w:p>
    <w:p w14:paraId="55D0E548">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75" w:name="_bookmark72"/>
      <w:bookmarkEnd w:id="275"/>
      <w:bookmarkStart w:id="276" w:name="_Toc9418"/>
      <w:bookmarkStart w:id="277" w:name="_Toc34814251"/>
      <w:bookmarkStart w:id="278" w:name="_Toc3275"/>
      <w:bookmarkStart w:id="279" w:name="_Toc20563"/>
      <w:bookmarkStart w:id="280" w:name="_Toc33277311"/>
      <w:bookmarkStart w:id="281" w:name="_Toc3273485"/>
      <w:bookmarkStart w:id="282" w:name="_Toc19798"/>
      <w:bookmarkStart w:id="283" w:name="_Toc20132"/>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.4 对与评标活动有关的工作人员的纪律要求</w:t>
      </w:r>
      <w:bookmarkEnd w:id="276"/>
      <w:bookmarkEnd w:id="277"/>
      <w:bookmarkEnd w:id="278"/>
      <w:bookmarkEnd w:id="279"/>
      <w:bookmarkEnd w:id="280"/>
      <w:bookmarkEnd w:id="281"/>
      <w:bookmarkEnd w:id="282"/>
      <w:bookmarkEnd w:id="283"/>
    </w:p>
    <w:p w14:paraId="3B3E457C">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5B0A5798">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firstLine="0" w:firstLineChars="0"/>
        <w:jc w:val="both"/>
        <w:textAlignment w:val="auto"/>
        <w:outlineLvl w:val="2"/>
        <w:rPr>
          <w:rFonts w:hint="eastAsia" w:ascii="宋体" w:hAnsi="宋体" w:eastAsia="宋体" w:cs="宋体"/>
          <w:b/>
          <w:bCs/>
          <w:color w:val="auto"/>
          <w:sz w:val="21"/>
          <w:szCs w:val="21"/>
          <w:highlight w:val="none"/>
        </w:rPr>
      </w:pPr>
      <w:bookmarkStart w:id="284" w:name="_bookmark73"/>
      <w:bookmarkEnd w:id="284"/>
      <w:bookmarkStart w:id="285" w:name="_Toc22526"/>
      <w:bookmarkStart w:id="286" w:name="_Toc33277312"/>
      <w:bookmarkStart w:id="287" w:name="_Toc12967"/>
      <w:bookmarkStart w:id="288" w:name="_Toc34814252"/>
      <w:bookmarkStart w:id="289" w:name="_Toc25146"/>
      <w:bookmarkStart w:id="290" w:name="_Toc4906"/>
      <w:bookmarkStart w:id="291" w:name="_Toc3620"/>
      <w:bookmarkStart w:id="292" w:name="_Toc3273486"/>
      <w:r>
        <w:rPr>
          <w:rFonts w:hint="eastAsia" w:ascii="宋体" w:hAnsi="宋体" w:eastAsia="宋体" w:cs="宋体"/>
          <w:b/>
          <w:bCs/>
          <w:color w:val="auto"/>
          <w:sz w:val="21"/>
          <w:szCs w:val="21"/>
          <w:highlight w:val="none"/>
          <w:lang w:val="en-US" w:eastAsia="zh-CN"/>
        </w:rPr>
        <w:t>9</w:t>
      </w:r>
      <w:r>
        <w:rPr>
          <w:rFonts w:hint="eastAsia" w:ascii="宋体" w:hAnsi="宋体" w:eastAsia="宋体" w:cs="宋体"/>
          <w:b/>
          <w:bCs/>
          <w:color w:val="auto"/>
          <w:sz w:val="21"/>
          <w:szCs w:val="21"/>
          <w:highlight w:val="none"/>
        </w:rPr>
        <w:t>.5 投诉</w:t>
      </w:r>
      <w:bookmarkEnd w:id="285"/>
      <w:bookmarkEnd w:id="286"/>
      <w:bookmarkEnd w:id="287"/>
      <w:bookmarkEnd w:id="288"/>
      <w:bookmarkEnd w:id="289"/>
      <w:bookmarkEnd w:id="290"/>
      <w:bookmarkEnd w:id="291"/>
      <w:bookmarkEnd w:id="292"/>
    </w:p>
    <w:p w14:paraId="692A669F">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潜</w:t>
      </w:r>
      <w:r>
        <w:rPr>
          <w:rFonts w:hint="eastAsia" w:ascii="宋体" w:hAnsi="宋体" w:eastAsia="宋体" w:cs="宋体"/>
          <w:color w:val="auto"/>
          <w:sz w:val="21"/>
          <w:szCs w:val="21"/>
          <w:highlight w:val="none"/>
        </w:rPr>
        <w:t>在投标人、投标人或者其他利害关系人认为招标投标活动不符合法律、法规和规章规定的，有权依法向招标人提出异议，向有关行政监督部门进行投诉。异议、投诉应按照河南省水利厅《关于进一步明确水利工程建设项目招标投标活动中异议和投诉有关事项的通知》（豫水建【2015】10号）的要求进行，先异议后投诉。异议和投诉应当有明确的请求和必要的证明材料。</w:t>
      </w:r>
    </w:p>
    <w:p w14:paraId="3AC59166">
      <w:pPr>
        <w:keepNext w:val="0"/>
        <w:keepLines w:val="0"/>
        <w:pageBreakBefore w:val="0"/>
        <w:widowControl w:val="0"/>
        <w:kinsoku/>
        <w:wordWrap/>
        <w:overflowPunct/>
        <w:topLinePunct w:val="0"/>
        <w:autoSpaceDE w:val="0"/>
        <w:autoSpaceDN w:val="0"/>
        <w:bidi w:val="0"/>
        <w:adjustRightInd w:val="0"/>
        <w:snapToGrid w:val="0"/>
        <w:spacing w:before="0" w:beforeLines="0" w:after="0" w:afterLines="0" w:line="360" w:lineRule="auto"/>
        <w:ind w:left="0" w:right="0" w:firstLine="0" w:firstLineChars="0"/>
        <w:jc w:val="both"/>
        <w:textAlignment w:val="auto"/>
        <w:outlineLvl w:val="1"/>
        <w:rPr>
          <w:rFonts w:hint="eastAsia" w:ascii="宋体" w:hAnsi="宋体" w:eastAsia="宋体" w:cs="宋体"/>
          <w:b/>
          <w:bCs/>
          <w:color w:val="auto"/>
          <w:kern w:val="0"/>
          <w:sz w:val="21"/>
          <w:szCs w:val="21"/>
          <w:highlight w:val="none"/>
          <w:lang w:val="en-US" w:eastAsia="zh-CN" w:bidi="ar-SA"/>
        </w:rPr>
      </w:pPr>
      <w:bookmarkStart w:id="293" w:name="_bookmark75"/>
      <w:bookmarkEnd w:id="293"/>
      <w:bookmarkStart w:id="294" w:name="_bookmark74"/>
      <w:bookmarkEnd w:id="294"/>
      <w:bookmarkStart w:id="295" w:name="_Toc10244"/>
      <w:bookmarkStart w:id="296" w:name="_Toc10280"/>
      <w:bookmarkStart w:id="297" w:name="_Toc14105"/>
      <w:r>
        <w:rPr>
          <w:rFonts w:hint="eastAsia" w:ascii="宋体" w:hAnsi="宋体" w:eastAsia="宋体" w:cs="宋体"/>
          <w:b/>
          <w:bCs/>
          <w:color w:val="auto"/>
          <w:kern w:val="0"/>
          <w:sz w:val="21"/>
          <w:szCs w:val="21"/>
          <w:highlight w:val="none"/>
          <w:lang w:val="en-US" w:eastAsia="zh-CN" w:bidi="ar-SA"/>
        </w:rPr>
        <w:t>10.需要补充的其他内容</w:t>
      </w:r>
      <w:bookmarkEnd w:id="295"/>
      <w:bookmarkEnd w:id="296"/>
      <w:bookmarkEnd w:id="297"/>
    </w:p>
    <w:p w14:paraId="6C32DA84">
      <w:pPr>
        <w:pageBreakBefore w:val="0"/>
        <w:widowControl w:val="0"/>
        <w:kinsoku/>
        <w:wordWrap/>
        <w:overflowPunct/>
        <w:topLinePunct w:val="0"/>
        <w:autoSpaceDE w:val="0"/>
        <w:autoSpaceDN w:val="0"/>
        <w:bidi w:val="0"/>
        <w:adjustRightInd w:val="0"/>
        <w:snapToGrid w:val="0"/>
        <w:spacing w:before="0" w:beforeLines="0" w:after="0" w:afterLines="0" w:line="360" w:lineRule="auto"/>
        <w:ind w:firstLine="420"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需要补充的其他内容：见投标人须知前附表。</w:t>
      </w:r>
    </w:p>
    <w:p w14:paraId="69295B9A">
      <w:pPr>
        <w:widowControl w:val="0"/>
        <w:adjustRightInd w:val="0"/>
        <w:snapToGrid w:val="0"/>
        <w:spacing w:beforeLines="0" w:afterLines="0" w:line="240" w:lineRule="auto"/>
        <w:ind w:firstLine="0" w:firstLineChars="0"/>
        <w:jc w:val="both"/>
        <w:rPr>
          <w:rFonts w:hint="eastAsia" w:ascii="宋体" w:hAnsi="宋体" w:eastAsia="宋体" w:cs="宋体"/>
          <w:sz w:val="21"/>
          <w:szCs w:val="21"/>
          <w:highlight w:val="none"/>
        </w:rPr>
      </w:pPr>
    </w:p>
    <w:p w14:paraId="05F7668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253E19B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169B9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45CE75D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48FC4CE">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52EECDF">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CCCD7D5">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E5494F4">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F492DF8">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E5A4422">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bookmarkEnd w:id="70"/>
    <w:p w14:paraId="2106503D">
      <w:pPr>
        <w:widowControl/>
        <w:numPr>
          <w:ilvl w:val="-1"/>
          <w:numId w:val="0"/>
        </w:numPr>
        <w:spacing w:beforeLines="0" w:afterLines="0" w:line="240" w:lineRule="auto"/>
        <w:jc w:val="center"/>
        <w:outlineLvl w:val="0"/>
        <w:rPr>
          <w:rFonts w:hint="default" w:ascii="宋体" w:hAnsi="宋体" w:eastAsia="宋体" w:cs="宋体"/>
          <w:b/>
          <w:bCs/>
          <w:sz w:val="32"/>
          <w:szCs w:val="32"/>
          <w:highlight w:val="none"/>
          <w:lang w:val="en-US" w:eastAsia="zh-CN"/>
        </w:rPr>
      </w:pPr>
      <w:bookmarkStart w:id="298" w:name="_Toc62034456"/>
      <w:bookmarkStart w:id="299" w:name="_Toc54550739"/>
      <w:r>
        <w:rPr>
          <w:rFonts w:hint="eastAsia" w:ascii="宋体" w:hAnsi="宋体" w:eastAsia="宋体" w:cs="宋体"/>
          <w:sz w:val="24"/>
          <w:szCs w:val="24"/>
          <w:highlight w:val="none"/>
        </w:rPr>
        <w:br w:type="page"/>
      </w:r>
      <w:bookmarkStart w:id="300" w:name="_Toc24514"/>
      <w:bookmarkStart w:id="301" w:name="_Toc21570"/>
      <w:r>
        <w:rPr>
          <w:rFonts w:hint="eastAsia" w:ascii="宋体" w:hAnsi="宋体" w:eastAsia="宋体" w:cs="宋体"/>
          <w:b/>
          <w:bCs/>
          <w:sz w:val="32"/>
          <w:szCs w:val="32"/>
          <w:highlight w:val="none"/>
          <w:lang w:val="en-US" w:eastAsia="zh-CN"/>
        </w:rPr>
        <w:t>第三章 评标办法及定标办法</w:t>
      </w:r>
      <w:bookmarkEnd w:id="300"/>
      <w:bookmarkEnd w:id="301"/>
    </w:p>
    <w:bookmarkEnd w:id="71"/>
    <w:bookmarkEnd w:id="72"/>
    <w:bookmarkEnd w:id="73"/>
    <w:bookmarkEnd w:id="298"/>
    <w:bookmarkEnd w:id="299"/>
    <w:p w14:paraId="321832E9">
      <w:pPr>
        <w:widowControl/>
        <w:adjustRightInd w:val="0"/>
        <w:snapToGrid w:val="0"/>
        <w:spacing w:before="0" w:after="0" w:line="240" w:lineRule="auto"/>
        <w:jc w:val="center"/>
        <w:outlineLvl w:val="1"/>
        <w:rPr>
          <w:rFonts w:hint="eastAsia" w:ascii="宋体" w:hAnsi="宋体" w:eastAsia="宋体" w:cs="宋体"/>
          <w:b/>
          <w:bCs/>
          <w:sz w:val="24"/>
          <w:szCs w:val="24"/>
          <w:highlight w:val="none"/>
        </w:rPr>
      </w:pPr>
      <w:bookmarkStart w:id="302" w:name="_Toc91344935"/>
      <w:bookmarkStart w:id="303" w:name="_Toc270859674"/>
      <w:bookmarkStart w:id="304" w:name="_Toc24763"/>
      <w:bookmarkStart w:id="305" w:name="_Toc62034460"/>
      <w:bookmarkStart w:id="306" w:name="_Toc28311"/>
      <w:bookmarkStart w:id="307" w:name="_Toc332378860"/>
      <w:r>
        <w:rPr>
          <w:rFonts w:hint="eastAsia" w:ascii="宋体" w:hAnsi="宋体" w:eastAsia="宋体" w:cs="宋体"/>
          <w:b/>
          <w:bCs/>
          <w:sz w:val="24"/>
          <w:szCs w:val="24"/>
          <w:highlight w:val="none"/>
        </w:rPr>
        <w:t>评标办法前附表</w:t>
      </w:r>
    </w:p>
    <w:bookmarkEnd w:id="302"/>
    <w:bookmarkEnd w:id="303"/>
    <w:bookmarkEnd w:id="304"/>
    <w:bookmarkEnd w:id="305"/>
    <w:bookmarkEnd w:id="306"/>
    <w:bookmarkEnd w:id="307"/>
    <w:tbl>
      <w:tblPr>
        <w:tblStyle w:val="2"/>
        <w:tblW w:w="93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8"/>
        <w:gridCol w:w="96"/>
        <w:gridCol w:w="1131"/>
        <w:gridCol w:w="1689"/>
        <w:gridCol w:w="5658"/>
      </w:tblGrid>
      <w:tr w14:paraId="62218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3" w:hRule="exact"/>
          <w:jc w:val="center"/>
        </w:trPr>
        <w:tc>
          <w:tcPr>
            <w:tcW w:w="1955" w:type="dxa"/>
            <w:gridSpan w:val="3"/>
            <w:noWrap w:val="0"/>
            <w:vAlign w:val="center"/>
          </w:tcPr>
          <w:p w14:paraId="78A991A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2AF34F0F">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评审因素</w:t>
            </w:r>
          </w:p>
        </w:tc>
        <w:tc>
          <w:tcPr>
            <w:tcW w:w="5658" w:type="dxa"/>
            <w:noWrap w:val="0"/>
            <w:vAlign w:val="center"/>
          </w:tcPr>
          <w:p w14:paraId="12E50F81">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评审标准</w:t>
            </w:r>
          </w:p>
        </w:tc>
      </w:tr>
      <w:tr w14:paraId="02C7B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exact"/>
          <w:jc w:val="center"/>
        </w:trPr>
        <w:tc>
          <w:tcPr>
            <w:tcW w:w="824" w:type="dxa"/>
            <w:gridSpan w:val="2"/>
            <w:vMerge w:val="restart"/>
            <w:noWrap w:val="0"/>
            <w:vAlign w:val="center"/>
          </w:tcPr>
          <w:p w14:paraId="3AE5B7C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2.1.1</w:t>
            </w:r>
          </w:p>
        </w:tc>
        <w:tc>
          <w:tcPr>
            <w:tcW w:w="1131" w:type="dxa"/>
            <w:vMerge w:val="restart"/>
            <w:noWrap w:val="0"/>
            <w:vAlign w:val="center"/>
          </w:tcPr>
          <w:p w14:paraId="37505A77">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形式评审</w:t>
            </w:r>
          </w:p>
          <w:p w14:paraId="02E598C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标准</w:t>
            </w:r>
          </w:p>
        </w:tc>
        <w:tc>
          <w:tcPr>
            <w:tcW w:w="1689" w:type="dxa"/>
            <w:noWrap w:val="0"/>
            <w:vAlign w:val="center"/>
          </w:tcPr>
          <w:p w14:paraId="4066818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投标人名称</w:t>
            </w:r>
          </w:p>
        </w:tc>
        <w:tc>
          <w:tcPr>
            <w:tcW w:w="5658" w:type="dxa"/>
            <w:noWrap w:val="0"/>
            <w:vAlign w:val="center"/>
          </w:tcPr>
          <w:p w14:paraId="090FE9A8">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与营业执照一致</w:t>
            </w:r>
          </w:p>
        </w:tc>
      </w:tr>
      <w:tr w14:paraId="36428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exact"/>
          <w:jc w:val="center"/>
        </w:trPr>
        <w:tc>
          <w:tcPr>
            <w:tcW w:w="824" w:type="dxa"/>
            <w:gridSpan w:val="2"/>
            <w:vMerge w:val="continue"/>
            <w:noWrap w:val="0"/>
            <w:vAlign w:val="center"/>
          </w:tcPr>
          <w:p w14:paraId="33995CA6">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3B03ECCB">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4A2F3ED">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投标文件</w:t>
            </w:r>
            <w:r>
              <w:rPr>
                <w:rFonts w:hint="eastAsia" w:ascii="宋体" w:hAnsi="宋体" w:eastAsia="宋体" w:cs="宋体"/>
                <w:color w:val="auto"/>
                <w:kern w:val="2"/>
                <w:sz w:val="21"/>
                <w:szCs w:val="21"/>
                <w:highlight w:val="none"/>
                <w:lang w:val="en-US" w:eastAsia="zh-CN" w:bidi="ar-SA"/>
              </w:rPr>
              <w:t>签字盖章要求</w:t>
            </w:r>
          </w:p>
        </w:tc>
        <w:tc>
          <w:tcPr>
            <w:tcW w:w="5658" w:type="dxa"/>
            <w:noWrap w:val="0"/>
            <w:vAlign w:val="center"/>
          </w:tcPr>
          <w:p w14:paraId="73494F16">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按招标文件格式要求</w:t>
            </w:r>
          </w:p>
        </w:tc>
      </w:tr>
      <w:tr w14:paraId="7D1AD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exact"/>
          <w:jc w:val="center"/>
        </w:trPr>
        <w:tc>
          <w:tcPr>
            <w:tcW w:w="824" w:type="dxa"/>
            <w:gridSpan w:val="2"/>
            <w:vMerge w:val="continue"/>
            <w:noWrap w:val="0"/>
            <w:vAlign w:val="center"/>
          </w:tcPr>
          <w:p w14:paraId="161E4B4A">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729F296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06E098D9">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投标文件格式及签字盖章</w:t>
            </w:r>
          </w:p>
        </w:tc>
        <w:tc>
          <w:tcPr>
            <w:tcW w:w="5658" w:type="dxa"/>
            <w:noWrap w:val="0"/>
            <w:vAlign w:val="center"/>
          </w:tcPr>
          <w:p w14:paraId="7D770BB7">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符合第六章“投标文件格式”的要求及招标文件有关要求</w:t>
            </w:r>
          </w:p>
        </w:tc>
      </w:tr>
      <w:tr w14:paraId="03D24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exact"/>
          <w:jc w:val="center"/>
        </w:trPr>
        <w:tc>
          <w:tcPr>
            <w:tcW w:w="824" w:type="dxa"/>
            <w:gridSpan w:val="2"/>
            <w:vMerge w:val="continue"/>
            <w:noWrap w:val="0"/>
            <w:vAlign w:val="center"/>
          </w:tcPr>
          <w:p w14:paraId="41801F2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center"/>
          </w:tcPr>
          <w:p w14:paraId="3B2DA52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5C076A1E">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120" w:leftChars="0" w:right="0" w:rightChars="0" w:hanging="120" w:firstLineChars="0"/>
              <w:jc w:val="center"/>
              <w:textAlignment w:val="auto"/>
              <w:rPr>
                <w:rFonts w:hint="eastAsia" w:ascii="宋体" w:hAnsi="宋体" w:eastAsia="宋体" w:cs="宋体"/>
                <w:color w:val="000000"/>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zh-CN" w:bidi="ar-SA"/>
              </w:rPr>
              <w:t>报价唯一</w:t>
            </w:r>
          </w:p>
        </w:tc>
        <w:tc>
          <w:tcPr>
            <w:tcW w:w="5658" w:type="dxa"/>
            <w:noWrap w:val="0"/>
            <w:vAlign w:val="center"/>
          </w:tcPr>
          <w:p w14:paraId="03BF71FF">
            <w:pPr>
              <w:keepNext w:val="0"/>
              <w:keepLines w:val="0"/>
              <w:pageBreakBefore w:val="0"/>
              <w:widowControl w:val="0"/>
              <w:suppressLineNumbers w:val="0"/>
              <w:kinsoku/>
              <w:wordWrap/>
              <w:overflowPunct/>
              <w:topLinePunct w:val="0"/>
              <w:autoSpaceDE/>
              <w:autoSpaceDN/>
              <w:bidi w:val="0"/>
              <w:adjustRightInd w:val="0"/>
              <w:snapToGrid/>
              <w:spacing w:before="0" w:beforeLines="0" w:beforeAutospacing="0" w:after="0" w:afterLines="0" w:afterAutospacing="0" w:line="360" w:lineRule="auto"/>
              <w:ind w:left="0" w:leftChars="0" w:right="0" w:rightChars="0" w:firstLine="0" w:firstLineChars="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只能有一个有效报价</w:t>
            </w:r>
          </w:p>
        </w:tc>
      </w:tr>
      <w:tr w14:paraId="7F555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restart"/>
            <w:noWrap w:val="0"/>
            <w:vAlign w:val="center"/>
          </w:tcPr>
          <w:p w14:paraId="2D2E2E96">
            <w:pPr>
              <w:widowControl/>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2.1.2</w:t>
            </w:r>
          </w:p>
        </w:tc>
        <w:tc>
          <w:tcPr>
            <w:tcW w:w="1131" w:type="dxa"/>
            <w:vMerge w:val="restart"/>
            <w:noWrap w:val="0"/>
            <w:vAlign w:val="center"/>
          </w:tcPr>
          <w:p w14:paraId="01326D8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资格评审</w:t>
            </w:r>
          </w:p>
          <w:p w14:paraId="73F39031">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lang w:eastAsia="en-US"/>
              </w:rPr>
              <w:t>标准</w:t>
            </w:r>
          </w:p>
        </w:tc>
        <w:tc>
          <w:tcPr>
            <w:tcW w:w="1689" w:type="dxa"/>
            <w:tcBorders>
              <w:right w:val="single" w:color="auto" w:sz="4" w:space="0"/>
            </w:tcBorders>
            <w:noWrap w:val="0"/>
            <w:vAlign w:val="center"/>
          </w:tcPr>
          <w:p w14:paraId="6BA1C6D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营业执照</w:t>
            </w:r>
          </w:p>
        </w:tc>
        <w:tc>
          <w:tcPr>
            <w:tcW w:w="5658" w:type="dxa"/>
            <w:tcBorders>
              <w:left w:val="single" w:color="auto" w:sz="4" w:space="0"/>
            </w:tcBorders>
            <w:noWrap w:val="0"/>
            <w:vAlign w:val="center"/>
          </w:tcPr>
          <w:p w14:paraId="156C5AF2">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具备有效的营业执照</w:t>
            </w:r>
          </w:p>
        </w:tc>
      </w:tr>
      <w:tr w14:paraId="3AD03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continue"/>
            <w:noWrap w:val="0"/>
            <w:vAlign w:val="center"/>
          </w:tcPr>
          <w:p w14:paraId="169C1878">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5E7933F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p>
        </w:tc>
        <w:tc>
          <w:tcPr>
            <w:tcW w:w="1689" w:type="dxa"/>
            <w:tcBorders>
              <w:right w:val="single" w:color="auto" w:sz="4" w:space="0"/>
            </w:tcBorders>
            <w:noWrap w:val="0"/>
            <w:vAlign w:val="center"/>
          </w:tcPr>
          <w:p w14:paraId="30FCB1E1">
            <w:pPr>
              <w:widowControl w:val="0"/>
              <w:wordWrap/>
              <w:autoSpaceDE/>
              <w:autoSpaceDN/>
              <w:adjustRightInd w:val="0"/>
              <w:spacing w:beforeLines="0" w:afterLines="0" w:line="360" w:lineRule="auto"/>
              <w:ind w:firstLine="0" w:firstLineChars="0"/>
              <w:jc w:val="center"/>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资质要求</w:t>
            </w:r>
          </w:p>
        </w:tc>
        <w:tc>
          <w:tcPr>
            <w:tcW w:w="5658" w:type="dxa"/>
            <w:tcBorders>
              <w:left w:val="single" w:color="auto" w:sz="4" w:space="0"/>
            </w:tcBorders>
            <w:noWrap w:val="0"/>
            <w:vAlign w:val="center"/>
          </w:tcPr>
          <w:p w14:paraId="15B0BE31">
            <w:pPr>
              <w:widowControl/>
              <w:wordWrap/>
              <w:spacing w:beforeLines="0" w:afterLines="0" w:line="360" w:lineRule="auto"/>
              <w:jc w:val="both"/>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634E4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exact"/>
          <w:jc w:val="center"/>
        </w:trPr>
        <w:tc>
          <w:tcPr>
            <w:tcW w:w="824" w:type="dxa"/>
            <w:gridSpan w:val="2"/>
            <w:vMerge w:val="continue"/>
            <w:noWrap w:val="0"/>
            <w:vAlign w:val="center"/>
          </w:tcPr>
          <w:p w14:paraId="3CD0F0D2">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52CB7A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p>
        </w:tc>
        <w:tc>
          <w:tcPr>
            <w:tcW w:w="1689" w:type="dxa"/>
            <w:tcBorders>
              <w:right w:val="single" w:color="auto" w:sz="4" w:space="0"/>
            </w:tcBorders>
            <w:noWrap w:val="0"/>
            <w:vAlign w:val="center"/>
          </w:tcPr>
          <w:p w14:paraId="0B4AAD7B">
            <w:pPr>
              <w:widowControl w:val="0"/>
              <w:wordWrap/>
              <w:autoSpaceDE/>
              <w:autoSpaceDN/>
              <w:adjustRightInd w:val="0"/>
              <w:spacing w:beforeLines="0" w:afterLines="0" w:line="360" w:lineRule="auto"/>
              <w:ind w:firstLine="0" w:firstLineChars="0"/>
              <w:jc w:val="center"/>
              <w:rPr>
                <w:rFonts w:hint="eastAsia" w:ascii="宋体" w:hAnsi="宋体" w:eastAsia="宋体" w:cs="宋体"/>
                <w:szCs w:val="21"/>
                <w:highlight w:val="none"/>
              </w:rPr>
            </w:pPr>
            <w:r>
              <w:rPr>
                <w:rFonts w:hint="eastAsia" w:ascii="宋体" w:hAnsi="宋体" w:eastAsia="宋体" w:cs="宋体"/>
                <w:color w:val="auto"/>
                <w:kern w:val="0"/>
                <w:sz w:val="21"/>
                <w:szCs w:val="21"/>
                <w:highlight w:val="none"/>
                <w:lang w:val="en-US" w:eastAsia="zh-CN" w:bidi="ar-SA"/>
              </w:rPr>
              <w:t>项目负责人</w:t>
            </w:r>
          </w:p>
        </w:tc>
        <w:tc>
          <w:tcPr>
            <w:tcW w:w="5658" w:type="dxa"/>
            <w:tcBorders>
              <w:left w:val="single" w:color="auto" w:sz="4" w:space="0"/>
            </w:tcBorders>
            <w:noWrap w:val="0"/>
            <w:vAlign w:val="center"/>
          </w:tcPr>
          <w:p w14:paraId="62D396CD">
            <w:pPr>
              <w:widowControl/>
              <w:wordWrap/>
              <w:spacing w:beforeLines="0" w:afterLines="0" w:line="360" w:lineRule="auto"/>
              <w:jc w:val="both"/>
              <w:rPr>
                <w:rFonts w:hint="eastAsia" w:ascii="宋体" w:hAnsi="宋体" w:eastAsia="宋体" w:cs="宋体"/>
                <w:szCs w:val="21"/>
                <w:highlight w:val="none"/>
              </w:rPr>
            </w:pPr>
            <w:r>
              <w:rPr>
                <w:rFonts w:hint="eastAsia" w:ascii="宋体" w:hAnsi="宋体" w:eastAsia="宋体" w:cs="宋体"/>
                <w:color w:val="auto"/>
                <w:kern w:val="0"/>
                <w:sz w:val="21"/>
                <w:szCs w:val="21"/>
                <w:highlight w:val="none"/>
              </w:rPr>
              <w:t>符合第二章 “投标人须知”第1.4.1项规定</w:t>
            </w:r>
          </w:p>
        </w:tc>
      </w:tr>
      <w:tr w14:paraId="67282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706F58E5">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49E55078">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53C0F2AF">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财务要求</w:t>
            </w:r>
          </w:p>
        </w:tc>
        <w:tc>
          <w:tcPr>
            <w:tcW w:w="5658" w:type="dxa"/>
            <w:tcBorders>
              <w:left w:val="single" w:color="auto" w:sz="4" w:space="0"/>
            </w:tcBorders>
            <w:noWrap w:val="0"/>
            <w:vAlign w:val="center"/>
          </w:tcPr>
          <w:p w14:paraId="3D822419">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F983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76198128">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7D3B75AB">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03BA5DC4">
            <w:pPr>
              <w:widowControl/>
              <w:adjustRightInd w:val="0"/>
              <w:snapToGrid w:val="0"/>
              <w:spacing w:beforeLines="0" w:afterLines="0" w:line="360" w:lineRule="auto"/>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监管平台要求</w:t>
            </w:r>
          </w:p>
        </w:tc>
        <w:tc>
          <w:tcPr>
            <w:tcW w:w="5658" w:type="dxa"/>
            <w:tcBorders>
              <w:left w:val="single" w:color="auto" w:sz="4" w:space="0"/>
            </w:tcBorders>
            <w:noWrap w:val="0"/>
            <w:vAlign w:val="center"/>
          </w:tcPr>
          <w:p w14:paraId="6C5B0C2F">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2C060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exact"/>
          <w:jc w:val="center"/>
        </w:trPr>
        <w:tc>
          <w:tcPr>
            <w:tcW w:w="824" w:type="dxa"/>
            <w:gridSpan w:val="2"/>
            <w:vMerge w:val="continue"/>
            <w:noWrap w:val="0"/>
            <w:vAlign w:val="center"/>
          </w:tcPr>
          <w:p w14:paraId="29E5EEC5">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23EF2B54">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38E77FC8">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信誉要求</w:t>
            </w:r>
          </w:p>
        </w:tc>
        <w:tc>
          <w:tcPr>
            <w:tcW w:w="5658" w:type="dxa"/>
            <w:tcBorders>
              <w:left w:val="single" w:color="auto" w:sz="4" w:space="0"/>
            </w:tcBorders>
            <w:noWrap w:val="0"/>
            <w:vAlign w:val="center"/>
          </w:tcPr>
          <w:p w14:paraId="5657FC06">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4D3D59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exact"/>
          <w:jc w:val="center"/>
        </w:trPr>
        <w:tc>
          <w:tcPr>
            <w:tcW w:w="824" w:type="dxa"/>
            <w:gridSpan w:val="2"/>
            <w:vMerge w:val="continue"/>
            <w:noWrap w:val="0"/>
            <w:vAlign w:val="center"/>
          </w:tcPr>
          <w:p w14:paraId="76C5ECF2">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7C7D0EB">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1689" w:type="dxa"/>
            <w:tcBorders>
              <w:right w:val="single" w:color="auto" w:sz="4" w:space="0"/>
            </w:tcBorders>
            <w:noWrap w:val="0"/>
            <w:vAlign w:val="center"/>
          </w:tcPr>
          <w:p w14:paraId="558B7F2A">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其他要求</w:t>
            </w:r>
          </w:p>
        </w:tc>
        <w:tc>
          <w:tcPr>
            <w:tcW w:w="5658" w:type="dxa"/>
            <w:tcBorders>
              <w:left w:val="single" w:color="auto" w:sz="4" w:space="0"/>
            </w:tcBorders>
            <w:noWrap w:val="0"/>
            <w:vAlign w:val="center"/>
          </w:tcPr>
          <w:p w14:paraId="17BF131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符合第二章“投标人须知”第1.4.1项规定</w:t>
            </w:r>
          </w:p>
        </w:tc>
      </w:tr>
      <w:tr w14:paraId="192F0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exact"/>
          <w:jc w:val="center"/>
        </w:trPr>
        <w:tc>
          <w:tcPr>
            <w:tcW w:w="824" w:type="dxa"/>
            <w:gridSpan w:val="2"/>
            <w:vMerge w:val="continue"/>
            <w:noWrap w:val="0"/>
            <w:vAlign w:val="center"/>
          </w:tcPr>
          <w:p w14:paraId="55F3B324">
            <w:pPr>
              <w:widowControl/>
              <w:adjustRightInd w:val="0"/>
              <w:snapToGrid w:val="0"/>
              <w:spacing w:beforeLines="0" w:afterLines="0" w:line="360" w:lineRule="auto"/>
              <w:jc w:val="center"/>
              <w:rPr>
                <w:rFonts w:hint="eastAsia" w:ascii="宋体" w:hAnsi="宋体" w:eastAsia="宋体" w:cs="宋体"/>
                <w:kern w:val="0"/>
                <w:szCs w:val="21"/>
                <w:highlight w:val="none"/>
              </w:rPr>
            </w:pPr>
          </w:p>
        </w:tc>
        <w:tc>
          <w:tcPr>
            <w:tcW w:w="1131" w:type="dxa"/>
            <w:vMerge w:val="continue"/>
            <w:noWrap w:val="0"/>
            <w:vAlign w:val="center"/>
          </w:tcPr>
          <w:p w14:paraId="6F5FB1BC">
            <w:pPr>
              <w:widowControl w:val="0"/>
              <w:adjustRightInd w:val="0"/>
              <w:snapToGrid w:val="0"/>
              <w:spacing w:beforeLines="0" w:afterLines="0" w:line="360" w:lineRule="auto"/>
              <w:jc w:val="center"/>
              <w:rPr>
                <w:rFonts w:hint="eastAsia" w:ascii="宋体" w:hAnsi="宋体" w:eastAsia="宋体" w:cs="宋体"/>
                <w:kern w:val="0"/>
                <w:szCs w:val="21"/>
                <w:highlight w:val="none"/>
              </w:rPr>
            </w:pPr>
          </w:p>
        </w:tc>
        <w:tc>
          <w:tcPr>
            <w:tcW w:w="7347" w:type="dxa"/>
            <w:gridSpan w:val="2"/>
            <w:noWrap w:val="0"/>
            <w:vAlign w:val="center"/>
          </w:tcPr>
          <w:p w14:paraId="7FA6B5F7">
            <w:pPr>
              <w:keepNext w:val="0"/>
              <w:keepLines w:val="0"/>
              <w:pageBreakBefore w:val="0"/>
              <w:widowControl w:val="0"/>
              <w:suppressLineNumbers w:val="0"/>
              <w:kinsoku/>
              <w:wordWrap/>
              <w:overflowPunct/>
              <w:topLinePunct w:val="0"/>
              <w:autoSpaceDE/>
              <w:autoSpaceDN/>
              <w:bidi w:val="0"/>
              <w:adjustRightInd/>
              <w:snapToGrid/>
              <w:spacing w:before="0" w:beforeLines="0" w:beforeAutospacing="0" w:after="0" w:afterLines="0" w:afterAutospacing="0" w:line="360" w:lineRule="auto"/>
              <w:ind w:left="0" w:right="0"/>
              <w:jc w:val="left"/>
              <w:textAlignment w:val="auto"/>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kern w:val="2"/>
                <w:sz w:val="21"/>
                <w:szCs w:val="21"/>
                <w:highlight w:val="none"/>
              </w:rPr>
              <w:t>注：1、上述要求的资格审查文件在投标文件中须附复印件，将资格审查证明文件上传至驻马店市公共资源电子交易平台诚信库中，同时在“资格审查材料（不见面开标）”菜单下按标段挑选该标段投标所用资格审查材料，以供评标过程中评委查阅，评标时以电子响应文件及“资格审查材料（不见面开标）”菜单中选取的信息为准</w:t>
            </w:r>
            <w:r>
              <w:rPr>
                <w:rFonts w:hint="eastAsia" w:ascii="宋体" w:hAnsi="宋体" w:eastAsia="宋体" w:cs="宋体"/>
                <w:color w:val="auto"/>
                <w:kern w:val="2"/>
                <w:sz w:val="21"/>
                <w:szCs w:val="21"/>
                <w:highlight w:val="none"/>
                <w:lang w:eastAsia="zh-CN"/>
              </w:rPr>
              <w:t>。</w:t>
            </w:r>
          </w:p>
          <w:p w14:paraId="3A32C7DD">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color w:val="auto"/>
                <w:kern w:val="2"/>
                <w:sz w:val="21"/>
                <w:szCs w:val="21"/>
                <w:highlight w:val="none"/>
              </w:rPr>
              <w:t>2、各投标企业应如实填报诚信库信息，因交易主体自行填报信息的错误、缺项、虚假而造成的后果由交易主体自行承担。</w:t>
            </w:r>
          </w:p>
        </w:tc>
      </w:tr>
      <w:tr w14:paraId="5EDBB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jc w:val="center"/>
        </w:trPr>
        <w:tc>
          <w:tcPr>
            <w:tcW w:w="824" w:type="dxa"/>
            <w:gridSpan w:val="2"/>
            <w:vMerge w:val="restart"/>
            <w:noWrap w:val="0"/>
            <w:vAlign w:val="center"/>
          </w:tcPr>
          <w:p w14:paraId="2BBAC73A">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2.1.3</w:t>
            </w:r>
          </w:p>
        </w:tc>
        <w:tc>
          <w:tcPr>
            <w:tcW w:w="1131" w:type="dxa"/>
            <w:vMerge w:val="restart"/>
            <w:noWrap w:val="0"/>
            <w:vAlign w:val="center"/>
          </w:tcPr>
          <w:p w14:paraId="0EC5506C">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响应性评审标准</w:t>
            </w:r>
          </w:p>
        </w:tc>
        <w:tc>
          <w:tcPr>
            <w:tcW w:w="1689" w:type="dxa"/>
            <w:tcBorders>
              <w:right w:val="single" w:color="auto" w:sz="4" w:space="0"/>
            </w:tcBorders>
            <w:noWrap w:val="0"/>
            <w:vAlign w:val="center"/>
          </w:tcPr>
          <w:p w14:paraId="7E9943D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kern w:val="0"/>
                <w:szCs w:val="21"/>
                <w:highlight w:val="none"/>
                <w:lang w:eastAsia="en-US"/>
              </w:rPr>
              <w:t>报价</w:t>
            </w:r>
          </w:p>
        </w:tc>
        <w:tc>
          <w:tcPr>
            <w:tcW w:w="5658" w:type="dxa"/>
            <w:tcBorders>
              <w:left w:val="single" w:color="auto" w:sz="4" w:space="0"/>
            </w:tcBorders>
            <w:noWrap w:val="0"/>
            <w:vAlign w:val="center"/>
          </w:tcPr>
          <w:p w14:paraId="694B7BB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spacing w:val="0"/>
                <w:kern w:val="0"/>
                <w:sz w:val="21"/>
                <w:szCs w:val="18"/>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第</w:t>
            </w:r>
            <w:r>
              <w:rPr>
                <w:rFonts w:hint="eastAsia" w:ascii="宋体" w:hAnsi="宋体" w:eastAsia="宋体" w:cs="宋体"/>
                <w:spacing w:val="0"/>
                <w:kern w:val="0"/>
                <w:sz w:val="21"/>
                <w:szCs w:val="18"/>
                <w:highlight w:val="none"/>
                <w:lang w:val="en-US" w:eastAsia="zh-CN"/>
              </w:rPr>
              <w:t xml:space="preserve"> </w:t>
            </w:r>
            <w:r>
              <w:rPr>
                <w:rFonts w:hint="eastAsia" w:ascii="宋体" w:hAnsi="宋体" w:eastAsia="宋体" w:cs="宋体"/>
                <w:spacing w:val="0"/>
                <w:kern w:val="0"/>
                <w:sz w:val="21"/>
                <w:szCs w:val="18"/>
                <w:highlight w:val="none"/>
              </w:rPr>
              <w:t>3.2</w:t>
            </w:r>
            <w:r>
              <w:rPr>
                <w:rFonts w:hint="eastAsia" w:ascii="宋体" w:hAnsi="宋体" w:eastAsia="宋体" w:cs="宋体"/>
                <w:spacing w:val="0"/>
                <w:kern w:val="0"/>
                <w:sz w:val="21"/>
                <w:szCs w:val="18"/>
                <w:highlight w:val="none"/>
                <w:lang w:val="en-US" w:eastAsia="zh-CN"/>
              </w:rPr>
              <w:t xml:space="preserve">.4 </w:t>
            </w:r>
            <w:r>
              <w:rPr>
                <w:rFonts w:hint="eastAsia" w:ascii="宋体" w:hAnsi="宋体" w:eastAsia="宋体" w:cs="宋体"/>
                <w:spacing w:val="0"/>
                <w:kern w:val="0"/>
                <w:sz w:val="21"/>
                <w:szCs w:val="18"/>
                <w:highlight w:val="none"/>
              </w:rPr>
              <w:t>款规定</w:t>
            </w:r>
          </w:p>
        </w:tc>
      </w:tr>
      <w:tr w14:paraId="611E7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jc w:val="center"/>
        </w:trPr>
        <w:tc>
          <w:tcPr>
            <w:tcW w:w="824" w:type="dxa"/>
            <w:gridSpan w:val="2"/>
            <w:vMerge w:val="continue"/>
            <w:noWrap w:val="0"/>
            <w:vAlign w:val="top"/>
          </w:tcPr>
          <w:p w14:paraId="455A6AF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111F10E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E4DE2D2">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投标内容</w:t>
            </w:r>
          </w:p>
        </w:tc>
        <w:tc>
          <w:tcPr>
            <w:tcW w:w="5658" w:type="dxa"/>
            <w:noWrap w:val="0"/>
            <w:vAlign w:val="center"/>
          </w:tcPr>
          <w:p w14:paraId="775EC5CA">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1.3.1 项规定</w:t>
            </w:r>
          </w:p>
        </w:tc>
      </w:tr>
      <w:tr w14:paraId="308BE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4" w:type="dxa"/>
            <w:gridSpan w:val="2"/>
            <w:vMerge w:val="continue"/>
            <w:noWrap w:val="0"/>
            <w:vAlign w:val="top"/>
          </w:tcPr>
          <w:p w14:paraId="4D734EC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274EC0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B577D6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lang w:eastAsia="zh-CN"/>
              </w:rPr>
              <w:t>供货期（服务期）</w:t>
            </w:r>
          </w:p>
        </w:tc>
        <w:tc>
          <w:tcPr>
            <w:tcW w:w="5658" w:type="dxa"/>
            <w:noWrap w:val="0"/>
            <w:vAlign w:val="center"/>
          </w:tcPr>
          <w:p w14:paraId="68380295">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1.3.2 项规定</w:t>
            </w:r>
          </w:p>
        </w:tc>
      </w:tr>
      <w:tr w14:paraId="390D6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824" w:type="dxa"/>
            <w:gridSpan w:val="2"/>
            <w:vMerge w:val="continue"/>
            <w:noWrap w:val="0"/>
            <w:vAlign w:val="top"/>
          </w:tcPr>
          <w:p w14:paraId="599828F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4F7C2F33">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75D1CE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交货地点</w:t>
            </w:r>
          </w:p>
        </w:tc>
        <w:tc>
          <w:tcPr>
            <w:tcW w:w="5658" w:type="dxa"/>
            <w:noWrap w:val="0"/>
            <w:vAlign w:val="center"/>
          </w:tcPr>
          <w:p w14:paraId="60BC9742">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1.3.3 项规定</w:t>
            </w:r>
          </w:p>
        </w:tc>
      </w:tr>
      <w:tr w14:paraId="7A81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72AEF63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03FD4CF9">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5A0414F">
            <w:pPr>
              <w:widowControl w:val="0"/>
              <w:adjustRightInd w:val="0"/>
              <w:snapToGrid w:val="0"/>
              <w:spacing w:beforeLines="0" w:afterLines="0" w:line="360" w:lineRule="auto"/>
              <w:jc w:val="center"/>
              <w:rPr>
                <w:rFonts w:hint="default"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质量要求</w:t>
            </w:r>
          </w:p>
        </w:tc>
        <w:tc>
          <w:tcPr>
            <w:tcW w:w="5658" w:type="dxa"/>
            <w:noWrap w:val="0"/>
            <w:vAlign w:val="center"/>
          </w:tcPr>
          <w:p w14:paraId="17578C02">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1.3.4 项规定</w:t>
            </w:r>
          </w:p>
        </w:tc>
      </w:tr>
      <w:tr w14:paraId="55DB69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824" w:type="dxa"/>
            <w:gridSpan w:val="2"/>
            <w:vMerge w:val="continue"/>
            <w:noWrap w:val="0"/>
            <w:vAlign w:val="top"/>
          </w:tcPr>
          <w:p w14:paraId="6717D71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3EC4A8A2">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DF3F65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投标有效期</w:t>
            </w:r>
          </w:p>
        </w:tc>
        <w:tc>
          <w:tcPr>
            <w:tcW w:w="5658" w:type="dxa"/>
            <w:noWrap w:val="0"/>
            <w:vAlign w:val="center"/>
          </w:tcPr>
          <w:p w14:paraId="10F6AAAF">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3.3.1 项规定</w:t>
            </w:r>
          </w:p>
        </w:tc>
      </w:tr>
      <w:tr w14:paraId="3E79A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4" w:hRule="atLeast"/>
          <w:jc w:val="center"/>
        </w:trPr>
        <w:tc>
          <w:tcPr>
            <w:tcW w:w="824" w:type="dxa"/>
            <w:gridSpan w:val="2"/>
            <w:vMerge w:val="continue"/>
            <w:noWrap w:val="0"/>
            <w:vAlign w:val="top"/>
          </w:tcPr>
          <w:p w14:paraId="34680FA8">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5123A44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4D48FA3">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投标保证金</w:t>
            </w:r>
          </w:p>
        </w:tc>
        <w:tc>
          <w:tcPr>
            <w:tcW w:w="5658" w:type="dxa"/>
            <w:noWrap w:val="0"/>
            <w:vAlign w:val="center"/>
          </w:tcPr>
          <w:p w14:paraId="6193FED6">
            <w:pPr>
              <w:widowControl w:val="0"/>
              <w:adjustRightInd w:val="0"/>
              <w:snapToGrid w:val="0"/>
              <w:spacing w:beforeLines="0" w:afterLines="0" w:line="360" w:lineRule="auto"/>
              <w:ind w:left="0" w:leftChars="0"/>
              <w:jc w:val="both"/>
              <w:rPr>
                <w:rFonts w:hint="eastAsia" w:ascii="宋体" w:hAnsi="宋体" w:eastAsia="宋体" w:cs="宋体"/>
                <w:spacing w:val="0"/>
                <w:kern w:val="0"/>
                <w:sz w:val="21"/>
                <w:szCs w:val="21"/>
                <w:highlight w:val="none"/>
              </w:rPr>
            </w:pPr>
            <w:r>
              <w:rPr>
                <w:rFonts w:hint="eastAsia" w:ascii="宋体" w:hAnsi="宋体" w:eastAsia="宋体" w:cs="宋体"/>
                <w:spacing w:val="0"/>
                <w:kern w:val="0"/>
                <w:sz w:val="21"/>
                <w:szCs w:val="21"/>
                <w:highlight w:val="none"/>
              </w:rPr>
              <w:t>符合第二章</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18"/>
                <w:highlight w:val="none"/>
              </w:rPr>
              <w:t>投标人须知</w:t>
            </w:r>
            <w:r>
              <w:rPr>
                <w:rFonts w:hint="eastAsia" w:ascii="宋体" w:hAnsi="宋体" w:eastAsia="宋体" w:cs="宋体"/>
                <w:color w:val="auto"/>
                <w:spacing w:val="0"/>
                <w:kern w:val="0"/>
                <w:sz w:val="21"/>
                <w:szCs w:val="21"/>
                <w:highlight w:val="none"/>
              </w:rPr>
              <w:t>前附表</w:t>
            </w:r>
            <w:r>
              <w:rPr>
                <w:rFonts w:hint="eastAsia" w:ascii="宋体" w:hAnsi="宋体" w:eastAsia="宋体" w:cs="宋体"/>
                <w:spacing w:val="0"/>
                <w:kern w:val="0"/>
                <w:sz w:val="21"/>
                <w:szCs w:val="18"/>
                <w:highlight w:val="none"/>
                <w:lang w:eastAsia="zh-CN"/>
              </w:rPr>
              <w:t>”</w:t>
            </w:r>
            <w:r>
              <w:rPr>
                <w:rFonts w:hint="eastAsia" w:ascii="宋体" w:hAnsi="宋体" w:eastAsia="宋体" w:cs="宋体"/>
                <w:spacing w:val="0"/>
                <w:kern w:val="0"/>
                <w:sz w:val="21"/>
                <w:szCs w:val="21"/>
                <w:highlight w:val="none"/>
              </w:rPr>
              <w:t>第 3.4.1 项规定</w:t>
            </w:r>
          </w:p>
        </w:tc>
      </w:tr>
      <w:tr w14:paraId="058AC6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jc w:val="center"/>
        </w:trPr>
        <w:tc>
          <w:tcPr>
            <w:tcW w:w="824" w:type="dxa"/>
            <w:gridSpan w:val="2"/>
            <w:vMerge w:val="continue"/>
            <w:noWrap w:val="0"/>
            <w:vAlign w:val="top"/>
          </w:tcPr>
          <w:p w14:paraId="03D077D1">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2C137854">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D26171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权利义务</w:t>
            </w:r>
          </w:p>
        </w:tc>
        <w:tc>
          <w:tcPr>
            <w:tcW w:w="5658" w:type="dxa"/>
            <w:noWrap w:val="0"/>
            <w:vAlign w:val="center"/>
          </w:tcPr>
          <w:p w14:paraId="7D00ABEA">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符合第四章“合同条款及格式”中的实质性要求和条件</w:t>
            </w:r>
          </w:p>
        </w:tc>
      </w:tr>
      <w:tr w14:paraId="5C084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7" w:hRule="atLeast"/>
          <w:jc w:val="center"/>
        </w:trPr>
        <w:tc>
          <w:tcPr>
            <w:tcW w:w="824" w:type="dxa"/>
            <w:gridSpan w:val="2"/>
            <w:vMerge w:val="continue"/>
            <w:noWrap w:val="0"/>
            <w:vAlign w:val="top"/>
          </w:tcPr>
          <w:p w14:paraId="3347217C">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131" w:type="dxa"/>
            <w:vMerge w:val="continue"/>
            <w:noWrap w:val="0"/>
            <w:vAlign w:val="top"/>
          </w:tcPr>
          <w:p w14:paraId="608BE1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1995D7EB">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其他响应性要求</w:t>
            </w:r>
          </w:p>
        </w:tc>
        <w:tc>
          <w:tcPr>
            <w:tcW w:w="5658" w:type="dxa"/>
            <w:noWrap w:val="0"/>
            <w:vAlign w:val="center"/>
          </w:tcPr>
          <w:p w14:paraId="2F8B614E">
            <w:pPr>
              <w:widowControl w:val="0"/>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符合招标文件规定</w:t>
            </w:r>
          </w:p>
        </w:tc>
      </w:tr>
      <w:tr w14:paraId="022AD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exact"/>
          <w:jc w:val="center"/>
        </w:trPr>
        <w:tc>
          <w:tcPr>
            <w:tcW w:w="1955" w:type="dxa"/>
            <w:gridSpan w:val="3"/>
            <w:noWrap w:val="0"/>
            <w:vAlign w:val="center"/>
          </w:tcPr>
          <w:p w14:paraId="74884A69">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22A1E5B">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条款内容</w:t>
            </w:r>
          </w:p>
        </w:tc>
        <w:tc>
          <w:tcPr>
            <w:tcW w:w="5658" w:type="dxa"/>
            <w:noWrap w:val="0"/>
            <w:vAlign w:val="center"/>
          </w:tcPr>
          <w:p w14:paraId="2B7A5FE8">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编列内容</w:t>
            </w:r>
          </w:p>
        </w:tc>
      </w:tr>
      <w:tr w14:paraId="2DB25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5" w:hRule="exact"/>
          <w:jc w:val="center"/>
        </w:trPr>
        <w:tc>
          <w:tcPr>
            <w:tcW w:w="1955" w:type="dxa"/>
            <w:gridSpan w:val="3"/>
            <w:noWrap w:val="0"/>
            <w:vAlign w:val="top"/>
          </w:tcPr>
          <w:p w14:paraId="17727F3C">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p>
          <w:p w14:paraId="75B12C7E">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2.2.1</w:t>
            </w:r>
          </w:p>
        </w:tc>
        <w:tc>
          <w:tcPr>
            <w:tcW w:w="1689" w:type="dxa"/>
            <w:noWrap w:val="0"/>
            <w:vAlign w:val="center"/>
          </w:tcPr>
          <w:p w14:paraId="69DD69F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分值构成</w:t>
            </w:r>
          </w:p>
          <w:p w14:paraId="0FF6D645">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(总分</w:t>
            </w:r>
            <w:r>
              <w:rPr>
                <w:rFonts w:hint="eastAsia" w:ascii="宋体" w:hAnsi="宋体" w:eastAsia="宋体" w:cs="宋体"/>
                <w:spacing w:val="-51"/>
                <w:kern w:val="0"/>
                <w:szCs w:val="21"/>
                <w:highlight w:val="none"/>
                <w:lang w:eastAsia="en-US"/>
              </w:rPr>
              <w:t xml:space="preserve"> </w:t>
            </w:r>
            <w:r>
              <w:rPr>
                <w:rFonts w:hint="eastAsia" w:ascii="宋体" w:hAnsi="宋体" w:eastAsia="宋体" w:cs="宋体"/>
                <w:kern w:val="0"/>
                <w:szCs w:val="21"/>
                <w:highlight w:val="none"/>
                <w:lang w:eastAsia="en-US"/>
              </w:rPr>
              <w:t>100 分)</w:t>
            </w:r>
          </w:p>
        </w:tc>
        <w:tc>
          <w:tcPr>
            <w:tcW w:w="5658" w:type="dxa"/>
            <w:noWrap w:val="0"/>
            <w:vAlign w:val="center"/>
          </w:tcPr>
          <w:p w14:paraId="162BCA7A">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经济标（投标</w:t>
            </w:r>
            <w:r>
              <w:rPr>
                <w:rFonts w:hint="eastAsia" w:ascii="宋体" w:hAnsi="宋体" w:eastAsia="宋体" w:cs="宋体"/>
                <w:b/>
                <w:bCs/>
                <w:color w:val="auto"/>
                <w:spacing w:val="0"/>
                <w:position w:val="0"/>
                <w:szCs w:val="21"/>
                <w:highlight w:val="none"/>
                <w:lang w:val="en-US" w:eastAsia="zh-CN"/>
              </w:rPr>
              <w:t>总</w:t>
            </w:r>
            <w:r>
              <w:rPr>
                <w:rFonts w:hint="eastAsia" w:ascii="宋体" w:hAnsi="宋体" w:eastAsia="宋体" w:cs="宋体"/>
                <w:b/>
                <w:bCs/>
                <w:kern w:val="0"/>
                <w:szCs w:val="21"/>
                <w:highlight w:val="none"/>
              </w:rPr>
              <w:t>报价）：</w:t>
            </w:r>
            <w:r>
              <w:rPr>
                <w:rFonts w:hint="eastAsia" w:ascii="宋体" w:hAnsi="宋体" w:eastAsia="宋体" w:cs="宋体"/>
                <w:b/>
                <w:bCs/>
                <w:kern w:val="0"/>
                <w:szCs w:val="21"/>
                <w:highlight w:val="none"/>
                <w:lang w:val="en-US" w:eastAsia="zh-CN"/>
              </w:rPr>
              <w:t>40</w:t>
            </w:r>
            <w:r>
              <w:rPr>
                <w:rFonts w:hint="eastAsia" w:ascii="宋体" w:hAnsi="宋体" w:eastAsia="宋体" w:cs="宋体"/>
                <w:b/>
                <w:bCs/>
                <w:kern w:val="0"/>
                <w:szCs w:val="21"/>
                <w:highlight w:val="none"/>
              </w:rPr>
              <w:t>分</w:t>
            </w:r>
          </w:p>
          <w:p w14:paraId="67AD4C63">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技术标（技术部分）：4</w:t>
            </w:r>
            <w:r>
              <w:rPr>
                <w:rFonts w:hint="eastAsia" w:ascii="宋体" w:hAnsi="宋体" w:eastAsia="宋体" w:cs="宋体"/>
                <w:b/>
                <w:bCs/>
                <w:kern w:val="0"/>
                <w:szCs w:val="21"/>
                <w:highlight w:val="none"/>
                <w:lang w:val="en-US" w:eastAsia="zh-CN"/>
              </w:rPr>
              <w:t>0</w:t>
            </w:r>
            <w:r>
              <w:rPr>
                <w:rFonts w:hint="eastAsia" w:ascii="宋体" w:hAnsi="宋体" w:eastAsia="宋体" w:cs="宋体"/>
                <w:b/>
                <w:bCs/>
                <w:kern w:val="0"/>
                <w:szCs w:val="21"/>
                <w:highlight w:val="none"/>
              </w:rPr>
              <w:t>分</w:t>
            </w:r>
          </w:p>
          <w:p w14:paraId="4141DCAE">
            <w:pPr>
              <w:widowControl w:val="0"/>
              <w:adjustRightInd w:val="0"/>
              <w:snapToGrid w:val="0"/>
              <w:spacing w:beforeLines="0" w:afterLines="0" w:line="360" w:lineRule="auto"/>
              <w:ind w:left="0" w:leftChars="0"/>
              <w:jc w:val="both"/>
              <w:rPr>
                <w:rFonts w:hint="eastAsia" w:ascii="宋体" w:hAnsi="宋体" w:eastAsia="宋体" w:cs="宋体"/>
                <w:b/>
                <w:bCs/>
                <w:kern w:val="0"/>
                <w:szCs w:val="21"/>
                <w:highlight w:val="none"/>
              </w:rPr>
            </w:pPr>
            <w:r>
              <w:rPr>
                <w:rFonts w:hint="eastAsia" w:ascii="宋体" w:hAnsi="宋体" w:eastAsia="宋体" w:cs="宋体"/>
                <w:b/>
                <w:bCs/>
                <w:kern w:val="0"/>
                <w:szCs w:val="21"/>
                <w:highlight w:val="none"/>
              </w:rPr>
              <w:t>综合标（商务部分）：20分</w:t>
            </w:r>
          </w:p>
          <w:p w14:paraId="06DAC8C5">
            <w:pPr>
              <w:widowControl w:val="0"/>
              <w:tabs>
                <w:tab w:val="left" w:pos="2309"/>
              </w:tabs>
              <w:adjustRightInd w:val="0"/>
              <w:snapToGrid w:val="0"/>
              <w:spacing w:beforeLines="0" w:afterLines="0" w:line="360" w:lineRule="auto"/>
              <w:ind w:left="0" w:leftChars="0"/>
              <w:jc w:val="both"/>
              <w:rPr>
                <w:rFonts w:hint="eastAsia" w:ascii="宋体" w:hAnsi="宋体" w:eastAsia="宋体" w:cs="宋体"/>
                <w:kern w:val="0"/>
                <w:szCs w:val="21"/>
                <w:highlight w:val="none"/>
              </w:rPr>
            </w:pPr>
            <w:r>
              <w:rPr>
                <w:rFonts w:hint="eastAsia" w:ascii="宋体" w:hAnsi="宋体" w:eastAsia="宋体" w:cs="宋体"/>
                <w:kern w:val="0"/>
                <w:szCs w:val="21"/>
                <w:highlight w:val="none"/>
              </w:rPr>
              <w:t>其他评分因素：0分</w:t>
            </w:r>
          </w:p>
        </w:tc>
      </w:tr>
      <w:tr w14:paraId="30901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65" w:hRule="exact"/>
          <w:jc w:val="center"/>
        </w:trPr>
        <w:tc>
          <w:tcPr>
            <w:tcW w:w="1955" w:type="dxa"/>
            <w:gridSpan w:val="3"/>
            <w:noWrap w:val="0"/>
            <w:vAlign w:val="center"/>
          </w:tcPr>
          <w:p w14:paraId="0ECA4844">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2.2.2</w:t>
            </w:r>
          </w:p>
        </w:tc>
        <w:tc>
          <w:tcPr>
            <w:tcW w:w="1689" w:type="dxa"/>
            <w:noWrap w:val="0"/>
            <w:vAlign w:val="center"/>
          </w:tcPr>
          <w:p w14:paraId="57E732E6">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评标基准价计算方法</w:t>
            </w:r>
          </w:p>
        </w:tc>
        <w:tc>
          <w:tcPr>
            <w:tcW w:w="5658" w:type="dxa"/>
            <w:noWrap w:val="0"/>
            <w:vAlign w:val="center"/>
          </w:tcPr>
          <w:p w14:paraId="32FCB2AC">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评标基准价计算方法：</w:t>
            </w:r>
            <w:r>
              <w:rPr>
                <w:rFonts w:hint="eastAsia" w:ascii="宋体" w:hAnsi="宋体" w:eastAsia="宋体" w:cs="宋体"/>
                <w:color w:val="auto"/>
                <w:spacing w:val="0"/>
                <w:kern w:val="2"/>
                <w:position w:val="0"/>
                <w:sz w:val="21"/>
                <w:szCs w:val="21"/>
                <w:highlight w:val="none"/>
                <w:lang w:eastAsia="zh-CN"/>
              </w:rPr>
              <w:t>C=</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lang w:eastAsia="zh-CN"/>
              </w:rPr>
              <w:t>%×A+</w:t>
            </w:r>
            <w:r>
              <w:rPr>
                <w:rFonts w:hint="eastAsia" w:ascii="宋体" w:hAnsi="宋体" w:eastAsia="宋体" w:cs="宋体"/>
                <w:color w:val="auto"/>
                <w:spacing w:val="0"/>
                <w:kern w:val="2"/>
                <w:position w:val="0"/>
                <w:sz w:val="21"/>
                <w:szCs w:val="21"/>
                <w:highlight w:val="none"/>
                <w:lang w:val="en-US" w:eastAsia="zh-CN"/>
              </w:rPr>
              <w:t>50</w:t>
            </w:r>
            <w:r>
              <w:rPr>
                <w:rFonts w:hint="eastAsia" w:ascii="宋体" w:hAnsi="宋体" w:eastAsia="宋体" w:cs="宋体"/>
                <w:color w:val="auto"/>
                <w:spacing w:val="0"/>
                <w:kern w:val="2"/>
                <w:position w:val="0"/>
                <w:sz w:val="21"/>
                <w:szCs w:val="21"/>
                <w:highlight w:val="none"/>
                <w:lang w:eastAsia="zh-CN"/>
              </w:rPr>
              <w:t>%×B</w:t>
            </w:r>
            <w:r>
              <w:rPr>
                <w:rFonts w:hint="eastAsia" w:ascii="宋体" w:hAnsi="宋体" w:eastAsia="宋体" w:cs="宋体"/>
                <w:szCs w:val="21"/>
                <w:highlight w:val="none"/>
              </w:rPr>
              <w:t>；</w:t>
            </w:r>
          </w:p>
          <w:p w14:paraId="35B7D5E0">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①A=最高投标限价；B=有效投标报价的算术平均值；C=评标基准价。</w:t>
            </w:r>
          </w:p>
          <w:p w14:paraId="5A584EFB">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②B=有效投标报价的算术平均值为所有通过初步评审的有效投标人在最高投标限价95%（含95%）-100%（含100%）之间的投标报价的算术平均值，当参与计算的投标人家数大于5家时（不含5家）去掉一个最高价和一个最低报价后计算算术平均值；</w:t>
            </w:r>
          </w:p>
          <w:p w14:paraId="26D4B16F">
            <w:pPr>
              <w:widowControl/>
              <w:adjustRightInd w:val="0"/>
              <w:snapToGrid w:val="0"/>
              <w:spacing w:beforeLines="0" w:afterLines="0" w:line="360" w:lineRule="auto"/>
              <w:ind w:left="0" w:leftChars="0"/>
              <w:jc w:val="both"/>
              <w:rPr>
                <w:rFonts w:hint="eastAsia" w:ascii="宋体" w:hAnsi="宋体" w:eastAsia="宋体" w:cs="宋体"/>
                <w:szCs w:val="21"/>
                <w:highlight w:val="none"/>
              </w:rPr>
            </w:pPr>
            <w:r>
              <w:rPr>
                <w:rFonts w:hint="eastAsia" w:ascii="宋体" w:hAnsi="宋体" w:eastAsia="宋体" w:cs="宋体"/>
                <w:szCs w:val="21"/>
                <w:highlight w:val="none"/>
              </w:rPr>
              <w:t>③当所有投标人的投标报价均不在最高投标限价95%（含95%）-100%（含100%）之间时，评标基准价C=最高投标限价×95%。</w:t>
            </w:r>
          </w:p>
        </w:tc>
      </w:tr>
      <w:tr w14:paraId="7237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exact"/>
          <w:jc w:val="center"/>
        </w:trPr>
        <w:tc>
          <w:tcPr>
            <w:tcW w:w="1955" w:type="dxa"/>
            <w:gridSpan w:val="3"/>
            <w:noWrap w:val="0"/>
            <w:vAlign w:val="center"/>
          </w:tcPr>
          <w:p w14:paraId="67F0552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2.2.3</w:t>
            </w:r>
          </w:p>
        </w:tc>
        <w:tc>
          <w:tcPr>
            <w:tcW w:w="1689" w:type="dxa"/>
            <w:noWrap w:val="0"/>
            <w:vAlign w:val="center"/>
          </w:tcPr>
          <w:p w14:paraId="64020126">
            <w:pPr>
              <w:widowControl w:val="0"/>
              <w:adjustRightInd w:val="0"/>
              <w:snapToGrid w:val="0"/>
              <w:spacing w:beforeLines="0" w:afterLines="0" w:line="360" w:lineRule="auto"/>
              <w:jc w:val="center"/>
              <w:rPr>
                <w:rFonts w:hint="eastAsia" w:ascii="宋体" w:hAnsi="宋体" w:eastAsia="宋体" w:cs="宋体"/>
                <w:kern w:val="0"/>
                <w:szCs w:val="21"/>
                <w:highlight w:val="none"/>
              </w:rPr>
            </w:pPr>
            <w:r>
              <w:rPr>
                <w:rFonts w:hint="eastAsia" w:ascii="宋体" w:hAnsi="宋体" w:eastAsia="宋体" w:cs="宋体"/>
                <w:kern w:val="0"/>
                <w:szCs w:val="21"/>
                <w:highlight w:val="none"/>
              </w:rPr>
              <w:t>投标报价的偏差率计算公式</w:t>
            </w:r>
          </w:p>
        </w:tc>
        <w:tc>
          <w:tcPr>
            <w:tcW w:w="5658" w:type="dxa"/>
            <w:noWrap w:val="0"/>
            <w:vAlign w:val="center"/>
          </w:tcPr>
          <w:p w14:paraId="67E5BCB4">
            <w:pPr>
              <w:widowControl/>
              <w:adjustRightInd w:val="0"/>
              <w:snapToGrid w:val="0"/>
              <w:spacing w:beforeLines="0" w:afterLines="0" w:line="360" w:lineRule="auto"/>
              <w:ind w:left="0" w:leftChars="0"/>
              <w:jc w:val="both"/>
              <w:rPr>
                <w:rFonts w:hint="eastAsia" w:ascii="宋体" w:hAnsi="宋体" w:eastAsia="宋体" w:cs="宋体"/>
                <w:spacing w:val="-6"/>
                <w:szCs w:val="21"/>
                <w:highlight w:val="none"/>
              </w:rPr>
            </w:pPr>
            <w:r>
              <w:rPr>
                <w:rFonts w:hint="eastAsia" w:ascii="宋体" w:hAnsi="宋体" w:eastAsia="宋体" w:cs="宋体"/>
                <w:spacing w:val="-6"/>
                <w:szCs w:val="21"/>
                <w:highlight w:val="none"/>
              </w:rPr>
              <w:t>偏差率=100%×（投标人报价-评标基准价）/评标基准价</w:t>
            </w:r>
          </w:p>
        </w:tc>
      </w:tr>
      <w:tr w14:paraId="33A67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1" w:hRule="exact"/>
          <w:jc w:val="center"/>
        </w:trPr>
        <w:tc>
          <w:tcPr>
            <w:tcW w:w="1955" w:type="dxa"/>
            <w:gridSpan w:val="3"/>
            <w:noWrap w:val="0"/>
            <w:vAlign w:val="center"/>
          </w:tcPr>
          <w:p w14:paraId="5E19BB5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条款号</w:t>
            </w:r>
          </w:p>
        </w:tc>
        <w:tc>
          <w:tcPr>
            <w:tcW w:w="1689" w:type="dxa"/>
            <w:noWrap w:val="0"/>
            <w:vAlign w:val="center"/>
          </w:tcPr>
          <w:p w14:paraId="3E916C73">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评分因素</w:t>
            </w:r>
          </w:p>
        </w:tc>
        <w:tc>
          <w:tcPr>
            <w:tcW w:w="5658" w:type="dxa"/>
            <w:noWrap w:val="0"/>
            <w:vAlign w:val="center"/>
          </w:tcPr>
          <w:p w14:paraId="40201CFF">
            <w:pPr>
              <w:widowControl w:val="0"/>
              <w:adjustRightInd w:val="0"/>
              <w:snapToGrid w:val="0"/>
              <w:spacing w:beforeLines="0" w:afterLines="0" w:line="360" w:lineRule="auto"/>
              <w:ind w:left="0" w:leftChars="0"/>
              <w:jc w:val="both"/>
              <w:rPr>
                <w:rFonts w:hint="eastAsia" w:ascii="宋体" w:hAnsi="宋体" w:eastAsia="宋体" w:cs="宋体"/>
                <w:b/>
                <w:kern w:val="0"/>
                <w:szCs w:val="21"/>
                <w:highlight w:val="none"/>
                <w:lang w:eastAsia="en-US"/>
              </w:rPr>
            </w:pPr>
            <w:r>
              <w:rPr>
                <w:rFonts w:hint="eastAsia" w:ascii="宋体" w:hAnsi="宋体" w:eastAsia="宋体" w:cs="宋体"/>
                <w:b/>
                <w:kern w:val="0"/>
                <w:szCs w:val="21"/>
                <w:highlight w:val="none"/>
                <w:lang w:eastAsia="en-US"/>
              </w:rPr>
              <w:t>评分标准</w:t>
            </w:r>
          </w:p>
        </w:tc>
      </w:tr>
      <w:tr w14:paraId="1B54D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4" w:hRule="exact"/>
          <w:jc w:val="center"/>
        </w:trPr>
        <w:tc>
          <w:tcPr>
            <w:tcW w:w="728" w:type="dxa"/>
            <w:tcBorders>
              <w:right w:val="single" w:color="auto" w:sz="4" w:space="0"/>
            </w:tcBorders>
            <w:noWrap w:val="0"/>
            <w:vAlign w:val="center"/>
          </w:tcPr>
          <w:p w14:paraId="0957DB19">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5241A5E4">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en-US"/>
              </w:rPr>
              <w:t>）</w:t>
            </w:r>
          </w:p>
        </w:tc>
        <w:tc>
          <w:tcPr>
            <w:tcW w:w="1227" w:type="dxa"/>
            <w:gridSpan w:val="2"/>
            <w:tcBorders>
              <w:left w:val="single" w:color="auto" w:sz="4" w:space="0"/>
            </w:tcBorders>
            <w:noWrap w:val="0"/>
            <w:vAlign w:val="center"/>
          </w:tcPr>
          <w:p w14:paraId="0C1F32E9">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A</w:t>
            </w:r>
          </w:p>
          <w:p w14:paraId="7F55CF03">
            <w:pPr>
              <w:widowControl w:val="0"/>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经济标（投标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报价）评分标准（</w:t>
            </w:r>
            <w:r>
              <w:rPr>
                <w:rFonts w:hint="eastAsia" w:ascii="宋体" w:hAnsi="宋体" w:eastAsia="宋体" w:cs="宋体"/>
                <w:szCs w:val="21"/>
                <w:highlight w:val="none"/>
                <w:lang w:val="en-US" w:eastAsia="zh-CN"/>
              </w:rPr>
              <w:t>40</w:t>
            </w:r>
            <w:r>
              <w:rPr>
                <w:rFonts w:hint="eastAsia" w:ascii="宋体" w:hAnsi="宋体" w:eastAsia="宋体" w:cs="宋体"/>
                <w:szCs w:val="21"/>
                <w:highlight w:val="none"/>
              </w:rPr>
              <w:t>分）</w:t>
            </w:r>
          </w:p>
        </w:tc>
        <w:tc>
          <w:tcPr>
            <w:tcW w:w="1689" w:type="dxa"/>
            <w:noWrap w:val="0"/>
            <w:vAlign w:val="center"/>
          </w:tcPr>
          <w:p w14:paraId="57A52863">
            <w:pPr>
              <w:widowControl/>
              <w:adjustRightInd w:val="0"/>
              <w:snapToGrid w:val="0"/>
              <w:spacing w:beforeLines="0" w:afterLines="0" w:line="360" w:lineRule="auto"/>
              <w:jc w:val="center"/>
              <w:rPr>
                <w:rFonts w:hint="eastAsia" w:ascii="宋体" w:hAnsi="宋体" w:eastAsia="宋体" w:cs="宋体"/>
                <w:b/>
                <w:szCs w:val="21"/>
                <w:highlight w:val="none"/>
              </w:rPr>
            </w:pPr>
            <w:r>
              <w:rPr>
                <w:rFonts w:hint="eastAsia" w:ascii="宋体" w:hAnsi="宋体" w:eastAsia="宋体" w:cs="宋体"/>
                <w:szCs w:val="21"/>
                <w:highlight w:val="none"/>
              </w:rPr>
              <w:t>投标</w:t>
            </w:r>
            <w:r>
              <w:rPr>
                <w:rFonts w:hint="eastAsia" w:ascii="宋体" w:hAnsi="宋体" w:eastAsia="宋体" w:cs="宋体"/>
                <w:color w:val="auto"/>
                <w:spacing w:val="0"/>
                <w:position w:val="0"/>
                <w:szCs w:val="21"/>
                <w:highlight w:val="none"/>
                <w:lang w:val="en-US" w:eastAsia="zh-CN"/>
              </w:rPr>
              <w:t>总</w:t>
            </w:r>
            <w:r>
              <w:rPr>
                <w:rFonts w:hint="eastAsia" w:ascii="宋体" w:hAnsi="宋体" w:eastAsia="宋体" w:cs="宋体"/>
                <w:szCs w:val="21"/>
                <w:highlight w:val="none"/>
              </w:rPr>
              <w:t>报价</w:t>
            </w:r>
          </w:p>
        </w:tc>
        <w:tc>
          <w:tcPr>
            <w:tcW w:w="5658" w:type="dxa"/>
            <w:noWrap w:val="0"/>
            <w:vAlign w:val="center"/>
          </w:tcPr>
          <w:p w14:paraId="5C6C29AB">
            <w:pPr>
              <w:widowControl w:val="0"/>
              <w:spacing w:beforeLines="0" w:afterLines="0" w:line="360" w:lineRule="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1.当投标报价＞C，每高于评标基准价1%在基本分（30分）基础上扣1分，扣完为止。（不足1%的按相应比例进行折算）</w:t>
            </w:r>
          </w:p>
          <w:p w14:paraId="58C4E9DE">
            <w:pPr>
              <w:widowControl w:val="0"/>
              <w:spacing w:beforeLines="0" w:afterLines="0" w:line="360" w:lineRule="auto"/>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2.当投标报价=C，得基本分30分。</w:t>
            </w:r>
          </w:p>
          <w:p w14:paraId="4441F3AB">
            <w:pPr>
              <w:widowControl/>
              <w:autoSpaceDE/>
              <w:autoSpaceDN/>
              <w:adjustRightInd w:val="0"/>
              <w:spacing w:beforeLines="0" w:afterLines="0" w:line="360" w:lineRule="auto"/>
              <w:jc w:val="left"/>
              <w:rPr>
                <w:rFonts w:hint="eastAsia" w:ascii="宋体" w:hAnsi="宋体" w:eastAsia="宋体" w:cs="宋体"/>
                <w:b/>
                <w:kern w:val="0"/>
                <w:szCs w:val="21"/>
                <w:highlight w:val="none"/>
                <w:lang w:eastAsia="en-US"/>
              </w:rPr>
            </w:pPr>
            <w:r>
              <w:rPr>
                <w:rFonts w:hint="eastAsia" w:ascii="宋体" w:hAnsi="宋体" w:eastAsia="宋体" w:cs="宋体"/>
                <w:color w:val="auto"/>
                <w:sz w:val="21"/>
                <w:szCs w:val="21"/>
                <w:highlight w:val="none"/>
              </w:rPr>
              <w:t>3.当投标报价＜C，每低于评标基准价1%在基本分（30分）基础上加2分，加至40分满分为止。若投标报价低于评标基准价5%（不含）以上时，每再低1%在满分40分的基础上扣1分的比例扣分，扣完为止。（不足1%的按相应比例进行折算）</w:t>
            </w:r>
          </w:p>
        </w:tc>
      </w:tr>
      <w:tr w14:paraId="02FC3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exact"/>
          <w:jc w:val="center"/>
        </w:trPr>
        <w:tc>
          <w:tcPr>
            <w:tcW w:w="728" w:type="dxa"/>
            <w:vMerge w:val="restart"/>
            <w:tcBorders>
              <w:right w:val="single" w:color="auto" w:sz="4" w:space="0"/>
            </w:tcBorders>
            <w:noWrap w:val="0"/>
            <w:vAlign w:val="center"/>
          </w:tcPr>
          <w:p w14:paraId="52049621">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2.2.4（2）</w:t>
            </w:r>
          </w:p>
        </w:tc>
        <w:tc>
          <w:tcPr>
            <w:tcW w:w="1227" w:type="dxa"/>
            <w:gridSpan w:val="2"/>
            <w:vMerge w:val="restart"/>
            <w:tcBorders>
              <w:left w:val="single" w:color="auto" w:sz="4" w:space="0"/>
            </w:tcBorders>
            <w:noWrap w:val="0"/>
            <w:vAlign w:val="center"/>
          </w:tcPr>
          <w:p w14:paraId="6BD967A9">
            <w:pPr>
              <w:widowControl w:val="0"/>
              <w:adjustRightInd w:val="0"/>
              <w:snapToGrid w:val="0"/>
              <w:spacing w:beforeLines="0" w:afterLines="0" w:line="360" w:lineRule="auto"/>
              <w:jc w:val="center"/>
              <w:rPr>
                <w:rFonts w:hint="eastAsia" w:ascii="宋体" w:hAnsi="宋体" w:eastAsia="宋体" w:cs="宋体"/>
                <w:kern w:val="0"/>
                <w:szCs w:val="21"/>
                <w:highlight w:val="none"/>
                <w:lang w:val="en-US" w:eastAsia="zh-CN"/>
              </w:rPr>
            </w:pPr>
            <w:r>
              <w:rPr>
                <w:rFonts w:hint="eastAsia" w:ascii="宋体" w:hAnsi="宋体" w:eastAsia="宋体" w:cs="宋体"/>
                <w:kern w:val="0"/>
                <w:szCs w:val="21"/>
                <w:highlight w:val="none"/>
                <w:lang w:val="en-US" w:eastAsia="zh-CN"/>
              </w:rPr>
              <w:t>B</w:t>
            </w:r>
          </w:p>
          <w:p w14:paraId="2BA20A3C">
            <w:pPr>
              <w:widowControl w:val="0"/>
              <w:adjustRightInd w:val="0"/>
              <w:snapToGrid w:val="0"/>
              <w:spacing w:beforeLines="0" w:afterLines="0" w:line="360" w:lineRule="auto"/>
              <w:jc w:val="center"/>
              <w:rPr>
                <w:rFonts w:hint="eastAsia" w:ascii="宋体" w:hAnsi="宋体" w:eastAsia="宋体" w:cs="宋体"/>
                <w:b/>
                <w:kern w:val="0"/>
                <w:szCs w:val="21"/>
                <w:highlight w:val="none"/>
                <w:lang w:eastAsia="en-US"/>
              </w:rPr>
            </w:pPr>
            <w:r>
              <w:rPr>
                <w:rFonts w:hint="eastAsia" w:ascii="宋体" w:hAnsi="宋体" w:eastAsia="宋体" w:cs="宋体"/>
                <w:kern w:val="0"/>
                <w:szCs w:val="21"/>
                <w:highlight w:val="none"/>
                <w:lang w:eastAsia="en-US"/>
              </w:rPr>
              <w:t>技术标（技术部分）评分标准</w:t>
            </w:r>
            <w:r>
              <w:rPr>
                <w:rFonts w:hint="eastAsia" w:ascii="宋体" w:hAnsi="宋体" w:eastAsia="宋体" w:cs="宋体"/>
                <w:kern w:val="0"/>
                <w:szCs w:val="21"/>
                <w:highlight w:val="none"/>
              </w:rPr>
              <w:t>（</w:t>
            </w:r>
            <w:r>
              <w:rPr>
                <w:rFonts w:hint="eastAsia" w:ascii="宋体" w:hAnsi="宋体" w:eastAsia="宋体" w:cs="宋体"/>
                <w:kern w:val="0"/>
                <w:szCs w:val="21"/>
                <w:highlight w:val="none"/>
                <w:lang w:val="en-US" w:eastAsia="zh-CN"/>
              </w:rPr>
              <w:t>40</w:t>
            </w:r>
            <w:r>
              <w:rPr>
                <w:rFonts w:hint="eastAsia" w:ascii="宋体" w:hAnsi="宋体" w:eastAsia="宋体" w:cs="宋体"/>
                <w:kern w:val="0"/>
                <w:szCs w:val="21"/>
                <w:highlight w:val="none"/>
              </w:rPr>
              <w:t>分）</w:t>
            </w:r>
          </w:p>
        </w:tc>
        <w:tc>
          <w:tcPr>
            <w:tcW w:w="1689" w:type="dxa"/>
            <w:noWrap w:val="0"/>
            <w:vAlign w:val="center"/>
          </w:tcPr>
          <w:p w14:paraId="370521ED">
            <w:pPr>
              <w:widowControl/>
              <w:spacing w:beforeLines="0" w:afterLines="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供货组织及运输保障方案</w:t>
            </w:r>
          </w:p>
          <w:p w14:paraId="760F57F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（5分）</w:t>
            </w:r>
          </w:p>
        </w:tc>
        <w:tc>
          <w:tcPr>
            <w:tcW w:w="5658" w:type="dxa"/>
            <w:noWrap w:val="0"/>
            <w:vAlign w:val="center"/>
          </w:tcPr>
          <w:p w14:paraId="4560CDF6">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 w:val="21"/>
                <w:szCs w:val="21"/>
                <w:lang w:val="en-US" w:eastAsia="zh-CN"/>
              </w:rPr>
              <w:t>设备排产计划、货源保障、仓储防护、运输方案、到货时序安排、供货延误应急措施。</w:t>
            </w:r>
            <w:r>
              <w:rPr>
                <w:rFonts w:hint="eastAsia" w:ascii="宋体" w:hAnsi="宋体" w:eastAsia="宋体" w:cs="宋体"/>
                <w:color w:val="auto"/>
                <w:sz w:val="21"/>
                <w:szCs w:val="21"/>
                <w:highlight w:val="none"/>
                <w:lang w:eastAsia="zh-CN"/>
              </w:rPr>
              <w:t>综合评审，横向比较，评委在0～</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分范围内赋分。</w:t>
            </w:r>
          </w:p>
        </w:tc>
      </w:tr>
      <w:tr w14:paraId="3C617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5" w:hRule="exact"/>
          <w:jc w:val="center"/>
        </w:trPr>
        <w:tc>
          <w:tcPr>
            <w:tcW w:w="728" w:type="dxa"/>
            <w:vMerge w:val="continue"/>
            <w:tcBorders>
              <w:right w:val="single" w:color="auto" w:sz="4" w:space="0"/>
            </w:tcBorders>
            <w:noWrap w:val="0"/>
            <w:vAlign w:val="center"/>
          </w:tcPr>
          <w:p w14:paraId="188D2D1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6C58820B">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392CC9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技术部分的响应性、符合性及完整性（5分）</w:t>
            </w:r>
          </w:p>
        </w:tc>
        <w:tc>
          <w:tcPr>
            <w:tcW w:w="5658" w:type="dxa"/>
            <w:noWrap w:val="0"/>
            <w:vAlign w:val="center"/>
          </w:tcPr>
          <w:p w14:paraId="336DC011">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Cs w:val="21"/>
                <w:highlight w:val="none"/>
              </w:rPr>
              <w:t>评价各投标人设备技术方案响应性、符合性、完整性，包括但不限于整体结构设计的合理性、加工工艺、技术的先进性、布置尺寸以及匹配监造措施等</w:t>
            </w:r>
            <w:r>
              <w:rPr>
                <w:rFonts w:hint="eastAsia" w:ascii="宋体" w:hAnsi="宋体" w:eastAsia="宋体" w:cs="宋体"/>
                <w:szCs w:val="21"/>
                <w:highlight w:val="none"/>
                <w:lang w:eastAsia="zh-CN"/>
              </w:rPr>
              <w:t>。</w:t>
            </w:r>
            <w:r>
              <w:rPr>
                <w:rFonts w:hint="eastAsia" w:ascii="宋体" w:hAnsi="宋体" w:eastAsia="宋体" w:cs="宋体"/>
                <w:szCs w:val="21"/>
                <w:highlight w:val="none"/>
                <w:lang w:val="en-US" w:eastAsia="zh-CN"/>
              </w:rPr>
              <w:t>综合评审，</w:t>
            </w:r>
            <w:r>
              <w:rPr>
                <w:rFonts w:hint="eastAsia" w:ascii="宋体" w:hAnsi="宋体" w:eastAsia="宋体" w:cs="宋体"/>
                <w:szCs w:val="21"/>
                <w:highlight w:val="none"/>
              </w:rPr>
              <w:t>横向比较，评委在0～5分范围内赋分。</w:t>
            </w:r>
          </w:p>
        </w:tc>
      </w:tr>
      <w:tr w14:paraId="30610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exact"/>
          <w:jc w:val="center"/>
        </w:trPr>
        <w:tc>
          <w:tcPr>
            <w:tcW w:w="728" w:type="dxa"/>
            <w:vMerge w:val="continue"/>
            <w:tcBorders>
              <w:right w:val="single" w:color="auto" w:sz="4" w:space="0"/>
            </w:tcBorders>
            <w:noWrap w:val="0"/>
            <w:vAlign w:val="center"/>
          </w:tcPr>
          <w:p w14:paraId="025326DE">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0CAB156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FEF9F6E">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设备的技术特性</w:t>
            </w:r>
          </w:p>
          <w:p w14:paraId="5E204BE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72097AF1">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Cs w:val="21"/>
                <w:highlight w:val="none"/>
              </w:rPr>
              <w:t>对投标人设备</w:t>
            </w:r>
            <w:r>
              <w:rPr>
                <w:rFonts w:hint="eastAsia" w:ascii="宋体" w:hAnsi="宋体" w:eastAsia="宋体" w:cs="宋体"/>
                <w:spacing w:val="-4"/>
                <w:kern w:val="28"/>
                <w:szCs w:val="21"/>
                <w:highlight w:val="none"/>
              </w:rPr>
              <w:t>的性能技术参数进行评审，</w:t>
            </w:r>
            <w:r>
              <w:rPr>
                <w:rFonts w:hint="eastAsia" w:ascii="宋体" w:hAnsi="宋体" w:eastAsia="宋体" w:cs="宋体"/>
                <w:szCs w:val="21"/>
                <w:highlight w:val="none"/>
              </w:rPr>
              <w:t>综合评审，横向比较，评委在0～5分范围内赋分。</w:t>
            </w:r>
          </w:p>
        </w:tc>
      </w:tr>
      <w:tr w14:paraId="3B976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3" w:hRule="exact"/>
          <w:jc w:val="center"/>
        </w:trPr>
        <w:tc>
          <w:tcPr>
            <w:tcW w:w="728" w:type="dxa"/>
            <w:vMerge w:val="continue"/>
            <w:tcBorders>
              <w:right w:val="single" w:color="auto" w:sz="4" w:space="0"/>
            </w:tcBorders>
            <w:noWrap w:val="0"/>
            <w:vAlign w:val="center"/>
          </w:tcPr>
          <w:p w14:paraId="7F5749F1">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A7EBD7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5860C70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生产工艺（5分）</w:t>
            </w:r>
          </w:p>
        </w:tc>
        <w:tc>
          <w:tcPr>
            <w:tcW w:w="5658" w:type="dxa"/>
            <w:noWrap w:val="0"/>
            <w:vAlign w:val="center"/>
          </w:tcPr>
          <w:p w14:paraId="79F9FF82">
            <w:pPr>
              <w:widowControl/>
              <w:autoSpaceDE/>
              <w:autoSpaceDN/>
              <w:adjustRightInd w:val="0"/>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pacing w:val="-4"/>
                <w:kern w:val="28"/>
                <w:szCs w:val="21"/>
                <w:highlight w:val="none"/>
              </w:rPr>
              <w:t>对生产工艺的先进性、合理性</w:t>
            </w:r>
            <w:r>
              <w:rPr>
                <w:rFonts w:hint="eastAsia" w:ascii="宋体" w:hAnsi="宋体" w:eastAsia="宋体" w:cs="宋体"/>
                <w:szCs w:val="21"/>
                <w:highlight w:val="none"/>
              </w:rPr>
              <w:t>进行评审</w:t>
            </w:r>
            <w:r>
              <w:rPr>
                <w:rFonts w:hint="eastAsia" w:ascii="宋体" w:hAnsi="宋体" w:eastAsia="宋体" w:cs="宋体"/>
                <w:spacing w:val="-4"/>
                <w:kern w:val="28"/>
                <w:szCs w:val="21"/>
                <w:highlight w:val="none"/>
              </w:rPr>
              <w:t>，综合评审，横向比较，评委在0～5分范围内赋分。</w:t>
            </w:r>
          </w:p>
        </w:tc>
      </w:tr>
      <w:tr w14:paraId="79826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4" w:hRule="exact"/>
          <w:jc w:val="center"/>
        </w:trPr>
        <w:tc>
          <w:tcPr>
            <w:tcW w:w="728" w:type="dxa"/>
            <w:vMerge w:val="continue"/>
            <w:tcBorders>
              <w:right w:val="single" w:color="auto" w:sz="4" w:space="0"/>
            </w:tcBorders>
            <w:noWrap w:val="0"/>
            <w:vAlign w:val="center"/>
          </w:tcPr>
          <w:p w14:paraId="75F475F7">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1EAC1922">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B1EC718">
            <w:pPr>
              <w:widowControl/>
              <w:spacing w:beforeLines="0" w:afterLines="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质量保证体系及质量保证措施</w:t>
            </w:r>
          </w:p>
          <w:p w14:paraId="1EB9881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（5分）</w:t>
            </w:r>
          </w:p>
        </w:tc>
        <w:tc>
          <w:tcPr>
            <w:tcW w:w="5658" w:type="dxa"/>
            <w:noWrap w:val="0"/>
            <w:vAlign w:val="center"/>
          </w:tcPr>
          <w:p w14:paraId="2D9A2160">
            <w:pPr>
              <w:widowControl/>
              <w:spacing w:beforeLines="0" w:afterLines="0" w:line="360" w:lineRule="auto"/>
              <w:jc w:val="left"/>
              <w:rPr>
                <w:rFonts w:hint="eastAsia" w:ascii="宋体" w:hAnsi="宋体" w:eastAsia="宋体" w:cs="宋体"/>
                <w:spacing w:val="-20"/>
                <w:kern w:val="28"/>
                <w:szCs w:val="21"/>
                <w:highlight w:val="none"/>
              </w:rPr>
            </w:pPr>
            <w:r>
              <w:rPr>
                <w:rFonts w:hint="eastAsia" w:ascii="宋体" w:hAnsi="宋体" w:eastAsia="宋体" w:cs="宋体"/>
                <w:sz w:val="21"/>
                <w:szCs w:val="21"/>
              </w:rPr>
              <w:t>对质量保证体系是否健全、保证措施是否合理可行并具有针对性</w:t>
            </w:r>
            <w:r>
              <w:rPr>
                <w:rFonts w:hint="eastAsia" w:ascii="宋体" w:hAnsi="宋体" w:eastAsia="宋体" w:cs="宋体"/>
                <w:sz w:val="21"/>
                <w:szCs w:val="21"/>
                <w:lang w:eastAsia="zh-CN"/>
              </w:rPr>
              <w:t>。</w:t>
            </w:r>
            <w:r>
              <w:rPr>
                <w:rFonts w:hint="eastAsia" w:ascii="宋体" w:hAnsi="宋体" w:eastAsia="宋体" w:cs="宋体"/>
                <w:sz w:val="21"/>
                <w:szCs w:val="21"/>
              </w:rPr>
              <w:t>综合评审，横向比较，评委在0～5分范围内赋分。</w:t>
            </w:r>
          </w:p>
        </w:tc>
      </w:tr>
      <w:tr w14:paraId="2D602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2" w:hRule="exact"/>
          <w:jc w:val="center"/>
        </w:trPr>
        <w:tc>
          <w:tcPr>
            <w:tcW w:w="728" w:type="dxa"/>
            <w:vMerge w:val="continue"/>
            <w:tcBorders>
              <w:right w:val="single" w:color="auto" w:sz="4" w:space="0"/>
            </w:tcBorders>
            <w:noWrap w:val="0"/>
            <w:vAlign w:val="center"/>
          </w:tcPr>
          <w:p w14:paraId="2E3C667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05E1EFF2">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45A8AB4F">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lang w:val="en-US" w:eastAsia="zh-CN"/>
              </w:rPr>
              <w:t>安全生产保证体系及措施（5分）</w:t>
            </w:r>
          </w:p>
        </w:tc>
        <w:tc>
          <w:tcPr>
            <w:tcW w:w="5658" w:type="dxa"/>
            <w:noWrap w:val="0"/>
            <w:vAlign w:val="center"/>
          </w:tcPr>
          <w:p w14:paraId="16715401">
            <w:pPr>
              <w:widowControl/>
              <w:spacing w:beforeLines="0" w:afterLines="0" w:line="360" w:lineRule="auto"/>
              <w:jc w:val="left"/>
              <w:rPr>
                <w:rFonts w:hint="eastAsia" w:ascii="宋体" w:hAnsi="宋体" w:eastAsia="宋体" w:cs="宋体"/>
                <w:sz w:val="21"/>
                <w:szCs w:val="21"/>
                <w:lang w:eastAsia="zh-CN"/>
              </w:rPr>
            </w:pPr>
            <w:r>
              <w:rPr>
                <w:rFonts w:hint="eastAsia" w:ascii="宋体" w:hAnsi="宋体" w:eastAsia="宋体" w:cs="宋体"/>
                <w:sz w:val="21"/>
                <w:szCs w:val="21"/>
              </w:rPr>
              <w:t>对安全生产保证体系是否健全、保证措施是否合理可行并具有针对性</w:t>
            </w:r>
            <w:r>
              <w:rPr>
                <w:rFonts w:hint="eastAsia" w:ascii="宋体" w:hAnsi="宋体" w:eastAsia="宋体" w:cs="宋体"/>
                <w:sz w:val="21"/>
                <w:szCs w:val="21"/>
                <w:lang w:eastAsia="zh-CN"/>
              </w:rPr>
              <w:t>。</w:t>
            </w:r>
            <w:r>
              <w:rPr>
                <w:rFonts w:hint="eastAsia" w:ascii="宋体" w:hAnsi="宋体" w:eastAsia="宋体" w:cs="宋体"/>
                <w:sz w:val="21"/>
                <w:szCs w:val="21"/>
              </w:rPr>
              <w:t>综合评审，横向比较，评委在0～5分范围内赋分。</w:t>
            </w:r>
          </w:p>
          <w:p w14:paraId="3685A144">
            <w:pPr>
              <w:widowControl/>
              <w:spacing w:beforeLines="0" w:afterLines="0" w:line="360" w:lineRule="auto"/>
              <w:jc w:val="left"/>
              <w:rPr>
                <w:rFonts w:hint="eastAsia" w:ascii="宋体" w:hAnsi="宋体" w:eastAsia="宋体" w:cs="宋体"/>
                <w:spacing w:val="-4"/>
                <w:kern w:val="28"/>
                <w:szCs w:val="21"/>
                <w:highlight w:val="none"/>
              </w:rPr>
            </w:pPr>
            <w:r>
              <w:rPr>
                <w:rFonts w:hint="eastAsia" w:ascii="宋体" w:hAnsi="宋体" w:eastAsia="宋体" w:cs="宋体"/>
                <w:sz w:val="21"/>
                <w:szCs w:val="21"/>
              </w:rPr>
              <w:t>综合评审，横向比较，评委在0～5分范围内赋分。</w:t>
            </w:r>
          </w:p>
        </w:tc>
      </w:tr>
      <w:tr w14:paraId="557AE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0" w:hRule="exact"/>
          <w:jc w:val="center"/>
        </w:trPr>
        <w:tc>
          <w:tcPr>
            <w:tcW w:w="728" w:type="dxa"/>
            <w:vMerge w:val="continue"/>
            <w:tcBorders>
              <w:right w:val="single" w:color="auto" w:sz="4" w:space="0"/>
            </w:tcBorders>
            <w:noWrap w:val="0"/>
            <w:vAlign w:val="center"/>
          </w:tcPr>
          <w:p w14:paraId="541FA8B8">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73C52C0">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32B302D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 w:val="21"/>
                <w:szCs w:val="21"/>
              </w:rPr>
              <w:t>设备采购、制造方案（5分）</w:t>
            </w:r>
          </w:p>
        </w:tc>
        <w:tc>
          <w:tcPr>
            <w:tcW w:w="5658" w:type="dxa"/>
            <w:noWrap w:val="0"/>
            <w:vAlign w:val="center"/>
          </w:tcPr>
          <w:p w14:paraId="18A47D0D">
            <w:pPr>
              <w:widowControl/>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sz w:val="21"/>
                <w:szCs w:val="21"/>
              </w:rPr>
              <w:t>对设备采购、制造方案，综合评审，横向比较，评委在0～5分范围内赋分。</w:t>
            </w:r>
          </w:p>
        </w:tc>
      </w:tr>
      <w:tr w14:paraId="28F4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6" w:hRule="exact"/>
          <w:jc w:val="center"/>
        </w:trPr>
        <w:tc>
          <w:tcPr>
            <w:tcW w:w="728" w:type="dxa"/>
            <w:vMerge w:val="continue"/>
            <w:tcBorders>
              <w:right w:val="single" w:color="auto" w:sz="4" w:space="0"/>
            </w:tcBorders>
            <w:noWrap w:val="0"/>
            <w:vAlign w:val="center"/>
          </w:tcPr>
          <w:p w14:paraId="7BE2DC0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227" w:type="dxa"/>
            <w:gridSpan w:val="2"/>
            <w:vMerge w:val="continue"/>
            <w:tcBorders>
              <w:left w:val="single" w:color="auto" w:sz="4" w:space="0"/>
            </w:tcBorders>
            <w:noWrap w:val="0"/>
            <w:vAlign w:val="center"/>
          </w:tcPr>
          <w:p w14:paraId="552EB3A5">
            <w:pPr>
              <w:widowControl w:val="0"/>
              <w:adjustRightInd w:val="0"/>
              <w:snapToGrid w:val="0"/>
              <w:spacing w:beforeLines="0" w:afterLines="0" w:line="360" w:lineRule="auto"/>
              <w:ind w:firstLine="0" w:firstLineChars="0"/>
              <w:jc w:val="center"/>
              <w:rPr>
                <w:rFonts w:hint="eastAsia" w:ascii="宋体" w:hAnsi="宋体" w:eastAsia="宋体" w:cs="宋体"/>
                <w:b/>
                <w:kern w:val="0"/>
                <w:szCs w:val="21"/>
                <w:highlight w:val="none"/>
                <w:lang w:eastAsia="en-US"/>
              </w:rPr>
            </w:pPr>
          </w:p>
        </w:tc>
        <w:tc>
          <w:tcPr>
            <w:tcW w:w="1689" w:type="dxa"/>
            <w:noWrap w:val="0"/>
            <w:vAlign w:val="center"/>
          </w:tcPr>
          <w:p w14:paraId="2EA7C8F1">
            <w:pPr>
              <w:widowControl/>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技术服务方案</w:t>
            </w:r>
          </w:p>
          <w:p w14:paraId="1927671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rPr>
              <w:t>分）</w:t>
            </w:r>
          </w:p>
        </w:tc>
        <w:tc>
          <w:tcPr>
            <w:tcW w:w="5658" w:type="dxa"/>
            <w:noWrap w:val="0"/>
            <w:vAlign w:val="center"/>
          </w:tcPr>
          <w:p w14:paraId="1FAF4611">
            <w:pPr>
              <w:widowControl/>
              <w:autoSpaceDE/>
              <w:autoSpaceDN/>
              <w:adjustRightInd w:val="0"/>
              <w:spacing w:beforeLines="0" w:afterLines="0" w:line="360" w:lineRule="auto"/>
              <w:jc w:val="left"/>
              <w:rPr>
                <w:rFonts w:hint="eastAsia" w:ascii="宋体" w:hAnsi="宋体" w:eastAsia="宋体" w:cs="宋体"/>
                <w:kern w:val="28"/>
                <w:szCs w:val="21"/>
                <w:highlight w:val="none"/>
              </w:rPr>
            </w:pPr>
            <w:r>
              <w:rPr>
                <w:rFonts w:hint="eastAsia" w:ascii="宋体" w:hAnsi="宋体" w:eastAsia="宋体" w:cs="宋体"/>
                <w:kern w:val="28"/>
                <w:szCs w:val="21"/>
                <w:highlight w:val="none"/>
                <w:lang w:val="en-US" w:eastAsia="zh-CN"/>
              </w:rPr>
              <w:t>技术服务方案及保障措施，至少包含现场安装指导、现场设备调试、人员培训、故障维修等招标范围内包含的技术服务</w:t>
            </w:r>
            <w:r>
              <w:rPr>
                <w:rFonts w:hint="eastAsia" w:ascii="宋体" w:hAnsi="宋体" w:eastAsia="宋体" w:cs="宋体"/>
                <w:kern w:val="28"/>
                <w:szCs w:val="21"/>
                <w:highlight w:val="none"/>
                <w:lang w:eastAsia="zh-CN"/>
              </w:rPr>
              <w:t>，综合评审，横向比较，评委在0～</w:t>
            </w:r>
            <w:r>
              <w:rPr>
                <w:rFonts w:hint="eastAsia" w:ascii="宋体" w:hAnsi="宋体" w:eastAsia="宋体" w:cs="宋体"/>
                <w:kern w:val="28"/>
                <w:szCs w:val="21"/>
                <w:highlight w:val="none"/>
                <w:lang w:val="en-US" w:eastAsia="zh-CN"/>
              </w:rPr>
              <w:t>5</w:t>
            </w:r>
            <w:r>
              <w:rPr>
                <w:rFonts w:hint="eastAsia" w:ascii="宋体" w:hAnsi="宋体" w:eastAsia="宋体" w:cs="宋体"/>
                <w:kern w:val="28"/>
                <w:szCs w:val="21"/>
                <w:highlight w:val="none"/>
                <w:lang w:eastAsia="zh-CN"/>
              </w:rPr>
              <w:t>分范围内赋分。</w:t>
            </w:r>
          </w:p>
        </w:tc>
      </w:tr>
      <w:tr w14:paraId="1882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9" w:hRule="exact"/>
          <w:jc w:val="center"/>
        </w:trPr>
        <w:tc>
          <w:tcPr>
            <w:tcW w:w="728" w:type="dxa"/>
            <w:vMerge w:val="restart"/>
            <w:noWrap w:val="0"/>
            <w:vAlign w:val="center"/>
          </w:tcPr>
          <w:p w14:paraId="2104F447">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2.2.4</w:t>
            </w:r>
          </w:p>
          <w:p w14:paraId="42E62BFF">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rPr>
              <w:t>3</w:t>
            </w:r>
            <w:r>
              <w:rPr>
                <w:rFonts w:hint="eastAsia" w:ascii="宋体" w:hAnsi="宋体" w:eastAsia="宋体" w:cs="宋体"/>
                <w:kern w:val="0"/>
                <w:szCs w:val="21"/>
                <w:highlight w:val="none"/>
                <w:lang w:eastAsia="en-US"/>
              </w:rPr>
              <w:t>）</w:t>
            </w:r>
          </w:p>
        </w:tc>
        <w:tc>
          <w:tcPr>
            <w:tcW w:w="1227" w:type="dxa"/>
            <w:gridSpan w:val="2"/>
            <w:vMerge w:val="restart"/>
            <w:noWrap w:val="0"/>
            <w:vAlign w:val="center"/>
          </w:tcPr>
          <w:p w14:paraId="39147842">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C</w:t>
            </w:r>
          </w:p>
          <w:p w14:paraId="5837D6C5">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综合标（商务部分）评分标准(20分)</w:t>
            </w:r>
          </w:p>
          <w:p w14:paraId="344FBA5C">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38EA1EC6">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投标人类似项目业绩（6分）</w:t>
            </w:r>
          </w:p>
        </w:tc>
        <w:tc>
          <w:tcPr>
            <w:tcW w:w="5658" w:type="dxa"/>
            <w:noWrap w:val="0"/>
            <w:vAlign w:val="top"/>
          </w:tcPr>
          <w:p w14:paraId="19920B6C">
            <w:pPr>
              <w:widowControl/>
              <w:spacing w:beforeLines="0" w:afterLines="0" w:line="360" w:lineRule="auto"/>
              <w:jc w:val="left"/>
              <w:rPr>
                <w:rFonts w:hint="eastAsia" w:ascii="宋体" w:hAnsi="宋体" w:eastAsia="宋体" w:cs="宋体"/>
                <w:b w:val="0"/>
                <w:bCs w:val="0"/>
                <w:kern w:val="11"/>
                <w:szCs w:val="21"/>
                <w:highlight w:val="none"/>
              </w:rPr>
            </w:pPr>
            <w:r>
              <w:rPr>
                <w:rFonts w:hint="eastAsia" w:ascii="宋体" w:hAnsi="宋体" w:eastAsia="宋体" w:cs="宋体"/>
                <w:b w:val="0"/>
                <w:bCs w:val="0"/>
                <w:kern w:val="11"/>
                <w:szCs w:val="21"/>
                <w:highlight w:val="none"/>
              </w:rPr>
              <w:t>2021年</w:t>
            </w:r>
            <w:r>
              <w:rPr>
                <w:rFonts w:hint="eastAsia" w:ascii="宋体" w:hAnsi="宋体" w:eastAsia="宋体" w:cs="宋体"/>
                <w:b w:val="0"/>
                <w:bCs w:val="0"/>
                <w:kern w:val="11"/>
                <w:szCs w:val="21"/>
                <w:highlight w:val="none"/>
                <w:lang w:val="en-US" w:eastAsia="zh-CN"/>
              </w:rPr>
              <w:t>9</w:t>
            </w:r>
            <w:r>
              <w:rPr>
                <w:rFonts w:hint="eastAsia" w:ascii="宋体" w:hAnsi="宋体" w:eastAsia="宋体" w:cs="宋体"/>
                <w:b w:val="0"/>
                <w:bCs w:val="0"/>
                <w:kern w:val="11"/>
                <w:szCs w:val="21"/>
                <w:highlight w:val="none"/>
              </w:rPr>
              <w:t>月1日至今（以合同签订时间为准）有类似项目供货业绩；每提供1项业绩的得2分，最多得6分。</w:t>
            </w:r>
          </w:p>
          <w:p w14:paraId="52C2C8DA">
            <w:pPr>
              <w:widowControl/>
              <w:spacing w:beforeLines="0" w:afterLines="0" w:line="360" w:lineRule="auto"/>
              <w:jc w:val="left"/>
              <w:rPr>
                <w:rFonts w:hint="eastAsia" w:ascii="宋体" w:hAnsi="宋体" w:eastAsia="宋体" w:cs="宋体"/>
                <w:b/>
                <w:bCs/>
                <w:kern w:val="11"/>
                <w:szCs w:val="21"/>
                <w:highlight w:val="none"/>
                <w:lang w:val="en-US" w:eastAsia="zh-CN"/>
              </w:rPr>
            </w:pPr>
            <w:r>
              <w:rPr>
                <w:rFonts w:hint="eastAsia" w:ascii="宋体" w:hAnsi="宋体" w:eastAsia="宋体" w:cs="宋体"/>
                <w:b/>
                <w:bCs/>
                <w:kern w:val="11"/>
                <w:szCs w:val="21"/>
                <w:highlight w:val="none"/>
              </w:rPr>
              <w:t>注：提供合同文件</w:t>
            </w:r>
            <w:r>
              <w:rPr>
                <w:rFonts w:hint="eastAsia" w:ascii="宋体" w:hAnsi="宋体" w:eastAsia="宋体" w:cs="宋体"/>
                <w:b/>
                <w:bCs/>
                <w:kern w:val="11"/>
                <w:szCs w:val="21"/>
                <w:highlight w:val="none"/>
                <w:lang w:val="en-US" w:eastAsia="zh-CN"/>
              </w:rPr>
              <w:t>复印件或扫描件</w:t>
            </w:r>
            <w:r>
              <w:rPr>
                <w:rFonts w:hint="eastAsia" w:ascii="宋体" w:hAnsi="宋体" w:eastAsia="宋体" w:cs="宋体"/>
                <w:b/>
                <w:bCs/>
                <w:kern w:val="11"/>
                <w:szCs w:val="21"/>
                <w:highlight w:val="none"/>
              </w:rPr>
              <w:t>，对应合同项下任意一张不限金额的发票</w:t>
            </w:r>
            <w:r>
              <w:rPr>
                <w:rFonts w:hint="eastAsia" w:ascii="宋体" w:hAnsi="宋体" w:eastAsia="宋体" w:cs="宋体"/>
                <w:b/>
                <w:bCs/>
                <w:kern w:val="11"/>
                <w:szCs w:val="21"/>
                <w:highlight w:val="none"/>
                <w:lang w:eastAsia="zh-CN"/>
              </w:rPr>
              <w:t>，</w:t>
            </w:r>
            <w:r>
              <w:rPr>
                <w:rFonts w:hint="eastAsia" w:ascii="宋体" w:hAnsi="宋体" w:eastAsia="宋体" w:cs="宋体"/>
                <w:b/>
                <w:bCs/>
                <w:kern w:val="11"/>
                <w:szCs w:val="21"/>
                <w:highlight w:val="none"/>
              </w:rPr>
              <w:t>未提供的不得分。</w:t>
            </w:r>
          </w:p>
        </w:tc>
      </w:tr>
      <w:tr w14:paraId="4E203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66" w:hRule="atLeast"/>
          <w:jc w:val="center"/>
        </w:trPr>
        <w:tc>
          <w:tcPr>
            <w:tcW w:w="728" w:type="dxa"/>
            <w:vMerge w:val="continue"/>
            <w:noWrap w:val="0"/>
            <w:vAlign w:val="center"/>
          </w:tcPr>
          <w:p w14:paraId="0FBECEC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5A7760DF">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707B1B9E">
            <w:pPr>
              <w:widowControl/>
              <w:adjustRightInd w:val="0"/>
              <w:snapToGrid w:val="0"/>
              <w:spacing w:beforeLines="0" w:afterLines="0" w:line="360" w:lineRule="auto"/>
              <w:jc w:val="center"/>
              <w:rPr>
                <w:rFonts w:hint="eastAsia" w:ascii="宋体" w:hAnsi="宋体" w:eastAsia="宋体" w:cs="宋体"/>
                <w:sz w:val="21"/>
                <w:szCs w:val="21"/>
                <w:highlight w:val="none"/>
                <w:lang w:eastAsia="zh-CN"/>
              </w:rPr>
            </w:pPr>
            <w:r>
              <w:rPr>
                <w:rFonts w:hint="eastAsia" w:ascii="Times New Roman" w:hAnsi="Times New Roman" w:eastAsia="宋体" w:cs="Times New Roman"/>
                <w:szCs w:val="21"/>
              </w:rPr>
              <w:t>项目负责人资历</w:t>
            </w:r>
            <w:r>
              <w:rPr>
                <w:rFonts w:hint="eastAsia" w:ascii="宋体" w:hAnsi="宋体" w:eastAsia="宋体" w:cs="宋体"/>
                <w:szCs w:val="21"/>
              </w:rPr>
              <w:t>（</w:t>
            </w:r>
            <w:r>
              <w:rPr>
                <w:rFonts w:hint="eastAsia" w:ascii="宋体" w:hAnsi="宋体" w:eastAsia="宋体" w:cs="宋体"/>
                <w:szCs w:val="21"/>
                <w:lang w:val="en-US" w:eastAsia="zh-CN"/>
              </w:rPr>
              <w:t>4</w:t>
            </w:r>
            <w:r>
              <w:rPr>
                <w:rFonts w:hint="eastAsia" w:ascii="宋体" w:hAnsi="宋体" w:eastAsia="宋体" w:cs="宋体"/>
                <w:szCs w:val="21"/>
              </w:rPr>
              <w:t>分）</w:t>
            </w:r>
          </w:p>
        </w:tc>
        <w:tc>
          <w:tcPr>
            <w:tcW w:w="5658" w:type="dxa"/>
            <w:noWrap w:val="0"/>
            <w:vAlign w:val="center"/>
          </w:tcPr>
          <w:p w14:paraId="4041F4B6">
            <w:pPr>
              <w:widowControl/>
              <w:adjustRightInd w:val="0"/>
              <w:snapToGrid w:val="0"/>
              <w:spacing w:beforeLines="0" w:afterLines="0" w:line="360" w:lineRule="auto"/>
              <w:ind w:left="84" w:leftChars="40"/>
              <w:jc w:val="both"/>
              <w:rPr>
                <w:rFonts w:hint="eastAsia" w:ascii="宋体" w:hAnsi="宋体" w:eastAsia="宋体" w:cs="宋体"/>
                <w:kern w:val="11"/>
                <w:sz w:val="21"/>
                <w:szCs w:val="21"/>
                <w:highlight w:val="none"/>
                <w:lang w:eastAsia="zh-CN"/>
              </w:rPr>
            </w:pPr>
            <w:r>
              <w:rPr>
                <w:rFonts w:hint="eastAsia" w:ascii="宋体" w:hAnsi="宋体" w:eastAsia="宋体" w:cs="宋体"/>
                <w:kern w:val="11"/>
                <w:sz w:val="21"/>
                <w:szCs w:val="21"/>
                <w:highlight w:val="none"/>
                <w:lang w:val="en-US" w:eastAsia="zh-CN"/>
              </w:rPr>
              <w:t>项目负责人</w:t>
            </w:r>
            <w:r>
              <w:rPr>
                <w:rFonts w:hint="eastAsia" w:ascii="宋体" w:hAnsi="宋体" w:eastAsia="宋体" w:cs="宋体"/>
                <w:kern w:val="11"/>
                <w:sz w:val="21"/>
                <w:szCs w:val="21"/>
                <w:highlight w:val="none"/>
                <w:lang w:eastAsia="zh-CN"/>
              </w:rPr>
              <w:t>具有</w:t>
            </w:r>
            <w:r>
              <w:rPr>
                <w:rFonts w:hint="eastAsia" w:ascii="宋体" w:hAnsi="宋体" w:eastAsia="宋体" w:cs="宋体"/>
                <w:color w:val="000000"/>
                <w:kern w:val="11"/>
                <w:sz w:val="21"/>
                <w:szCs w:val="21"/>
                <w:highlight w:val="none"/>
                <w:lang w:val="en-US" w:eastAsia="zh-CN" w:bidi="ar-SA"/>
              </w:rPr>
              <w:t>类似项目供货</w:t>
            </w:r>
            <w:r>
              <w:rPr>
                <w:rFonts w:hint="eastAsia" w:ascii="宋体" w:hAnsi="宋体" w:eastAsia="宋体" w:cs="宋体"/>
                <w:bCs w:val="0"/>
                <w:color w:val="auto"/>
                <w:kern w:val="11"/>
                <w:sz w:val="21"/>
                <w:szCs w:val="21"/>
                <w:highlight w:val="none"/>
                <w:lang w:val="en-US" w:eastAsia="zh-CN" w:bidi="ar-SA"/>
              </w:rPr>
              <w:t>业绩</w:t>
            </w:r>
            <w:r>
              <w:rPr>
                <w:rFonts w:hint="eastAsia" w:ascii="宋体" w:hAnsi="宋体" w:eastAsia="宋体" w:cs="宋体"/>
                <w:kern w:val="11"/>
                <w:sz w:val="21"/>
                <w:szCs w:val="21"/>
                <w:highlight w:val="none"/>
                <w:lang w:eastAsia="zh-CN"/>
              </w:rPr>
              <w:t>（担任过项目负责人或技术负责人），每有1项得</w:t>
            </w:r>
            <w:r>
              <w:rPr>
                <w:rFonts w:hint="eastAsia" w:ascii="宋体" w:hAnsi="宋体" w:eastAsia="宋体" w:cs="宋体"/>
                <w:kern w:val="11"/>
                <w:sz w:val="21"/>
                <w:szCs w:val="21"/>
                <w:highlight w:val="none"/>
                <w:lang w:val="en-US" w:eastAsia="zh-CN"/>
              </w:rPr>
              <w:t>2</w:t>
            </w:r>
            <w:r>
              <w:rPr>
                <w:rFonts w:hint="eastAsia" w:ascii="宋体" w:hAnsi="宋体" w:eastAsia="宋体" w:cs="宋体"/>
                <w:kern w:val="11"/>
                <w:sz w:val="21"/>
                <w:szCs w:val="21"/>
                <w:highlight w:val="none"/>
                <w:lang w:eastAsia="zh-CN"/>
              </w:rPr>
              <w:t>分，最多得</w:t>
            </w:r>
            <w:r>
              <w:rPr>
                <w:rFonts w:hint="eastAsia" w:ascii="宋体" w:hAnsi="宋体" w:eastAsia="宋体" w:cs="宋体"/>
                <w:kern w:val="11"/>
                <w:sz w:val="21"/>
                <w:szCs w:val="21"/>
                <w:highlight w:val="none"/>
                <w:lang w:val="en-US" w:eastAsia="zh-CN"/>
              </w:rPr>
              <w:t>4</w:t>
            </w:r>
            <w:r>
              <w:rPr>
                <w:rFonts w:hint="eastAsia" w:ascii="宋体" w:hAnsi="宋体" w:eastAsia="宋体" w:cs="宋体"/>
                <w:kern w:val="11"/>
                <w:sz w:val="21"/>
                <w:szCs w:val="21"/>
                <w:highlight w:val="none"/>
                <w:lang w:eastAsia="zh-CN"/>
              </w:rPr>
              <w:t>分。</w:t>
            </w:r>
          </w:p>
          <w:p w14:paraId="33E976D2">
            <w:pPr>
              <w:widowControl w:val="0"/>
              <w:adjustRightInd w:val="0"/>
              <w:snapToGrid w:val="0"/>
              <w:spacing w:beforeLines="0" w:afterLines="0" w:line="360" w:lineRule="auto"/>
              <w:ind w:left="84" w:leftChars="40"/>
              <w:jc w:val="both"/>
              <w:rPr>
                <w:rFonts w:hint="eastAsia" w:ascii="宋体" w:hAnsi="宋体" w:eastAsia="宋体" w:cs="宋体"/>
                <w:kern w:val="0"/>
                <w:sz w:val="21"/>
                <w:szCs w:val="21"/>
                <w:highlight w:val="none"/>
                <w:lang w:val="zh-CN" w:eastAsia="en-US" w:bidi="ar-SA"/>
              </w:rPr>
            </w:pPr>
            <w:r>
              <w:rPr>
                <w:rFonts w:hint="eastAsia" w:ascii="宋体" w:hAnsi="宋体" w:eastAsia="宋体" w:cs="宋体"/>
                <w:b/>
                <w:bCs/>
                <w:kern w:val="0"/>
                <w:sz w:val="21"/>
                <w:szCs w:val="21"/>
                <w:highlight w:val="none"/>
                <w:lang w:val="en-US" w:eastAsia="zh-CN" w:bidi="ar-SA"/>
              </w:rPr>
              <w:t>注：提供合同文件（</w:t>
            </w:r>
            <w:r>
              <w:rPr>
                <w:rFonts w:hint="eastAsia" w:ascii="宋体" w:hAnsi="宋体" w:eastAsia="宋体" w:cs="宋体"/>
                <w:b/>
                <w:bCs/>
                <w:kern w:val="11"/>
                <w:sz w:val="21"/>
                <w:szCs w:val="21"/>
                <w:highlight w:val="none"/>
                <w:lang w:val="en-US" w:eastAsia="zh-CN" w:bidi="ar-SA"/>
              </w:rPr>
              <w:t>复印件或扫描件</w:t>
            </w:r>
            <w:r>
              <w:rPr>
                <w:rFonts w:hint="eastAsia" w:ascii="宋体" w:hAnsi="宋体" w:eastAsia="宋体" w:cs="宋体"/>
                <w:b/>
                <w:bCs/>
                <w:kern w:val="0"/>
                <w:sz w:val="21"/>
                <w:szCs w:val="21"/>
                <w:highlight w:val="none"/>
                <w:lang w:val="en-US" w:eastAsia="zh-CN" w:bidi="ar-SA"/>
              </w:rPr>
              <w:t>）和验收证明，如上述材料不能体现项目负责人任职情况，须提供项目业主单位出具的书面证明材料，未提供的不得分</w:t>
            </w:r>
            <w:r>
              <w:rPr>
                <w:rFonts w:hint="eastAsia" w:ascii="宋体" w:hAnsi="宋体" w:eastAsia="宋体" w:cs="宋体"/>
                <w:kern w:val="0"/>
                <w:sz w:val="21"/>
                <w:szCs w:val="21"/>
                <w:highlight w:val="none"/>
                <w:lang w:val="en-US" w:eastAsia="zh-CN" w:bidi="ar-SA"/>
              </w:rPr>
              <w:t>。</w:t>
            </w:r>
          </w:p>
        </w:tc>
      </w:tr>
      <w:tr w14:paraId="19183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728" w:type="dxa"/>
            <w:vMerge w:val="continue"/>
            <w:noWrap w:val="0"/>
            <w:vAlign w:val="center"/>
          </w:tcPr>
          <w:p w14:paraId="449917DF">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2FCC03F">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6DAD8E01">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体系认证</w:t>
            </w:r>
          </w:p>
          <w:p w14:paraId="40411C8C">
            <w:pPr>
              <w:widowControl w:val="0"/>
              <w:adjustRightInd w:val="0"/>
              <w:snapToGrid w:val="0"/>
              <w:spacing w:beforeLines="0" w:afterLines="0" w:line="360" w:lineRule="auto"/>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（3分）</w:t>
            </w:r>
          </w:p>
        </w:tc>
        <w:tc>
          <w:tcPr>
            <w:tcW w:w="5658" w:type="dxa"/>
            <w:noWrap w:val="0"/>
            <w:vAlign w:val="center"/>
          </w:tcPr>
          <w:p w14:paraId="6A4CCCFE">
            <w:pPr>
              <w:widowControl/>
              <w:adjustRightInd w:val="0"/>
              <w:snapToGrid w:val="0"/>
              <w:spacing w:beforeLines="0" w:afterLines="0" w:line="360" w:lineRule="auto"/>
              <w:ind w:left="0" w:leftChars="0"/>
              <w:jc w:val="both"/>
              <w:rPr>
                <w:rFonts w:hint="eastAsia" w:ascii="宋体" w:hAnsi="宋体" w:eastAsia="宋体" w:cs="宋体"/>
                <w:color w:val="FF0000"/>
                <w:szCs w:val="21"/>
                <w:highlight w:val="none"/>
                <w:lang w:val="zh-CN"/>
              </w:rPr>
            </w:pPr>
            <w:r>
              <w:rPr>
                <w:rFonts w:hint="eastAsia" w:ascii="宋体" w:hAnsi="宋体" w:eastAsia="宋体" w:cs="宋体"/>
                <w:kern w:val="0"/>
                <w:szCs w:val="21"/>
                <w:highlight w:val="none"/>
              </w:rPr>
              <w:t>具有质量管理体系认证证书、环境管理体系认证证书、职业健康安全管理体系认证证书且在有效期内的，每项得1分</w:t>
            </w:r>
            <w:r>
              <w:rPr>
                <w:rFonts w:hint="eastAsia" w:ascii="宋体" w:hAnsi="宋体" w:eastAsia="宋体" w:cs="宋体"/>
                <w:kern w:val="11"/>
                <w:szCs w:val="21"/>
                <w:highlight w:val="none"/>
              </w:rPr>
              <w:t>，最多得3分。</w:t>
            </w:r>
          </w:p>
        </w:tc>
      </w:tr>
      <w:tr w14:paraId="32D91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jc w:val="center"/>
        </w:trPr>
        <w:tc>
          <w:tcPr>
            <w:tcW w:w="728" w:type="dxa"/>
            <w:vMerge w:val="continue"/>
            <w:noWrap w:val="0"/>
            <w:vAlign w:val="center"/>
          </w:tcPr>
          <w:p w14:paraId="16B85D7D">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3375A6C4">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2048CE9F">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信用等级</w:t>
            </w:r>
          </w:p>
          <w:p w14:paraId="223D9719">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sz w:val="21"/>
                <w:szCs w:val="21"/>
                <w:highlight w:val="none"/>
                <w:lang w:eastAsia="zh-CN"/>
              </w:rPr>
            </w:pPr>
            <w:r>
              <w:rPr>
                <w:rFonts w:hint="eastAsia" w:ascii="宋体" w:hAnsi="宋体" w:eastAsia="宋体" w:cs="宋体"/>
                <w:bCs/>
                <w:color w:val="auto"/>
                <w:kern w:val="0"/>
                <w:sz w:val="21"/>
                <w:szCs w:val="21"/>
                <w:highlight w:val="none"/>
                <w:lang w:val="en-US" w:eastAsia="zh-CN" w:bidi="ar-SA"/>
              </w:rPr>
              <w:t>（3分）</w:t>
            </w:r>
          </w:p>
        </w:tc>
        <w:tc>
          <w:tcPr>
            <w:tcW w:w="5658" w:type="dxa"/>
            <w:noWrap w:val="0"/>
            <w:vAlign w:val="center"/>
          </w:tcPr>
          <w:p w14:paraId="598D5BB2">
            <w:pPr>
              <w:widowControl/>
              <w:wordWrap/>
              <w:spacing w:beforeLines="0" w:afterLines="0" w:line="360" w:lineRule="auto"/>
              <w:jc w:val="left"/>
              <w:rPr>
                <w:rFonts w:hint="eastAsia" w:ascii="宋体" w:hAnsi="宋体" w:eastAsia="宋体" w:cs="宋体"/>
                <w:color w:val="auto"/>
                <w:spacing w:val="1"/>
                <w:kern w:val="0"/>
                <w:sz w:val="21"/>
                <w:szCs w:val="21"/>
                <w:highlight w:val="none"/>
              </w:rPr>
            </w:pPr>
            <w:r>
              <w:rPr>
                <w:rFonts w:hint="eastAsia" w:ascii="宋体" w:hAnsi="宋体" w:eastAsia="宋体" w:cs="宋体"/>
                <w:color w:val="auto"/>
                <w:spacing w:val="1"/>
                <w:kern w:val="0"/>
                <w:sz w:val="21"/>
                <w:szCs w:val="21"/>
                <w:highlight w:val="none"/>
                <w:lang w:val="en-US" w:eastAsia="zh-CN"/>
              </w:rPr>
              <w:t>投标人提供</w:t>
            </w:r>
            <w:r>
              <w:rPr>
                <w:rFonts w:hint="eastAsia" w:ascii="宋体" w:hAnsi="宋体" w:eastAsia="宋体" w:cs="宋体"/>
                <w:color w:val="auto"/>
                <w:spacing w:val="1"/>
                <w:kern w:val="0"/>
                <w:sz w:val="21"/>
                <w:szCs w:val="21"/>
                <w:highlight w:val="none"/>
              </w:rPr>
              <w:t>水利部备案的信用评价机构评定的且在有效期内AAA等级得</w:t>
            </w:r>
            <w:r>
              <w:rPr>
                <w:rFonts w:hint="eastAsia" w:ascii="宋体" w:hAnsi="宋体" w:eastAsia="宋体" w:cs="宋体"/>
                <w:color w:val="auto"/>
                <w:spacing w:val="1"/>
                <w:kern w:val="0"/>
                <w:sz w:val="21"/>
                <w:szCs w:val="21"/>
                <w:highlight w:val="none"/>
                <w:lang w:val="en-US" w:eastAsia="zh-CN"/>
              </w:rPr>
              <w:t>3</w:t>
            </w:r>
            <w:r>
              <w:rPr>
                <w:rFonts w:hint="eastAsia" w:ascii="宋体" w:hAnsi="宋体" w:eastAsia="宋体" w:cs="宋体"/>
                <w:color w:val="auto"/>
                <w:spacing w:val="1"/>
                <w:kern w:val="0"/>
                <w:sz w:val="21"/>
                <w:szCs w:val="21"/>
                <w:highlight w:val="none"/>
              </w:rPr>
              <w:t>分，AA等级得</w:t>
            </w:r>
            <w:r>
              <w:rPr>
                <w:rFonts w:hint="eastAsia" w:ascii="宋体" w:hAnsi="宋体" w:eastAsia="宋体" w:cs="宋体"/>
                <w:color w:val="auto"/>
                <w:spacing w:val="1"/>
                <w:kern w:val="0"/>
                <w:sz w:val="21"/>
                <w:szCs w:val="21"/>
                <w:highlight w:val="none"/>
                <w:lang w:val="en-US" w:eastAsia="zh-CN"/>
              </w:rPr>
              <w:t>2</w:t>
            </w:r>
            <w:r>
              <w:rPr>
                <w:rFonts w:hint="eastAsia" w:ascii="宋体" w:hAnsi="宋体" w:eastAsia="宋体" w:cs="宋体"/>
                <w:color w:val="auto"/>
                <w:spacing w:val="1"/>
                <w:kern w:val="0"/>
                <w:sz w:val="21"/>
                <w:szCs w:val="21"/>
                <w:highlight w:val="none"/>
              </w:rPr>
              <w:t>分，A等级得</w:t>
            </w:r>
            <w:r>
              <w:rPr>
                <w:rFonts w:hint="eastAsia" w:ascii="宋体" w:hAnsi="宋体" w:eastAsia="宋体" w:cs="宋体"/>
                <w:color w:val="auto"/>
                <w:spacing w:val="1"/>
                <w:kern w:val="0"/>
                <w:sz w:val="21"/>
                <w:szCs w:val="21"/>
                <w:highlight w:val="none"/>
                <w:lang w:val="en-US" w:eastAsia="zh-CN"/>
              </w:rPr>
              <w:t>1</w:t>
            </w:r>
            <w:r>
              <w:rPr>
                <w:rFonts w:hint="eastAsia" w:ascii="宋体" w:hAnsi="宋体" w:eastAsia="宋体" w:cs="宋体"/>
                <w:color w:val="auto"/>
                <w:spacing w:val="1"/>
                <w:kern w:val="0"/>
                <w:sz w:val="21"/>
                <w:szCs w:val="21"/>
                <w:highlight w:val="none"/>
              </w:rPr>
              <w:t>分。</w:t>
            </w:r>
          </w:p>
          <w:p w14:paraId="4B96316B">
            <w:pPr>
              <w:widowControl/>
              <w:wordWrap/>
              <w:spacing w:beforeLines="0" w:afterLines="0" w:line="360" w:lineRule="auto"/>
              <w:jc w:val="left"/>
              <w:rPr>
                <w:rFonts w:hint="eastAsia" w:ascii="宋体" w:hAnsi="宋体" w:eastAsia="宋体" w:cs="宋体"/>
                <w:kern w:val="0"/>
                <w:szCs w:val="21"/>
                <w:highlight w:val="none"/>
              </w:rPr>
            </w:pPr>
            <w:r>
              <w:rPr>
                <w:rFonts w:hint="eastAsia" w:ascii="宋体" w:hAnsi="宋体" w:eastAsia="宋体" w:cs="宋体"/>
                <w:color w:val="auto"/>
                <w:spacing w:val="1"/>
                <w:kern w:val="0"/>
                <w:sz w:val="21"/>
                <w:szCs w:val="21"/>
                <w:highlight w:val="none"/>
              </w:rPr>
              <w:t>注:投标文件应提供信用评价证书原件的扫描件或复印件、全国水利建设市场监管平台信用评价网页查询证明材料，否则不得分。两者不一致时，以全国水利建设市场监管平台信用评价网页查询公示的为准。</w:t>
            </w:r>
          </w:p>
        </w:tc>
      </w:tr>
      <w:tr w14:paraId="560FD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28" w:type="dxa"/>
            <w:vMerge w:val="continue"/>
            <w:noWrap w:val="0"/>
            <w:vAlign w:val="center"/>
          </w:tcPr>
          <w:p w14:paraId="32FB4625">
            <w:pPr>
              <w:widowControl/>
              <w:adjustRightInd w:val="0"/>
              <w:snapToGrid w:val="0"/>
              <w:spacing w:beforeLines="0" w:afterLines="0" w:line="360" w:lineRule="auto"/>
              <w:jc w:val="center"/>
              <w:rPr>
                <w:rFonts w:hint="eastAsia" w:ascii="宋体" w:hAnsi="宋体" w:eastAsia="宋体" w:cs="宋体"/>
                <w:szCs w:val="21"/>
                <w:highlight w:val="none"/>
              </w:rPr>
            </w:pPr>
          </w:p>
        </w:tc>
        <w:tc>
          <w:tcPr>
            <w:tcW w:w="1227" w:type="dxa"/>
            <w:gridSpan w:val="2"/>
            <w:vMerge w:val="continue"/>
            <w:noWrap w:val="0"/>
            <w:vAlign w:val="center"/>
          </w:tcPr>
          <w:p w14:paraId="65CDC9DE">
            <w:pPr>
              <w:widowControl w:val="0"/>
              <w:adjustRightInd w:val="0"/>
              <w:snapToGrid w:val="0"/>
              <w:spacing w:beforeLines="0" w:afterLines="0" w:line="360" w:lineRule="auto"/>
              <w:jc w:val="center"/>
              <w:rPr>
                <w:rFonts w:hint="eastAsia" w:ascii="宋体" w:hAnsi="宋体" w:eastAsia="宋体" w:cs="宋体"/>
                <w:szCs w:val="21"/>
                <w:highlight w:val="none"/>
              </w:rPr>
            </w:pPr>
          </w:p>
        </w:tc>
        <w:tc>
          <w:tcPr>
            <w:tcW w:w="1689" w:type="dxa"/>
            <w:noWrap w:val="0"/>
            <w:vAlign w:val="center"/>
          </w:tcPr>
          <w:p w14:paraId="4F757B85">
            <w:pPr>
              <w:widowControl w:val="0"/>
              <w:autoSpaceDE/>
              <w:autoSpaceDN/>
              <w:adjustRightInd w:val="0"/>
              <w:spacing w:beforeLines="0" w:afterLines="0" w:line="360" w:lineRule="auto"/>
              <w:ind w:left="0" w:leftChars="0" w:firstLine="0" w:firstLineChars="0"/>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技术服务体系、承诺及培训</w:t>
            </w:r>
          </w:p>
          <w:p w14:paraId="0E7C6BAB">
            <w:pPr>
              <w:widowControl/>
              <w:adjustRightInd w:val="0"/>
              <w:snapToGrid w:val="0"/>
              <w:spacing w:beforeLines="0" w:afterLines="0" w:line="360" w:lineRule="auto"/>
              <w:jc w:val="center"/>
              <w:rPr>
                <w:rFonts w:hint="eastAsia" w:ascii="宋体" w:hAnsi="宋体" w:eastAsia="宋体" w:cs="宋体"/>
                <w:sz w:val="21"/>
                <w:szCs w:val="21"/>
                <w:highlight w:val="none"/>
                <w:lang w:eastAsia="zh-CN"/>
              </w:rPr>
            </w:pPr>
            <w:r>
              <w:rPr>
                <w:rFonts w:hint="eastAsia" w:ascii="宋体" w:hAnsi="宋体" w:eastAsia="宋体" w:cs="宋体"/>
                <w:bCs/>
                <w:color w:val="auto"/>
                <w:kern w:val="0"/>
                <w:sz w:val="21"/>
                <w:szCs w:val="21"/>
                <w:highlight w:val="none"/>
                <w:lang w:val="en-US" w:eastAsia="zh-CN" w:bidi="ar-SA"/>
              </w:rPr>
              <w:t>（4分）</w:t>
            </w:r>
          </w:p>
        </w:tc>
        <w:tc>
          <w:tcPr>
            <w:tcW w:w="5658" w:type="dxa"/>
            <w:noWrap w:val="0"/>
            <w:vAlign w:val="center"/>
          </w:tcPr>
          <w:p w14:paraId="1349EBB0">
            <w:pPr>
              <w:widowControl/>
              <w:wordWrap/>
              <w:spacing w:beforeLines="0" w:afterLines="0" w:line="360" w:lineRule="auto"/>
              <w:jc w:val="left"/>
              <w:rPr>
                <w:rFonts w:hint="eastAsia" w:ascii="宋体" w:hAnsi="宋体" w:eastAsia="宋体" w:cs="宋体"/>
                <w:szCs w:val="21"/>
                <w:highlight w:val="none"/>
              </w:rPr>
            </w:pPr>
            <w:r>
              <w:rPr>
                <w:rFonts w:hint="eastAsia" w:ascii="宋体" w:hAnsi="宋体" w:eastAsia="宋体" w:cs="宋体"/>
                <w:color w:val="auto"/>
                <w:spacing w:val="1"/>
                <w:kern w:val="0"/>
                <w:sz w:val="21"/>
                <w:szCs w:val="21"/>
                <w:highlight w:val="none"/>
                <w:lang w:eastAsia="zh-CN"/>
              </w:rPr>
              <w:t>对投标人产品技术服务、承诺及培训综合评审，横向比较，评委在0～</w:t>
            </w:r>
            <w:r>
              <w:rPr>
                <w:rFonts w:hint="eastAsia" w:ascii="宋体" w:hAnsi="宋体" w:eastAsia="宋体" w:cs="宋体"/>
                <w:color w:val="auto"/>
                <w:spacing w:val="1"/>
                <w:kern w:val="0"/>
                <w:sz w:val="21"/>
                <w:szCs w:val="21"/>
                <w:highlight w:val="none"/>
                <w:lang w:val="en-US" w:eastAsia="zh-CN"/>
              </w:rPr>
              <w:t>4</w:t>
            </w:r>
            <w:r>
              <w:rPr>
                <w:rFonts w:hint="eastAsia" w:ascii="宋体" w:hAnsi="宋体" w:eastAsia="宋体" w:cs="宋体"/>
                <w:color w:val="auto"/>
                <w:spacing w:val="1"/>
                <w:kern w:val="0"/>
                <w:sz w:val="21"/>
                <w:szCs w:val="21"/>
                <w:highlight w:val="none"/>
                <w:lang w:eastAsia="zh-CN"/>
              </w:rPr>
              <w:t>分范围内赋分。</w:t>
            </w:r>
          </w:p>
        </w:tc>
      </w:tr>
      <w:tr w14:paraId="1C25F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jc w:val="center"/>
        </w:trPr>
        <w:tc>
          <w:tcPr>
            <w:tcW w:w="728" w:type="dxa"/>
            <w:noWrap w:val="0"/>
            <w:vAlign w:val="center"/>
          </w:tcPr>
          <w:p w14:paraId="46EDE53D">
            <w:pPr>
              <w:widowControl w:val="0"/>
              <w:adjustRightInd w:val="0"/>
              <w:snapToGrid w:val="0"/>
              <w:spacing w:beforeLines="0" w:afterLines="0" w:line="360" w:lineRule="auto"/>
              <w:jc w:val="center"/>
              <w:rPr>
                <w:rFonts w:hint="eastAsia" w:ascii="宋体" w:hAnsi="宋体" w:eastAsia="宋体" w:cs="宋体"/>
                <w:kern w:val="0"/>
                <w:szCs w:val="21"/>
                <w:highlight w:val="none"/>
                <w:lang w:eastAsia="en-US"/>
              </w:rPr>
            </w:pPr>
            <w:bookmarkStart w:id="308" w:name="_Toc62034461"/>
            <w:r>
              <w:rPr>
                <w:rFonts w:hint="eastAsia" w:ascii="宋体" w:hAnsi="宋体" w:eastAsia="宋体" w:cs="宋体"/>
                <w:kern w:val="0"/>
                <w:szCs w:val="21"/>
                <w:highlight w:val="none"/>
                <w:lang w:eastAsia="en-US"/>
              </w:rPr>
              <w:t>2.2.4</w:t>
            </w:r>
          </w:p>
          <w:p w14:paraId="3FB4F9E0">
            <w:pPr>
              <w:widowControl/>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kern w:val="0"/>
                <w:szCs w:val="21"/>
                <w:highlight w:val="none"/>
                <w:lang w:eastAsia="en-US"/>
              </w:rPr>
              <w:t>（</w:t>
            </w:r>
            <w:r>
              <w:rPr>
                <w:rFonts w:hint="eastAsia" w:ascii="宋体" w:hAnsi="宋体" w:eastAsia="宋体" w:cs="宋体"/>
                <w:kern w:val="0"/>
                <w:szCs w:val="21"/>
                <w:highlight w:val="none"/>
                <w:lang w:val="en-US" w:eastAsia="zh-CN"/>
              </w:rPr>
              <w:t>4</w:t>
            </w:r>
            <w:r>
              <w:rPr>
                <w:rFonts w:hint="eastAsia" w:ascii="宋体" w:hAnsi="宋体" w:eastAsia="宋体" w:cs="宋体"/>
                <w:kern w:val="0"/>
                <w:szCs w:val="21"/>
                <w:highlight w:val="none"/>
                <w:lang w:eastAsia="en-US"/>
              </w:rPr>
              <w:t>）</w:t>
            </w:r>
          </w:p>
        </w:tc>
        <w:tc>
          <w:tcPr>
            <w:tcW w:w="1227" w:type="dxa"/>
            <w:gridSpan w:val="2"/>
            <w:noWrap w:val="0"/>
            <w:vAlign w:val="center"/>
          </w:tcPr>
          <w:p w14:paraId="460FED4D">
            <w:pPr>
              <w:widowControl w:val="0"/>
              <w:adjustRightInd w:val="0"/>
              <w:snapToGrid w:val="0"/>
              <w:spacing w:beforeLines="0" w:afterLines="0" w:line="360" w:lineRule="auto"/>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D</w:t>
            </w:r>
          </w:p>
          <w:p w14:paraId="6C1136ED">
            <w:pPr>
              <w:widowControl w:val="0"/>
              <w:adjustRightInd w:val="0"/>
              <w:snapToGrid w:val="0"/>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其他因素</w:t>
            </w:r>
            <w:r>
              <w:rPr>
                <w:rFonts w:hint="eastAsia" w:ascii="宋体" w:hAnsi="宋体" w:eastAsia="宋体" w:cs="宋体"/>
                <w:bCs/>
                <w:color w:val="auto"/>
                <w:kern w:val="0"/>
                <w:sz w:val="21"/>
                <w:szCs w:val="21"/>
                <w:highlight w:val="none"/>
                <w:lang w:val="en-US" w:eastAsia="zh-CN" w:bidi="ar-SA"/>
              </w:rPr>
              <w:t>评分标准</w:t>
            </w:r>
          </w:p>
        </w:tc>
        <w:tc>
          <w:tcPr>
            <w:tcW w:w="1689" w:type="dxa"/>
            <w:noWrap w:val="0"/>
            <w:vAlign w:val="center"/>
          </w:tcPr>
          <w:p w14:paraId="1392F282">
            <w:pPr>
              <w:widowControl/>
              <w:adjustRightInd w:val="0"/>
              <w:snapToGrid w:val="0"/>
              <w:spacing w:beforeLines="0" w:afterLines="0" w:line="360" w:lineRule="auto"/>
              <w:jc w:val="center"/>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不良行为记录</w:t>
            </w:r>
          </w:p>
        </w:tc>
        <w:tc>
          <w:tcPr>
            <w:tcW w:w="5658" w:type="dxa"/>
            <w:noWrap w:val="0"/>
            <w:vAlign w:val="center"/>
          </w:tcPr>
          <w:p w14:paraId="3F809C62">
            <w:pPr>
              <w:widowControl/>
              <w:wordWrap/>
              <w:spacing w:beforeLines="0" w:afterLines="0" w:line="360" w:lineRule="auto"/>
              <w:jc w:val="left"/>
              <w:rPr>
                <w:rFonts w:hint="eastAsia" w:ascii="宋体" w:hAnsi="宋体" w:eastAsia="宋体" w:cs="宋体"/>
                <w:color w:val="auto"/>
                <w:spacing w:val="1"/>
                <w:kern w:val="0"/>
                <w:sz w:val="21"/>
                <w:szCs w:val="21"/>
                <w:highlight w:val="none"/>
                <w:lang w:eastAsia="zh-CN"/>
              </w:rPr>
            </w:pPr>
            <w:r>
              <w:rPr>
                <w:rFonts w:hint="eastAsia" w:ascii="宋体" w:hAnsi="宋体" w:eastAsia="宋体" w:cs="宋体"/>
                <w:color w:val="auto"/>
                <w:spacing w:val="1"/>
                <w:kern w:val="0"/>
                <w:sz w:val="21"/>
                <w:szCs w:val="21"/>
                <w:highlight w:val="none"/>
                <w:lang w:eastAsia="zh-CN"/>
              </w:rPr>
              <w:t>不良行为记录在水利建设市场监管平台上公告且在处罚期限内的，一次扣3分。附有水利建设市场监管平台项目信息网页截图证明材料。罚分不设上限。</w:t>
            </w:r>
          </w:p>
        </w:tc>
      </w:tr>
    </w:tbl>
    <w:p w14:paraId="78E328EE">
      <w:pPr>
        <w:keepNext w:val="0"/>
        <w:keepLines w:val="0"/>
        <w:pageBreakBefore w:val="0"/>
        <w:widowControl w:val="0"/>
        <w:numPr>
          <w:ilvl w:val="0"/>
          <w:numId w:val="0"/>
        </w:numPr>
        <w:kinsoku/>
        <w:wordWrap/>
        <w:overflowPunct/>
        <w:topLinePunct w:val="0"/>
        <w:autoSpaceDE/>
        <w:autoSpaceDN/>
        <w:bidi w:val="0"/>
        <w:adjustRightInd w:val="0"/>
        <w:snapToGrid/>
        <w:spacing w:beforeLines="0" w:afterLines="0" w:line="360" w:lineRule="auto"/>
        <w:ind w:left="0" w:leftChars="0" w:firstLine="480" w:firstLineChars="200"/>
        <w:jc w:val="both"/>
        <w:textAlignment w:val="auto"/>
        <w:rPr>
          <w:rFonts w:hint="eastAsia" w:ascii="宋体" w:hAnsi="宋体" w:eastAsia="宋体" w:cs="宋体"/>
          <w:color w:val="000000"/>
          <w:kern w:val="0"/>
          <w:sz w:val="21"/>
          <w:szCs w:val="21"/>
          <w:highlight w:val="none"/>
          <w:lang w:val="en-US" w:eastAsia="zh-CN" w:bidi="ar-SA"/>
        </w:rPr>
      </w:pPr>
      <w:r>
        <w:rPr>
          <w:rFonts w:hint="eastAsia" w:ascii="宋体" w:hAnsi="宋体" w:eastAsia="宋体" w:cs="宋体"/>
          <w:color w:val="000000"/>
          <w:kern w:val="0"/>
          <w:sz w:val="24"/>
          <w:szCs w:val="21"/>
          <w:highlight w:val="none"/>
          <w:lang w:val="en-US" w:eastAsia="zh-CN" w:bidi="ar-SA"/>
        </w:rPr>
        <w:br w:type="page"/>
      </w:r>
      <w:bookmarkEnd w:id="308"/>
      <w:bookmarkStart w:id="309" w:name="_Toc271870438"/>
      <w:bookmarkStart w:id="310" w:name="_Toc401150145"/>
      <w:bookmarkStart w:id="311" w:name="_Toc332378864"/>
      <w:bookmarkStart w:id="312" w:name="_Toc451444533"/>
      <w:bookmarkStart w:id="313" w:name="_Toc451443943"/>
    </w:p>
    <w:bookmarkEnd w:id="309"/>
    <w:bookmarkEnd w:id="310"/>
    <w:bookmarkEnd w:id="311"/>
    <w:bookmarkEnd w:id="312"/>
    <w:bookmarkEnd w:id="313"/>
    <w:p w14:paraId="3FF60C48">
      <w:pPr>
        <w:keepNext w:val="0"/>
        <w:keepLines w:val="0"/>
        <w:pageBreakBefore w:val="0"/>
        <w:widowControl/>
        <w:kinsoku/>
        <w:wordWrap w:val="0"/>
        <w:overflowPunct/>
        <w:topLinePunct w:val="0"/>
        <w:bidi w:val="0"/>
        <w:spacing w:beforeLines="0" w:afterLines="0" w:line="360" w:lineRule="auto"/>
        <w:ind w:firstLine="0" w:firstLineChars="0"/>
        <w:jc w:val="center"/>
        <w:textAlignment w:val="auto"/>
        <w:outlineLvl w:val="1"/>
        <w:rPr>
          <w:rFonts w:hint="default" w:ascii="宋体" w:hAnsi="宋体" w:eastAsia="宋体" w:cs="宋体"/>
          <w:szCs w:val="21"/>
          <w:highlight w:val="none"/>
          <w:lang w:val="en-US" w:eastAsia="zh-CN"/>
        </w:rPr>
      </w:pPr>
      <w:bookmarkStart w:id="314" w:name="_Toc229305360"/>
      <w:bookmarkStart w:id="315" w:name="_Toc168475724"/>
      <w:bookmarkStart w:id="316" w:name="_Toc222032669"/>
      <w:bookmarkStart w:id="317" w:name="_Toc91344939"/>
      <w:bookmarkStart w:id="318" w:name="_Toc144974577"/>
      <w:bookmarkStart w:id="319" w:name="_Toc222029500"/>
      <w:bookmarkStart w:id="320" w:name="_Toc222031002"/>
      <w:bookmarkStart w:id="321" w:name="_Toc222033851"/>
      <w:bookmarkStart w:id="322" w:name="_Toc221950660"/>
      <w:bookmarkStart w:id="323" w:name="_Toc62034469"/>
      <w:bookmarkStart w:id="324" w:name="_Toc168476127"/>
      <w:r>
        <w:rPr>
          <w:rFonts w:hint="eastAsia" w:ascii="宋体" w:hAnsi="宋体" w:eastAsia="宋体" w:cs="宋体"/>
          <w:b/>
          <w:bCs/>
          <w:sz w:val="21"/>
          <w:szCs w:val="21"/>
          <w:highlight w:val="none"/>
          <w:lang w:val="en-US" w:eastAsia="zh-CN"/>
        </w:rPr>
        <w:t>一、评标办法</w:t>
      </w:r>
    </w:p>
    <w:p w14:paraId="214AC731">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评标方法</w:t>
      </w:r>
    </w:p>
    <w:p w14:paraId="53CC36B5">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本次评标采用综合评估法评审。评标委员会对满足招标文件确定的评审标准和方法，客观、公正地对投标文件进行评审和比较，并按照最终得分由高到低顺序推荐中标候选人。</w:t>
      </w:r>
    </w:p>
    <w:p w14:paraId="226BA912">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评标标准</w:t>
      </w:r>
    </w:p>
    <w:p w14:paraId="778EE5F7">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2.1初步评审标准</w:t>
      </w:r>
    </w:p>
    <w:p w14:paraId="19E95814">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2.1.1形式评审标准：见评标办法前附表；</w:t>
      </w:r>
    </w:p>
    <w:p w14:paraId="35885CBF">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2.1.2资格评审标准：见评标办法前附表；</w:t>
      </w:r>
    </w:p>
    <w:p w14:paraId="307CA4A4">
      <w:pPr>
        <w:keepNext w:val="0"/>
        <w:keepLines w:val="0"/>
        <w:pageBreakBefore w:val="0"/>
        <w:widowControl/>
        <w:kinsoku/>
        <w:wordWrap w:val="0"/>
        <w:overflowPunct/>
        <w:topLinePunct w:val="0"/>
        <w:bidi w:val="0"/>
        <w:spacing w:beforeLines="0" w:afterLines="0"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2.1.3响应性评审标准：见评标办法前附表。</w:t>
      </w:r>
    </w:p>
    <w:p w14:paraId="2678C1E5">
      <w:pPr>
        <w:keepNext w:val="0"/>
        <w:keepLines w:val="0"/>
        <w:pageBreakBefore w:val="0"/>
        <w:widowControl/>
        <w:kinsoku/>
        <w:wordWrap w:val="0"/>
        <w:overflowPunct/>
        <w:topLinePunct w:val="0"/>
        <w:bidi w:val="0"/>
        <w:spacing w:beforeLines="0" w:afterLines="0" w:line="360" w:lineRule="auto"/>
        <w:ind w:firstLine="0" w:firstLineChars="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2.2详细评审标准</w:t>
      </w:r>
    </w:p>
    <w:p w14:paraId="21EF75F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技术部分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474E85FD">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）投标报价</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554DE04B">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）综合部分</w:t>
      </w:r>
      <w:r>
        <w:rPr>
          <w:rFonts w:hint="eastAsia" w:ascii="宋体" w:hAnsi="宋体" w:eastAsia="宋体" w:cs="宋体"/>
          <w:color w:val="auto"/>
          <w:spacing w:val="0"/>
          <w:position w:val="0"/>
          <w:sz w:val="21"/>
          <w:szCs w:val="21"/>
          <w:highlight w:val="none"/>
        </w:rPr>
        <w:t>评审标准</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rPr>
        <w:t>见评标办法前附表。</w:t>
      </w:r>
    </w:p>
    <w:p w14:paraId="37FF40DD">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2"/>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3.评标程序</w:t>
      </w:r>
    </w:p>
    <w:p w14:paraId="0D5CFC6A">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3.1初步评审</w:t>
      </w:r>
    </w:p>
    <w:p w14:paraId="2B12B59E">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3.1.1评标委员会依据本章第2.1款规定的标准对投标文件进行初步评审。有一项不符合评审标准的，评标委员会应当否决其投标。</w:t>
      </w:r>
    </w:p>
    <w:p w14:paraId="29C13600">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3.1.2投标人有以下情形之一的，评标委员会应当否决其投标：</w:t>
      </w:r>
    </w:p>
    <w:p w14:paraId="75789A06">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（1）第二章“投标人须知”第1.4.3项规定的任何一种情形的；</w:t>
      </w:r>
    </w:p>
    <w:p w14:paraId="4D6A2B47">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（2）串通投标或弄虚作假或有其他违法行为的；</w:t>
      </w:r>
    </w:p>
    <w:p w14:paraId="375E8A4C">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（3）不按评标委员会要求澄清、说明或补正的。</w:t>
      </w:r>
    </w:p>
    <w:p w14:paraId="69A82C53">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3.1.3投标报价有算术错误的，评标委员会按以下原则对投标报价进行修正，修正的价格经投标人书面确认后具有约束力。投标人不接受修正价格的，评标委员会应当否决其投标。</w:t>
      </w:r>
    </w:p>
    <w:p w14:paraId="7D1CF12F">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（1）投标文件中的大写金额与小写金额不一致的，以大写金额为准；</w:t>
      </w:r>
    </w:p>
    <w:p w14:paraId="199CA504">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（2）总价金额与依据单价计算出的结果不一致的，以单价金额为准修正总价，但单价金额小数点有明显错误的除外。</w:t>
      </w:r>
    </w:p>
    <w:p w14:paraId="1EE87FE6">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3.2详细评审</w:t>
      </w:r>
    </w:p>
    <w:p w14:paraId="29828CE3">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lang w:eastAsia="zh-CN"/>
        </w:rPr>
      </w:pPr>
      <w:r>
        <w:rPr>
          <w:rFonts w:hint="eastAsia" w:ascii="宋体" w:hAnsi="宋体" w:eastAsia="宋体" w:cs="宋体"/>
          <w:color w:val="auto"/>
          <w:spacing w:val="0"/>
          <w:kern w:val="0"/>
          <w:position w:val="0"/>
          <w:sz w:val="21"/>
          <w:szCs w:val="21"/>
          <w:highlight w:val="none"/>
        </w:rPr>
        <w:t>3.2.1</w:t>
      </w:r>
      <w:r>
        <w:rPr>
          <w:rFonts w:hint="eastAsia" w:ascii="宋体" w:hAnsi="宋体" w:eastAsia="宋体" w:cs="宋体"/>
          <w:color w:val="auto"/>
          <w:sz w:val="21"/>
          <w:szCs w:val="21"/>
          <w:highlight w:val="none"/>
          <w:lang w:val="en-US" w:eastAsia="zh-CN"/>
        </w:rPr>
        <w:t>评标委员会按本章第2.2款规定的量化因素和分值对入围详细评审的有效投标人进行打分，并计算出综合评估得分。入围详细评审的有效投标人办法详见评标办法前附表规定。</w:t>
      </w:r>
    </w:p>
    <w:p w14:paraId="6B029791">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（1）按本章第2.2.4（1）目规定的评审因素和分值对投标报价计算出得分A；</w:t>
      </w:r>
    </w:p>
    <w:p w14:paraId="0642C069">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（2）按本章第2.2.4（2）目规定的评审因素和分值对技术标计算出得分B；</w:t>
      </w:r>
    </w:p>
    <w:p w14:paraId="66CE2625">
      <w:pPr>
        <w:widowControl/>
        <w:spacing w:beforeLines="0" w:afterLines="0" w:line="360" w:lineRule="auto"/>
        <w:ind w:firstLine="420" w:firstLineChars="200"/>
        <w:jc w:val="left"/>
        <w:rPr>
          <w:rFonts w:hint="eastAsia" w:ascii="宋体" w:hAnsi="宋体" w:eastAsia="宋体" w:cs="宋体"/>
          <w:szCs w:val="22"/>
          <w:lang w:val="en-US" w:eastAsia="zh-CN"/>
        </w:rPr>
      </w:pPr>
      <w:r>
        <w:rPr>
          <w:rFonts w:hint="eastAsia" w:ascii="宋体" w:hAnsi="宋体" w:eastAsia="宋体" w:cs="宋体"/>
          <w:szCs w:val="22"/>
          <w:lang w:val="en-US" w:eastAsia="zh-CN"/>
        </w:rPr>
        <w:t>（3）按本章第2.2.4（3）目规定的评审因素和分值对综合标计算出得分C；</w:t>
      </w:r>
    </w:p>
    <w:p w14:paraId="3658B073">
      <w:pPr>
        <w:widowControl/>
        <w:spacing w:beforeLines="0" w:afterLines="0" w:line="360" w:lineRule="auto"/>
        <w:ind w:firstLine="420" w:firstLineChars="200"/>
        <w:jc w:val="left"/>
        <w:rPr>
          <w:rFonts w:hint="eastAsia" w:ascii="宋体" w:hAnsi="宋体" w:eastAsia="宋体" w:cs="宋体"/>
          <w:szCs w:val="22"/>
        </w:rPr>
      </w:pPr>
      <w:r>
        <w:rPr>
          <w:rFonts w:hint="eastAsia" w:ascii="宋体" w:hAnsi="宋体" w:eastAsia="宋体" w:cs="宋体"/>
          <w:szCs w:val="22"/>
        </w:rPr>
        <w:t>3.2.2</w:t>
      </w:r>
      <w:r>
        <w:rPr>
          <w:rFonts w:hint="eastAsia" w:ascii="宋体" w:hAnsi="宋体" w:eastAsia="宋体" w:cs="宋体"/>
          <w:szCs w:val="22"/>
          <w:lang w:eastAsia="zh-CN"/>
        </w:rPr>
        <w:t xml:space="preserve"> </w:t>
      </w:r>
      <w:r>
        <w:rPr>
          <w:rFonts w:hint="eastAsia" w:ascii="宋体" w:hAnsi="宋体" w:eastAsia="宋体" w:cs="宋体"/>
          <w:szCs w:val="22"/>
        </w:rPr>
        <w:t>评分分值计算保留小数点后两位，小数点后第三位“四舍五入”。</w:t>
      </w:r>
    </w:p>
    <w:p w14:paraId="50EA5EF6">
      <w:pPr>
        <w:widowControl/>
        <w:spacing w:beforeLines="0" w:afterLines="0" w:line="360" w:lineRule="auto"/>
        <w:ind w:firstLine="420" w:firstLineChars="200"/>
        <w:jc w:val="left"/>
        <w:rPr>
          <w:rFonts w:hint="eastAsia" w:ascii="宋体" w:hAnsi="宋体" w:eastAsia="宋体" w:cs="宋体"/>
          <w:color w:val="auto"/>
          <w:spacing w:val="0"/>
          <w:kern w:val="0"/>
          <w:position w:val="0"/>
          <w:sz w:val="21"/>
          <w:szCs w:val="21"/>
          <w:highlight w:val="none"/>
          <w:lang w:eastAsia="zh-CN"/>
        </w:rPr>
      </w:pPr>
      <w:r>
        <w:rPr>
          <w:rFonts w:hint="eastAsia" w:ascii="宋体" w:hAnsi="宋体" w:eastAsia="宋体" w:cs="宋体"/>
          <w:szCs w:val="22"/>
        </w:rPr>
        <w:t>3.2.3</w:t>
      </w:r>
      <w:r>
        <w:rPr>
          <w:rFonts w:hint="eastAsia" w:ascii="宋体" w:hAnsi="宋体" w:eastAsia="宋体" w:cs="宋体"/>
          <w:szCs w:val="22"/>
          <w:lang w:eastAsia="zh-CN"/>
        </w:rPr>
        <w:t xml:space="preserve"> </w:t>
      </w:r>
      <w:r>
        <w:rPr>
          <w:rFonts w:hint="eastAsia" w:ascii="宋体" w:hAnsi="宋体" w:eastAsia="宋体" w:cs="宋体"/>
          <w:szCs w:val="22"/>
        </w:rPr>
        <w:t>投标人得分=A+B+C</w:t>
      </w:r>
      <w:r>
        <w:rPr>
          <w:rFonts w:hint="eastAsia" w:ascii="宋体" w:hAnsi="宋体" w:eastAsia="宋体" w:cs="宋体"/>
          <w:szCs w:val="22"/>
          <w:lang w:eastAsia="zh-CN"/>
        </w:rPr>
        <w:t>-</w:t>
      </w:r>
      <w:r>
        <w:rPr>
          <w:rFonts w:hint="eastAsia" w:ascii="宋体" w:hAnsi="宋体" w:eastAsia="宋体" w:cs="宋体"/>
          <w:szCs w:val="22"/>
          <w:lang w:val="en-US" w:eastAsia="zh-CN"/>
        </w:rPr>
        <w:t>D</w:t>
      </w:r>
      <w:r>
        <w:rPr>
          <w:rFonts w:hint="eastAsia" w:ascii="宋体" w:hAnsi="宋体" w:eastAsia="宋体" w:cs="宋体"/>
          <w:szCs w:val="22"/>
        </w:rPr>
        <w:t>。</w:t>
      </w:r>
    </w:p>
    <w:p w14:paraId="7A2CC787">
      <w:pPr>
        <w:keepNext w:val="0"/>
        <w:keepLines w:val="0"/>
        <w:pageBreakBefore w:val="0"/>
        <w:widowControl w:val="0"/>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3.2.</w:t>
      </w:r>
      <w:r>
        <w:rPr>
          <w:rFonts w:hint="eastAsia" w:ascii="宋体" w:hAnsi="宋体" w:eastAsia="宋体" w:cs="宋体"/>
          <w:color w:val="auto"/>
          <w:spacing w:val="0"/>
          <w:kern w:val="0"/>
          <w:position w:val="0"/>
          <w:sz w:val="21"/>
          <w:szCs w:val="21"/>
          <w:highlight w:val="none"/>
          <w:lang w:val="en-US" w:eastAsia="zh-CN"/>
        </w:rPr>
        <w:t xml:space="preserve">4 </w:t>
      </w:r>
      <w:r>
        <w:rPr>
          <w:rFonts w:hint="eastAsia" w:ascii="宋体" w:hAnsi="宋体" w:eastAsia="宋体" w:cs="宋体"/>
          <w:color w:val="auto"/>
          <w:spacing w:val="0"/>
          <w:kern w:val="0"/>
          <w:position w:val="0"/>
          <w:sz w:val="21"/>
          <w:szCs w:val="21"/>
          <w:highlight w:val="none"/>
        </w:rPr>
        <w:t>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14:paraId="67BE4F59">
      <w:pPr>
        <w:keepNext w:val="0"/>
        <w:keepLines w:val="0"/>
        <w:pageBreakBefore w:val="0"/>
        <w:widowControl w:val="0"/>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3.3投标文件的澄清和补正</w:t>
      </w:r>
    </w:p>
    <w:p w14:paraId="2B1C32CF">
      <w:pPr>
        <w:keepNext w:val="0"/>
        <w:keepLines w:val="0"/>
        <w:pageBreakBefore w:val="0"/>
        <w:widowControl w:val="0"/>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3.3.1在评标过程中，评标委员会可以书面形式要求投标人对所提交投标文件中不明确的内容进行书面澄清或说明，或者对细微偏差进行补正。评标委员会不接受投标人主动提出的澄清、说明或补正。</w:t>
      </w:r>
    </w:p>
    <w:p w14:paraId="3507FC55">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3.3.2澄清、说明和补正不得改变投标文件的实质性内容。投标人的书面澄清、说明和补正属于投标文件的组成部分。</w:t>
      </w:r>
    </w:p>
    <w:p w14:paraId="0D854981">
      <w:pPr>
        <w:keepNext w:val="0"/>
        <w:keepLines w:val="0"/>
        <w:pageBreakBefore w:val="0"/>
        <w:widowControl/>
        <w:kinsoku/>
        <w:wordWrap w:val="0"/>
        <w:overflowPunct/>
        <w:topLinePunct w:val="0"/>
        <w:bidi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3.3.3评标委员会对投标人提交的澄清、说明或补正有疑问的，可以要求投标人进一步澄清、说明或补正，直至满足评标委员会的要求。</w:t>
      </w:r>
    </w:p>
    <w:p w14:paraId="68F32C81">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3.4书面决议</w:t>
      </w:r>
    </w:p>
    <w:p w14:paraId="5674767E">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3.4.1评标委员会评审时，出现下列情形之一的，应当由评标委员会全体成员表决，并形成书面决议：</w:t>
      </w:r>
    </w:p>
    <w:p w14:paraId="2747639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（一）评标委员会否决投标人投标；</w:t>
      </w:r>
    </w:p>
    <w:p w14:paraId="1E0CD7A2">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（二）电子开评标系统对不同投标人的电子投标文件做出雷同性提示或预警；</w:t>
      </w:r>
    </w:p>
    <w:p w14:paraId="58308F2B">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（三）评标委员会修正投标文件的错误，但招标文件不允许修正的除外；</w:t>
      </w:r>
    </w:p>
    <w:p w14:paraId="11FC442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（四）对招标文件中所载事项争议内容的释疑，但释疑不得改变招标文件的实质性内容。</w:t>
      </w:r>
    </w:p>
    <w:p w14:paraId="6C16A82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2E94130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3.4.2评标委员会进行表决的，应当按照下列程序进行：</w:t>
      </w:r>
    </w:p>
    <w:p w14:paraId="160FB761">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（一）评标委员会成员分别陈述意见；</w:t>
      </w:r>
    </w:p>
    <w:p w14:paraId="7D34C284">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（二）集体讨论；</w:t>
      </w:r>
    </w:p>
    <w:p w14:paraId="43804BA8">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（三）评标委员会成员按照记名投票的方式进行表决，不得弃权；</w:t>
      </w:r>
    </w:p>
    <w:p w14:paraId="4B95192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（四）按照少数服从多数原则形成最终决议。</w:t>
      </w:r>
    </w:p>
    <w:p w14:paraId="23ED9237">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评标委员会成员的个人意见以及评标委员会最终决议，应当如实记入评标报告。决议不得违反</w:t>
      </w:r>
      <w:r>
        <w:rPr>
          <w:rFonts w:hint="eastAsia" w:ascii="宋体" w:hAnsi="宋体" w:eastAsia="宋体" w:cs="宋体"/>
          <w:color w:val="auto"/>
          <w:spacing w:val="0"/>
          <w:kern w:val="0"/>
          <w:position w:val="0"/>
          <w:sz w:val="21"/>
          <w:szCs w:val="21"/>
          <w:highlight w:val="none"/>
          <w:lang w:eastAsia="zh-CN"/>
        </w:rPr>
        <w:t>法律法规</w:t>
      </w:r>
      <w:r>
        <w:rPr>
          <w:rFonts w:hint="eastAsia" w:ascii="宋体" w:hAnsi="宋体" w:eastAsia="宋体" w:cs="宋体"/>
          <w:color w:val="auto"/>
          <w:spacing w:val="0"/>
          <w:kern w:val="0"/>
          <w:position w:val="0"/>
          <w:sz w:val="21"/>
          <w:szCs w:val="21"/>
          <w:highlight w:val="none"/>
        </w:rPr>
        <w:t>、规章以及招标文件的规定。</w:t>
      </w:r>
    </w:p>
    <w:p w14:paraId="2725853A">
      <w:pPr>
        <w:keepNext w:val="0"/>
        <w:keepLines w:val="0"/>
        <w:pageBreakBefore w:val="0"/>
        <w:widowControl/>
        <w:kinsoku/>
        <w:wordWrap w:val="0"/>
        <w:overflowPunct/>
        <w:topLinePunct w:val="0"/>
        <w:bidi w:val="0"/>
        <w:spacing w:beforeLines="0" w:afterLines="0" w:line="360" w:lineRule="auto"/>
        <w:ind w:right="0" w:rightChars="0" w:firstLine="0" w:firstLineChars="0"/>
        <w:jc w:val="left"/>
        <w:textAlignment w:val="auto"/>
        <w:outlineLvl w:val="9"/>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t>3.5评标结果</w:t>
      </w:r>
    </w:p>
    <w:p w14:paraId="688062C9">
      <w:pPr>
        <w:keepNext w:val="0"/>
        <w:keepLines w:val="0"/>
        <w:pageBreakBefore w:val="0"/>
        <w:widowControl/>
        <w:kinsoku/>
        <w:wordWrap w:val="0"/>
        <w:overflowPunct/>
        <w:topLinePunct w:val="0"/>
        <w:autoSpaceDE/>
        <w:autoSpaceDN/>
        <w:bidi w:val="0"/>
        <w:adjustRightInd w:val="0"/>
        <w:snapToGrid w:val="0"/>
        <w:spacing w:beforeLines="0" w:afterLines="0" w:line="360" w:lineRule="auto"/>
        <w:ind w:right="0" w:rightChars="0" w:firstLine="420" w:firstLineChars="200"/>
        <w:jc w:val="left"/>
        <w:textAlignment w:val="auto"/>
        <w:outlineLvl w:val="9"/>
        <w:rPr>
          <w:rFonts w:hint="eastAsia" w:ascii="宋体" w:hAnsi="宋体" w:eastAsia="宋体" w:cs="宋体"/>
          <w:color w:val="auto"/>
          <w:spacing w:val="0"/>
          <w:kern w:val="0"/>
          <w:position w:val="0"/>
          <w:sz w:val="21"/>
          <w:szCs w:val="21"/>
          <w:highlight w:val="none"/>
        </w:rPr>
      </w:pPr>
      <w:r>
        <w:rPr>
          <w:rFonts w:hint="eastAsia" w:ascii="宋体" w:hAnsi="宋体" w:eastAsia="宋体" w:cs="宋体"/>
          <w:color w:val="auto"/>
          <w:spacing w:val="0"/>
          <w:kern w:val="0"/>
          <w:position w:val="0"/>
          <w:sz w:val="21"/>
          <w:szCs w:val="21"/>
          <w:highlight w:val="none"/>
        </w:rPr>
        <w:t>3.5.1评标完成后，评标委员会应当出具书面评标报告，推荐</w:t>
      </w:r>
      <w:r>
        <w:rPr>
          <w:rFonts w:hint="eastAsia" w:ascii="宋体" w:hAnsi="宋体" w:eastAsia="宋体" w:cs="宋体"/>
          <w:color w:val="auto"/>
          <w:spacing w:val="0"/>
          <w:kern w:val="0"/>
          <w:position w:val="0"/>
          <w:sz w:val="21"/>
          <w:szCs w:val="21"/>
          <w:highlight w:val="none"/>
          <w:lang w:eastAsia="zh-CN"/>
        </w:rPr>
        <w:t>中标候选人</w:t>
      </w:r>
      <w:r>
        <w:rPr>
          <w:rFonts w:hint="eastAsia" w:ascii="宋体" w:hAnsi="宋体" w:eastAsia="宋体" w:cs="宋体"/>
          <w:color w:val="auto"/>
          <w:spacing w:val="0"/>
          <w:kern w:val="0"/>
          <w:position w:val="0"/>
          <w:sz w:val="21"/>
          <w:szCs w:val="21"/>
          <w:highlight w:val="none"/>
        </w:rPr>
        <w:t>。</w:t>
      </w:r>
    </w:p>
    <w:p w14:paraId="5974D155">
      <w:pPr>
        <w:keepNext w:val="0"/>
        <w:keepLines w:val="0"/>
        <w:pageBreakBefore w:val="0"/>
        <w:widowControl w:val="0"/>
        <w:kinsoku/>
        <w:wordWrap w:val="0"/>
        <w:overflowPunct/>
        <w:topLinePunct w:val="0"/>
        <w:autoSpaceDE/>
        <w:autoSpaceDN/>
        <w:bidi w:val="0"/>
        <w:adjustRightInd/>
        <w:snapToGrid/>
        <w:spacing w:beforeLines="0" w:afterLines="0" w:line="360" w:lineRule="auto"/>
        <w:ind w:right="0" w:rightChars="0" w:firstLine="420" w:firstLineChars="200"/>
        <w:jc w:val="left"/>
        <w:textAlignment w:val="auto"/>
        <w:outlineLvl w:val="9"/>
        <w:rPr>
          <w:rFonts w:hint="eastAsia" w:ascii="宋体" w:hAnsi="宋体" w:eastAsia="宋体" w:cs="宋体"/>
          <w:szCs w:val="21"/>
          <w:highlight w:val="none"/>
        </w:rPr>
      </w:pPr>
      <w:r>
        <w:rPr>
          <w:rFonts w:hint="eastAsia" w:ascii="宋体" w:hAnsi="宋体" w:eastAsia="宋体" w:cs="宋体"/>
          <w:color w:val="auto"/>
          <w:spacing w:val="0"/>
          <w:kern w:val="0"/>
          <w:position w:val="0"/>
          <w:sz w:val="21"/>
          <w:szCs w:val="21"/>
          <w:highlight w:val="none"/>
          <w:lang w:val="en-US" w:eastAsia="zh-CN" w:bidi="ar-SA"/>
        </w:rPr>
        <w:t>3.5.2评标委员会完成评标后，应当向招标人提交书面评标报告。</w:t>
      </w:r>
      <w:r>
        <w:rPr>
          <w:rFonts w:hint="eastAsia" w:ascii="宋体" w:hAnsi="宋体" w:eastAsia="宋体" w:cs="宋体"/>
          <w:b/>
          <w:color w:val="auto"/>
          <w:sz w:val="21"/>
          <w:szCs w:val="21"/>
          <w:highlight w:val="none"/>
        </w:rPr>
        <w:br w:type="page"/>
      </w:r>
    </w:p>
    <w:p w14:paraId="754D50BA">
      <w:pPr>
        <w:widowControl/>
        <w:adjustRightInd w:val="0"/>
        <w:snapToGrid w:val="0"/>
        <w:spacing w:before="0" w:beforeLines="0" w:after="0" w:afterLines="0" w:line="360" w:lineRule="auto"/>
        <w:ind w:firstLine="0" w:firstLineChars="0"/>
        <w:jc w:val="center"/>
        <w:outlineLvl w:val="1"/>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定标办法（核查随机法）</w:t>
      </w:r>
    </w:p>
    <w:p w14:paraId="2748C75F">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25" w:name="_Toc4957"/>
      <w:bookmarkStart w:id="326" w:name="_Toc16679"/>
      <w:bookmarkStart w:id="327" w:name="_Toc849"/>
      <w:bookmarkStart w:id="328" w:name="_Toc2303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、定标依据</w:t>
      </w:r>
      <w:bookmarkEnd w:id="325"/>
      <w:bookmarkEnd w:id="326"/>
      <w:bookmarkEnd w:id="327"/>
      <w:bookmarkEnd w:id="328"/>
    </w:p>
    <w:p w14:paraId="5BA72A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bookmarkStart w:id="329" w:name="OLE_LINK41"/>
      <w:r>
        <w:rPr>
          <w:rFonts w:hint="eastAsia" w:ascii="宋体" w:hAnsi="宋体" w:eastAsia="宋体" w:cs="宋体"/>
          <w:color w:val="auto"/>
          <w:sz w:val="21"/>
          <w:szCs w:val="21"/>
          <w:highlight w:val="none"/>
        </w:rPr>
        <w:t>本次定标办法的制定依据下列文件进行：</w:t>
      </w:r>
    </w:p>
    <w:p w14:paraId="22B5ACE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1、《中华人民共和国招标投标法》；</w:t>
      </w:r>
    </w:p>
    <w:p w14:paraId="42FE254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2、《国务院办公厅关于创新完善体制机制推动招标投标市场规范健康发展的意见》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国办发</w:t>
      </w:r>
      <w:r>
        <w:rPr>
          <w:rFonts w:hint="eastAsia" w:ascii="宋体" w:hAnsi="宋体" w:eastAsia="宋体" w:cs="宋体"/>
          <w:color w:val="auto"/>
          <w:sz w:val="21"/>
          <w:szCs w:val="21"/>
          <w:highlight w:val="none"/>
          <w:lang w:eastAsia="zh-CN"/>
        </w:rPr>
        <w:t>〔2024〕21号）；</w:t>
      </w:r>
    </w:p>
    <w:p w14:paraId="60FCEFA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3、《关于持续推进建筑业发展的十二条意见》</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建市</w:t>
      </w:r>
      <w:r>
        <w:rPr>
          <w:rFonts w:hint="eastAsia" w:ascii="宋体" w:hAnsi="宋体" w:eastAsia="宋体" w:cs="宋体"/>
          <w:color w:val="auto"/>
          <w:sz w:val="21"/>
          <w:szCs w:val="21"/>
          <w:highlight w:val="none"/>
          <w:lang w:eastAsia="zh-CN"/>
        </w:rPr>
        <w:t>〔2021〕23号）</w:t>
      </w:r>
      <w:r>
        <w:rPr>
          <w:rFonts w:hint="eastAsia" w:ascii="宋体" w:hAnsi="宋体" w:eastAsia="宋体" w:cs="宋体"/>
          <w:color w:val="auto"/>
          <w:sz w:val="21"/>
          <w:szCs w:val="21"/>
          <w:highlight w:val="none"/>
        </w:rPr>
        <w:t>；</w:t>
      </w:r>
    </w:p>
    <w:p w14:paraId="0448B6CD">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4、驻马店市发展和改革委员会关于贯彻落实《河南省发展和改革委员会关于印发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河南省政府投资工程建设项目招标投标“评定分离”管理办法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试行</w:t>
      </w:r>
      <w:r>
        <w:rPr>
          <w:rFonts w:hint="eastAsia" w:ascii="宋体" w:hAnsi="宋体" w:eastAsia="宋体" w:cs="宋体"/>
          <w:color w:val="auto"/>
          <w:sz w:val="21"/>
          <w:szCs w:val="21"/>
          <w:highlight w:val="none"/>
          <w:lang w:eastAsia="zh-CN"/>
        </w:rPr>
        <w:t>）〉的通知》</w:t>
      </w:r>
      <w:r>
        <w:rPr>
          <w:rFonts w:hint="eastAsia" w:ascii="宋体" w:hAnsi="宋体" w:eastAsia="宋体" w:cs="宋体"/>
          <w:color w:val="auto"/>
          <w:sz w:val="21"/>
          <w:szCs w:val="21"/>
          <w:highlight w:val="none"/>
        </w:rPr>
        <w:t>的通知；</w:t>
      </w:r>
    </w:p>
    <w:p w14:paraId="58674D4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5、本项目招标文件；</w:t>
      </w:r>
    </w:p>
    <w:p w14:paraId="3D4B3F1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6、评标委员会推荐的中标候选人名单；</w:t>
      </w:r>
    </w:p>
    <w:p w14:paraId="7CBD9048">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7、招标投标全过程资料；</w:t>
      </w:r>
    </w:p>
    <w:p w14:paraId="7BE69D0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8、其他有关法律法规和相关制度。</w:t>
      </w:r>
    </w:p>
    <w:bookmarkEnd w:id="329"/>
    <w:p w14:paraId="445426C2">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30" w:name="_Toc14808"/>
      <w:bookmarkStart w:id="331" w:name="_Toc28603"/>
      <w:bookmarkStart w:id="332" w:name="_Toc22184"/>
      <w:bookmarkStart w:id="333" w:name="_Toc25258"/>
      <w:bookmarkStart w:id="334" w:name="_Toc9674"/>
      <w:bookmarkStart w:id="335" w:name="_Toc29090"/>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、定标原则</w:t>
      </w:r>
      <w:bookmarkEnd w:id="330"/>
      <w:bookmarkEnd w:id="331"/>
      <w:bookmarkEnd w:id="332"/>
      <w:bookmarkEnd w:id="333"/>
      <w:bookmarkEnd w:id="334"/>
      <w:bookmarkEnd w:id="335"/>
    </w:p>
    <w:p w14:paraId="0924E52F">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遵循公开透明、择优竞价、科学规范、廉洁高效的原则，通过</w:t>
      </w:r>
      <w:r>
        <w:rPr>
          <w:rFonts w:hint="eastAsia" w:ascii="宋体" w:hAnsi="宋体" w:eastAsia="宋体" w:cs="宋体"/>
          <w:b/>
          <w:bCs/>
          <w:color w:val="auto"/>
          <w:sz w:val="21"/>
          <w:szCs w:val="21"/>
          <w:highlight w:val="none"/>
        </w:rPr>
        <w:t>核查随机法</w:t>
      </w:r>
      <w:r>
        <w:rPr>
          <w:rFonts w:hint="eastAsia" w:ascii="宋体" w:hAnsi="宋体" w:eastAsia="宋体" w:cs="宋体"/>
          <w:color w:val="auto"/>
          <w:sz w:val="21"/>
          <w:szCs w:val="21"/>
          <w:highlight w:val="none"/>
        </w:rPr>
        <w:t>确定中标人。</w:t>
      </w:r>
    </w:p>
    <w:p w14:paraId="2A7273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rPr>
        <w:t>招标人应当在收到评标报告后10日内完成定标工作，定标过程包括核查、定标会议两个阶段。定标会议应当在公共资源交易平台按流程进行，不能按时完成定标工作的，应当通过公共资源交易平台发布延期原因和最终定标时间，最终定标时间不得超过投标有效期。公共资源交易平台应当对定标会议进行音视频记录，并存档备查。</w:t>
      </w:r>
      <w:r>
        <w:rPr>
          <w:rFonts w:hint="eastAsia" w:ascii="宋体" w:hAnsi="宋体" w:eastAsia="宋体" w:cs="宋体"/>
          <w:color w:val="auto"/>
          <w:sz w:val="21"/>
          <w:szCs w:val="21"/>
          <w:highlight w:val="none"/>
        </w:rPr>
        <w:t>定标地点为驻马店市公共资源交易中心。</w:t>
      </w:r>
      <w:bookmarkStart w:id="336" w:name="_Toc31048"/>
    </w:p>
    <w:p w14:paraId="7858019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37" w:name="_Toc25602"/>
      <w:bookmarkStart w:id="338" w:name="_Toc7704"/>
      <w:bookmarkStart w:id="339" w:name="_Toc16772"/>
      <w:bookmarkStart w:id="340" w:name="_Toc16613"/>
      <w:bookmarkStart w:id="341" w:name="_Toc24063"/>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、定标方法</w:t>
      </w:r>
      <w:bookmarkEnd w:id="336"/>
      <w:bookmarkEnd w:id="337"/>
      <w:bookmarkEnd w:id="338"/>
      <w:bookmarkEnd w:id="339"/>
      <w:bookmarkEnd w:id="340"/>
      <w:bookmarkEnd w:id="341"/>
    </w:p>
    <w:p w14:paraId="76E08E22">
      <w:pPr>
        <w:widowControl w:val="0"/>
        <w:wordWrap w:val="0"/>
        <w:autoSpaceDE w:val="0"/>
        <w:autoSpaceDN w:val="0"/>
        <w:adjustRightInd w:val="0"/>
        <w:spacing w:beforeLines="0" w:afterLines="0" w:line="360" w:lineRule="auto"/>
        <w:ind w:firstLine="420" w:firstLineChars="200"/>
        <w:jc w:val="left"/>
        <w:rPr>
          <w:rFonts w:hint="eastAsia" w:ascii="宋体" w:hAnsi="宋体" w:eastAsia="宋体" w:cs="宋体"/>
          <w:b w:val="0"/>
          <w:bCs w:val="0"/>
          <w:color w:val="auto"/>
          <w:sz w:val="21"/>
          <w:szCs w:val="21"/>
          <w:highlight w:val="none"/>
        </w:rPr>
      </w:pPr>
      <w:bookmarkStart w:id="342" w:name="OLE_LINK43"/>
      <w:r>
        <w:rPr>
          <w:rFonts w:hint="eastAsia" w:ascii="宋体" w:hAnsi="宋体" w:eastAsia="宋体" w:cs="宋体"/>
          <w:b w:val="0"/>
          <w:bCs w:val="0"/>
          <w:color w:val="auto"/>
          <w:sz w:val="21"/>
          <w:szCs w:val="21"/>
          <w:highlight w:val="none"/>
        </w:rPr>
        <w:t>本项目定标方法采用核查随机法进行定标。</w:t>
      </w:r>
    </w:p>
    <w:p w14:paraId="3744633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定标委员会在通过核查的中标候选人中按照随机选取方式确定中标人。</w:t>
      </w:r>
    </w:p>
    <w:bookmarkEnd w:id="342"/>
    <w:p w14:paraId="092DCC8D">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43" w:name="_Toc12956"/>
      <w:bookmarkStart w:id="344" w:name="_Toc25938"/>
      <w:bookmarkStart w:id="345" w:name="_Toc31431"/>
      <w:bookmarkStart w:id="346" w:name="_Toc23309"/>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、定标委员会的组建</w:t>
      </w:r>
      <w:bookmarkEnd w:id="343"/>
      <w:bookmarkEnd w:id="344"/>
      <w:bookmarkEnd w:id="345"/>
      <w:bookmarkEnd w:id="346"/>
    </w:p>
    <w:p w14:paraId="1A745BD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由薄山水库运行中心组建，成员5人，其中中心4人，外邀市直水利系统专家1人。定标委员会组长由单位的法定代表人、主要负责人或分管负责人担任，其他成员由单位的领导班子成员、业务熟悉的管理人员、具有工程建设类中级及以上技术职称或注册执业资格的人员中产生。</w:t>
      </w:r>
    </w:p>
    <w:p w14:paraId="6B914C2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定标委员会成员客观、公正、独立地履行职责，遵守职业道德，对所提出的评审意见署名并承担个人责任，不得委托他人代替定标。</w:t>
      </w:r>
    </w:p>
    <w:p w14:paraId="43648563">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有下列情况之一的，不得担任定标委员会成员：</w:t>
      </w:r>
    </w:p>
    <w:p w14:paraId="7CF8BFA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1.与中标候选人或中标候选人主要负责人有近亲属关系或有经济利益关系的，可能影响定标公正的；</w:t>
      </w:r>
    </w:p>
    <w:p w14:paraId="06679F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2.曾因在招标投标有关活动中从事违法行为而受过行政处罚或刑事处罚的；</w:t>
      </w:r>
    </w:p>
    <w:p w14:paraId="5A6C6DB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3.中标候选人的在职人员或招标项目代理机构的在职人员。</w:t>
      </w:r>
    </w:p>
    <w:p w14:paraId="6D3D7667">
      <w:pPr>
        <w:keepNext w:val="0"/>
        <w:keepLines w:val="0"/>
        <w:pageBreakBefore w:val="0"/>
        <w:widowControl w:val="0"/>
        <w:kinsoku/>
        <w:wordWrap w:val="0"/>
        <w:overflowPunct/>
        <w:topLinePunct w:val="0"/>
        <w:bidi w:val="0"/>
        <w:snapToGrid/>
        <w:spacing w:beforeLines="0" w:afterLines="0" w:line="360" w:lineRule="auto"/>
        <w:jc w:val="left"/>
        <w:outlineLvl w:val="2"/>
        <w:rPr>
          <w:rFonts w:hint="eastAsia" w:ascii="宋体" w:hAnsi="宋体" w:eastAsia="宋体" w:cs="宋体"/>
          <w:b/>
          <w:bCs/>
          <w:color w:val="auto"/>
          <w:sz w:val="21"/>
          <w:szCs w:val="21"/>
          <w:highlight w:val="none"/>
        </w:rPr>
      </w:pPr>
      <w:bookmarkStart w:id="347" w:name="_Toc25727"/>
      <w:bookmarkStart w:id="348" w:name="_Toc2644"/>
      <w:bookmarkStart w:id="349" w:name="_Toc26714"/>
      <w:bookmarkStart w:id="350" w:name="_Toc27202"/>
      <w:bookmarkStart w:id="351" w:name="_Toc9111"/>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、定标核查</w:t>
      </w:r>
      <w:bookmarkEnd w:id="347"/>
      <w:bookmarkEnd w:id="348"/>
      <w:bookmarkEnd w:id="349"/>
      <w:bookmarkEnd w:id="350"/>
      <w:bookmarkEnd w:id="351"/>
    </w:p>
    <w:p w14:paraId="6514F60B">
      <w:pPr>
        <w:keepNext w:val="0"/>
        <w:keepLines w:val="0"/>
        <w:pageBreakBefore w:val="0"/>
        <w:widowControl w:val="0"/>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hint="eastAsia" w:ascii="宋体" w:hAnsi="宋体" w:eastAsia="宋体" w:cs="宋体"/>
          <w:color w:val="auto"/>
          <w:szCs w:val="21"/>
          <w:highlight w:val="none"/>
        </w:rPr>
        <w:t>定标委员会将对中标候选人进行定标核查，并形成核查报告。核查内容包括：</w:t>
      </w:r>
    </w:p>
    <w:p w14:paraId="0EB441F4">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Cs w:val="21"/>
          <w:highlight w:val="none"/>
        </w:rPr>
        <w:t>（1）企业信用信息：①投标人市场主体被列入“中国执行信息公开网--全国法院失信被执行人名单信息公布与查询平台”失信被执行人的、被列入“中国政府采购网--政府采购严重违法失信行为记录名单”的、被列入“国家税务总局--重大税收违法失信案件信息公布栏”重大税收违法失信主体的，禁止其参与本项目投标活动（提供自招标公告发布日之后网页查询截图，查询截图须显示查询时间）。②投标人市场主体被列入“信用中国-严重失信主体名单查询”、“信用河南-失信惩戒对象名单”的，均依法限制或禁止其参与本项目投标活动（提供自招标公告发布日之后网页查询截图，查询截图须显示查询时间）。③投标人及其项目管理机构参建人员的信用信息应在全国水利建设市场监管平台公开，如授权委托代理人，委托代理人应是全国水利建设市场监管平台公开的人员；投标人提供的相关投标资料与全国水利建设市场监管平台公开的相应信息应保持一致。④单位负责人为同一人或者存在控股、管理关系的不同单位，不得同时参加本项目投标（提供“国家企业信用信息公示系统”中完整的报告）。</w:t>
      </w:r>
    </w:p>
    <w:p w14:paraId="6B791ADA">
      <w:pPr>
        <w:keepNext w:val="0"/>
        <w:keepLines w:val="0"/>
        <w:pageBreakBefore w:val="0"/>
        <w:widowControl w:val="0"/>
        <w:numPr>
          <w:ilvl w:val="0"/>
          <w:numId w:val="0"/>
        </w:numPr>
        <w:kinsoku/>
        <w:overflowPunct/>
        <w:topLinePunct w:val="0"/>
        <w:bidi w:val="0"/>
        <w:snapToGrid/>
        <w:spacing w:beforeLines="0" w:afterLines="0" w:line="360" w:lineRule="auto"/>
        <w:ind w:left="0" w:leftChars="0" w:right="0" w:rightChars="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（2）营业执照、资质证书、安全生产许可证；</w:t>
      </w:r>
    </w:p>
    <w:p w14:paraId="55C9EBF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项目负责人证书；</w:t>
      </w:r>
    </w:p>
    <w:p w14:paraId="3442917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（4）相关人员社保证明；</w:t>
      </w:r>
    </w:p>
    <w:p w14:paraId="1665698A">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（5）财务状况；</w:t>
      </w:r>
    </w:p>
    <w:p w14:paraId="65AC489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（6）业绩；</w:t>
      </w:r>
    </w:p>
    <w:p w14:paraId="0A9E6E2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（7）招标人认为需要核查及核评的其他内容。</w:t>
      </w:r>
    </w:p>
    <w:p w14:paraId="0E901F14">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本项目不采用考察或质询方式进行核查。</w:t>
      </w:r>
    </w:p>
    <w:p w14:paraId="5B9038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0" w:leftChars="0" w:right="0" w:rightChars="0" w:firstLine="420" w:firstLineChars="200"/>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核查内容不得设置不合理限制和隐性壁垒。招标文件中没有规定的核查标准和方法不得作为定标核查的依据，不得在定标过程中新增定标条件和要求。</w:t>
      </w:r>
    </w:p>
    <w:p w14:paraId="140B8777">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定标委员会经核查发现中标候选人确有弄虚作假、串通投标等情形的，应当否决相应中标候选人的中标资格，并及时向行政监督部门报告。</w:t>
      </w:r>
      <w:bookmarkStart w:id="352" w:name="_Toc23939"/>
      <w:bookmarkStart w:id="353" w:name="_Toc5648"/>
      <w:bookmarkStart w:id="354" w:name="_Toc18790"/>
      <w:bookmarkStart w:id="355" w:name="_Toc18959"/>
      <w:bookmarkStart w:id="356" w:name="_Toc18001"/>
      <w:bookmarkStart w:id="357" w:name="_Toc11203"/>
    </w:p>
    <w:p w14:paraId="3503A966">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rPr>
        <w:t>、定标</w:t>
      </w:r>
      <w:bookmarkEnd w:id="352"/>
      <w:bookmarkEnd w:id="353"/>
      <w:bookmarkEnd w:id="354"/>
      <w:bookmarkEnd w:id="355"/>
      <w:bookmarkEnd w:id="356"/>
      <w:bookmarkEnd w:id="357"/>
      <w:r>
        <w:rPr>
          <w:rFonts w:hint="eastAsia" w:ascii="宋体" w:hAnsi="宋体" w:eastAsia="宋体" w:cs="宋体"/>
          <w:b/>
          <w:bCs/>
          <w:color w:val="auto"/>
          <w:sz w:val="21"/>
          <w:szCs w:val="21"/>
          <w:highlight w:val="none"/>
          <w:lang w:val="en-US" w:eastAsia="zh-CN"/>
        </w:rPr>
        <w:t>会议</w:t>
      </w:r>
    </w:p>
    <w:p w14:paraId="36623005">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定标委员会将通过</w:t>
      </w:r>
      <w:r>
        <w:rPr>
          <w:rFonts w:hint="eastAsia" w:ascii="宋体" w:hAnsi="宋体" w:eastAsia="宋体" w:cs="宋体"/>
          <w:b/>
          <w:bCs/>
          <w:color w:val="auto"/>
          <w:kern w:val="0"/>
          <w:sz w:val="21"/>
          <w:szCs w:val="21"/>
          <w:highlight w:val="none"/>
          <w:lang w:val="en-US" w:eastAsia="zh-CN" w:bidi="ar-SA"/>
        </w:rPr>
        <w:t>核查随机法</w:t>
      </w:r>
      <w:r>
        <w:rPr>
          <w:rFonts w:hint="eastAsia" w:ascii="宋体" w:hAnsi="宋体" w:eastAsia="宋体" w:cs="宋体"/>
          <w:color w:val="auto"/>
          <w:kern w:val="0"/>
          <w:sz w:val="21"/>
          <w:szCs w:val="21"/>
          <w:highlight w:val="none"/>
          <w:lang w:val="en-US" w:eastAsia="zh-CN" w:bidi="ar-SA"/>
        </w:rPr>
        <w:t>进行定标。</w:t>
      </w:r>
    </w:p>
    <w:p w14:paraId="4A403562">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会议地点为市公共资源交易平台，会议时间及具体地点由招标代理机构提前通知。鼓励中标候选人的法定代表人或其授权委托代理人现场参加定标会议，并可让其随机选取代表各自号码的代码球。未派人员参加定标会议的中标候选人，默认由定标委员会现场随机选取代表其号码的代码球。</w:t>
      </w:r>
    </w:p>
    <w:p w14:paraId="2E3C76E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会议按以下程序进行:</w:t>
      </w:r>
    </w:p>
    <w:p w14:paraId="3ED9566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1、在定标现场放置标注为“1”、“2”的2组自然数代码球。</w:t>
      </w:r>
    </w:p>
    <w:p w14:paraId="5FE07C8F">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2、第一轮随机确定选用的代码球组号：在抽取箱内放入2个标注为“1”、“2”的代码球，从中随机选取1个代码球，选取代码球数字即为本次定标选用的代码球组号。</w:t>
      </w:r>
    </w:p>
    <w:p w14:paraId="54B9B48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3、第二轮随机确定抽取顺序：在抽取箱放入标有从1到N自然数的乒乓球（N为经评审合格的中标候选人数），由中标候选人抽取代码球，代码球上的数字对应为相应中标候选人。</w:t>
      </w:r>
    </w:p>
    <w:p w14:paraId="534DCC86">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4、第三轮随机选取中标人：在抽取箱内放入N个代码球，定标委员会组长从中随机抽取1个代码球，抽中代码球对应的中标候选人即为中标人。</w:t>
      </w:r>
    </w:p>
    <w:p w14:paraId="24A3FA96">
      <w:pPr>
        <w:keepNext w:val="0"/>
        <w:keepLines w:val="0"/>
        <w:pageBreakBefore w:val="0"/>
        <w:widowControl w:val="0"/>
        <w:kinsoku/>
        <w:wordWrap w:val="0"/>
        <w:overflowPunct/>
        <w:topLinePunct w:val="0"/>
        <w:bidi w:val="0"/>
        <w:snapToGrid/>
        <w:spacing w:beforeLines="0" w:afterLines="0" w:line="360" w:lineRule="auto"/>
        <w:ind w:firstLine="420" w:firstLineChars="200"/>
        <w:jc w:val="both"/>
        <w:textAlignment w:val="auto"/>
        <w:outlineLvl w:val="2"/>
        <w:rPr>
          <w:rFonts w:hint="eastAsia" w:ascii="宋体" w:hAnsi="宋体" w:eastAsia="宋体" w:cs="宋体"/>
          <w:b/>
          <w:bCs/>
          <w:color w:val="auto"/>
          <w:sz w:val="21"/>
          <w:szCs w:val="21"/>
          <w:highlight w:val="none"/>
          <w:lang w:val="en-US" w:eastAsia="zh-CN"/>
        </w:rPr>
      </w:pPr>
      <w:r>
        <w:rPr>
          <w:rFonts w:hint="eastAsia" w:ascii="Times New Roman" w:hAnsi="宋体" w:eastAsia="宋体" w:cs="宋体"/>
          <w:color w:val="auto"/>
          <w:sz w:val="21"/>
          <w:szCs w:val="21"/>
          <w:highlight w:val="none"/>
        </w:rPr>
        <w:t>5、招标人授权的定标委员会代表将中标候选人对应的代码球和抽取结果进行记录，并由招标人授权的定标委员会和监督部门、公证部门（如邀请）进行签字确认。</w:t>
      </w:r>
      <w:bookmarkStart w:id="358" w:name="_Toc16424"/>
      <w:bookmarkStart w:id="359" w:name="_Toc23431"/>
      <w:bookmarkStart w:id="360" w:name="_Toc23497"/>
      <w:bookmarkStart w:id="361" w:name="_Toc11373"/>
      <w:bookmarkStart w:id="362" w:name="_Toc14587"/>
      <w:bookmarkStart w:id="363" w:name="_Toc21472"/>
      <w:bookmarkStart w:id="364" w:name="_Toc23427"/>
      <w:bookmarkStart w:id="365" w:name="_Toc9183"/>
      <w:bookmarkStart w:id="366" w:name="_Toc27971"/>
    </w:p>
    <w:p w14:paraId="3687E3E9">
      <w:pPr>
        <w:keepNext w:val="0"/>
        <w:keepLines w:val="0"/>
        <w:pageBreakBefore w:val="0"/>
        <w:widowControl w:val="0"/>
        <w:kinsoku/>
        <w:wordWrap w:val="0"/>
        <w:overflowPunct/>
        <w:topLinePunct w:val="0"/>
        <w:bidi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、定标报告</w:t>
      </w:r>
      <w:bookmarkEnd w:id="358"/>
      <w:bookmarkEnd w:id="359"/>
      <w:bookmarkEnd w:id="360"/>
      <w:bookmarkEnd w:id="361"/>
      <w:bookmarkEnd w:id="362"/>
    </w:p>
    <w:p w14:paraId="53A5CB41">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定标委员会将按照招标文件中明确的定标原则、方法和程序，在中标候选人中确定中标人，并形成书面定标报告。</w:t>
      </w:r>
    </w:p>
    <w:p w14:paraId="209BE09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left="120" w:firstLine="420" w:firstLineChars="200"/>
        <w:jc w:val="both"/>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定标报告应当包括定标时间、定标地点、定标委员会成员名单、定标原则、定标方法、择优因素、定标程序及定标结果等内容。</w:t>
      </w:r>
    </w:p>
    <w:p w14:paraId="46C81D3B">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招标人在定标工作完成后3日内发布中标结果公示，公示期不少于3日。中标结果公示应当载明定标时间、定标地点、定标方法、中标人名称、中标价格、质量、</w:t>
      </w:r>
      <w:r>
        <w:rPr>
          <w:rFonts w:hint="eastAsia" w:ascii="宋体" w:hAnsi="宋体" w:eastAsia="宋体" w:cs="宋体"/>
          <w:color w:val="auto"/>
          <w:sz w:val="21"/>
          <w:szCs w:val="21"/>
          <w:highlight w:val="none"/>
          <w:lang w:val="en-US" w:eastAsia="zh-CN"/>
        </w:rPr>
        <w:t>供货期（服务期）</w:t>
      </w:r>
      <w:r>
        <w:rPr>
          <w:rFonts w:hint="eastAsia" w:ascii="宋体" w:hAnsi="宋体" w:eastAsia="宋体" w:cs="宋体"/>
          <w:color w:val="auto"/>
          <w:sz w:val="21"/>
          <w:szCs w:val="21"/>
          <w:highlight w:val="none"/>
        </w:rPr>
        <w:t>、资格条件、项目</w:t>
      </w:r>
      <w:r>
        <w:rPr>
          <w:rFonts w:hint="eastAsia" w:ascii="宋体" w:hAnsi="宋体" w:eastAsia="宋体" w:cs="宋体"/>
          <w:color w:val="auto"/>
          <w:sz w:val="21"/>
          <w:szCs w:val="21"/>
          <w:highlight w:val="none"/>
          <w:lang w:val="en-US" w:eastAsia="zh-CN"/>
        </w:rPr>
        <w:t>负责人</w:t>
      </w:r>
      <w:r>
        <w:rPr>
          <w:rFonts w:hint="eastAsia" w:ascii="宋体" w:hAnsi="宋体" w:eastAsia="宋体" w:cs="宋体"/>
          <w:color w:val="auto"/>
          <w:sz w:val="21"/>
          <w:szCs w:val="21"/>
          <w:highlight w:val="none"/>
        </w:rPr>
        <w:t>信息，中标候选人的核查、考察、比较优势，核查未通过的中标候选人名单和原因，以及异议和投诉渠道等内容。对中标结果公示有异议的，应当在公示期内向招标人提出。</w:t>
      </w:r>
      <w:bookmarkStart w:id="367" w:name="_Toc15980"/>
      <w:bookmarkStart w:id="368" w:name="_Toc9685"/>
      <w:bookmarkStart w:id="369" w:name="_Toc4409"/>
    </w:p>
    <w:p w14:paraId="4B21D7B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jc w:val="both"/>
        <w:textAlignment w:val="auto"/>
        <w:outlineLvl w:val="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、定标后结果处置</w:t>
      </w:r>
      <w:bookmarkEnd w:id="363"/>
      <w:bookmarkEnd w:id="364"/>
      <w:bookmarkEnd w:id="365"/>
      <w:bookmarkEnd w:id="366"/>
      <w:bookmarkEnd w:id="367"/>
      <w:bookmarkEnd w:id="368"/>
      <w:bookmarkEnd w:id="369"/>
    </w:p>
    <w:p w14:paraId="6A1AD2A7">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（1）确定的中标人经公示后无异议，可以发放《中标通知书》。</w:t>
      </w:r>
    </w:p>
    <w:p w14:paraId="5CC6400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054C3DA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6D4C6CBC">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（4）定标后有下列情形之一的，应当重新定标:</w:t>
      </w:r>
    </w:p>
    <w:p w14:paraId="755E2369">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(一)定标委员会未按定标办法公正履职的</w:t>
      </w:r>
      <w:r>
        <w:rPr>
          <w:rFonts w:hint="eastAsia" w:ascii="宋体" w:hAnsi="宋体" w:eastAsia="宋体" w:cs="宋体"/>
          <w:color w:val="auto"/>
          <w:sz w:val="21"/>
          <w:szCs w:val="21"/>
          <w:highlight w:val="none"/>
          <w:lang w:eastAsia="zh-CN"/>
        </w:rPr>
        <w:t>；</w:t>
      </w:r>
    </w:p>
    <w:p w14:paraId="72156FFE">
      <w:pPr>
        <w:keepNext w:val="0"/>
        <w:keepLines w:val="0"/>
        <w:pageBreakBefore w:val="0"/>
        <w:widowControl w:val="0"/>
        <w:kinsoku/>
        <w:wordWrap w:val="0"/>
        <w:overflowPunct/>
        <w:topLinePunct w:val="0"/>
        <w:autoSpaceDE w:val="0"/>
        <w:autoSpaceDN w:val="0"/>
        <w:bidi w:val="0"/>
        <w:adjustRightInd w:val="0"/>
        <w:snapToGrid/>
        <w:spacing w:beforeLines="0" w:afterLines="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(二)定标委员会成员与中标候选人有利害关系且未回避的</w:t>
      </w:r>
      <w:r>
        <w:rPr>
          <w:rFonts w:hint="eastAsia" w:ascii="宋体" w:hAnsi="宋体" w:eastAsia="宋体" w:cs="宋体"/>
          <w:color w:val="auto"/>
          <w:sz w:val="21"/>
          <w:szCs w:val="21"/>
          <w:highlight w:val="none"/>
          <w:lang w:eastAsia="zh-CN"/>
        </w:rPr>
        <w:t>；</w:t>
      </w:r>
    </w:p>
    <w:p w14:paraId="19BDF860">
      <w:pPr>
        <w:widowControl/>
        <w:numPr>
          <w:ilvl w:val="0"/>
          <w:numId w:val="0"/>
        </w:numPr>
        <w:spacing w:beforeLines="0" w:afterLines="0" w:line="360" w:lineRule="auto"/>
        <w:ind w:firstLine="420" w:firstLineChars="200"/>
        <w:jc w:val="both"/>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(三)招标文件规定的其他情形。</w:t>
      </w:r>
      <w:bookmarkStart w:id="370" w:name="_Toc19849"/>
      <w:bookmarkStart w:id="371" w:name="_Toc760"/>
    </w:p>
    <w:p w14:paraId="2F58A609">
      <w:pPr>
        <w:widowControl/>
        <w:jc w:val="left"/>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br w:type="page"/>
      </w:r>
    </w:p>
    <w:p w14:paraId="7527F36A">
      <w:pPr>
        <w:widowControl/>
        <w:numPr>
          <w:ilvl w:val="0"/>
          <w:numId w:val="0"/>
        </w:numPr>
        <w:spacing w:beforeLines="0" w:afterLines="0" w:line="360" w:lineRule="auto"/>
        <w:jc w:val="center"/>
        <w:outlineLvl w:val="0"/>
        <w:rPr>
          <w:rFonts w:hint="eastAsia" w:ascii="宋体" w:hAnsi="宋体" w:eastAsia="宋体" w:cs="宋体"/>
          <w:sz w:val="44"/>
          <w:szCs w:val="44"/>
          <w:highlight w:val="none"/>
        </w:rPr>
      </w:pPr>
      <w:r>
        <w:rPr>
          <w:rFonts w:hint="eastAsia" w:ascii="宋体" w:hAnsi="宋体" w:eastAsia="宋体" w:cs="宋体"/>
          <w:b/>
          <w:bCs/>
          <w:sz w:val="32"/>
          <w:szCs w:val="32"/>
          <w:highlight w:val="none"/>
          <w:lang w:val="en-US" w:eastAsia="zh-CN"/>
        </w:rPr>
        <w:t>第四章 合同条款及格式</w:t>
      </w:r>
      <w:bookmarkEnd w:id="370"/>
      <w:bookmarkEnd w:id="371"/>
    </w:p>
    <w:bookmarkEnd w:id="314"/>
    <w:bookmarkEnd w:id="315"/>
    <w:bookmarkEnd w:id="316"/>
    <w:bookmarkEnd w:id="317"/>
    <w:bookmarkEnd w:id="318"/>
    <w:bookmarkEnd w:id="319"/>
    <w:bookmarkEnd w:id="320"/>
    <w:bookmarkEnd w:id="321"/>
    <w:bookmarkEnd w:id="322"/>
    <w:bookmarkEnd w:id="323"/>
    <w:bookmarkEnd w:id="324"/>
    <w:p w14:paraId="1D6D4685">
      <w:pPr>
        <w:widowControl/>
        <w:adjustRightInd w:val="0"/>
        <w:snapToGrid w:val="0"/>
        <w:spacing w:before="0" w:beforeLines="0" w:after="0" w:line="360" w:lineRule="auto"/>
        <w:ind w:firstLine="482" w:firstLineChars="200"/>
        <w:jc w:val="center"/>
        <w:outlineLvl w:val="9"/>
        <w:rPr>
          <w:rFonts w:hint="eastAsia" w:ascii="宋体" w:hAnsi="宋体" w:eastAsia="宋体" w:cs="宋体"/>
          <w:b/>
          <w:sz w:val="24"/>
          <w:szCs w:val="24"/>
          <w:highlight w:val="none"/>
        </w:rPr>
      </w:pPr>
      <w:bookmarkStart w:id="372" w:name="_Toc91344940"/>
      <w:bookmarkStart w:id="373" w:name="_Toc20372"/>
      <w:bookmarkStart w:id="374" w:name="_Toc27565"/>
      <w:bookmarkStart w:id="375" w:name="_Toc62034470"/>
      <w:bookmarkStart w:id="376" w:name="_Toc6207"/>
      <w:r>
        <w:rPr>
          <w:rFonts w:hint="eastAsia" w:ascii="宋体" w:hAnsi="宋体" w:eastAsia="宋体" w:cs="宋体"/>
          <w:b/>
          <w:sz w:val="24"/>
          <w:szCs w:val="24"/>
          <w:highlight w:val="none"/>
        </w:rPr>
        <w:t>第一节</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通用合同条款</w:t>
      </w:r>
    </w:p>
    <w:bookmarkEnd w:id="372"/>
    <w:bookmarkEnd w:id="373"/>
    <w:bookmarkEnd w:id="374"/>
    <w:bookmarkEnd w:id="375"/>
    <w:bookmarkEnd w:id="376"/>
    <w:p w14:paraId="29D5984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377" w:name="_Toc19376"/>
      <w:bookmarkStart w:id="378" w:name="_Toc19115"/>
      <w:bookmarkStart w:id="379" w:name="_Toc534572285"/>
      <w:bookmarkStart w:id="380" w:name="_Toc27479"/>
      <w:bookmarkStart w:id="381" w:name="_Toc62034471"/>
      <w:bookmarkStart w:id="382" w:name="_Toc4130"/>
      <w:bookmarkStart w:id="383" w:name="_Toc91344941"/>
      <w:bookmarkStart w:id="384" w:name="_Toc54550753"/>
      <w:r>
        <w:rPr>
          <w:rFonts w:hint="eastAsia" w:ascii="宋体" w:hAnsi="宋体" w:eastAsia="宋体" w:cs="宋体"/>
          <w:b/>
          <w:bCs/>
          <w:kern w:val="0"/>
          <w:sz w:val="21"/>
          <w:szCs w:val="21"/>
          <w:highlight w:val="none"/>
          <w:lang w:val="en-US" w:eastAsia="zh-CN" w:bidi="ar-SA"/>
        </w:rPr>
        <w:t>1.一般约定</w:t>
      </w:r>
      <w:bookmarkEnd w:id="377"/>
      <w:bookmarkEnd w:id="378"/>
      <w:bookmarkEnd w:id="379"/>
      <w:bookmarkEnd w:id="380"/>
      <w:bookmarkEnd w:id="381"/>
      <w:bookmarkEnd w:id="382"/>
      <w:bookmarkEnd w:id="383"/>
      <w:bookmarkEnd w:id="384"/>
    </w:p>
    <w:p w14:paraId="2F29954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85" w:name="_bookmark106"/>
      <w:bookmarkEnd w:id="385"/>
      <w:bookmarkStart w:id="386" w:name="_Toc21344"/>
      <w:bookmarkStart w:id="387" w:name="_Toc12116"/>
      <w:bookmarkStart w:id="388" w:name="_Toc9071"/>
      <w:bookmarkStart w:id="389" w:name="_Toc27377"/>
      <w:r>
        <w:rPr>
          <w:rFonts w:hint="eastAsia" w:ascii="宋体" w:hAnsi="宋体" w:eastAsia="宋体" w:cs="宋体"/>
          <w:kern w:val="0"/>
          <w:sz w:val="21"/>
          <w:szCs w:val="21"/>
          <w:highlight w:val="none"/>
          <w:lang w:val="en-US" w:eastAsia="zh-CN" w:bidi="ar-SA"/>
        </w:rPr>
        <w:t>1.1  词语定义</w:t>
      </w:r>
      <w:bookmarkEnd w:id="386"/>
      <w:bookmarkEnd w:id="387"/>
      <w:bookmarkEnd w:id="388"/>
      <w:bookmarkEnd w:id="389"/>
    </w:p>
    <w:p w14:paraId="694D0E0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除专用合同条款另有约定外，合同中的下列词语应具有本款所赋予的含义。</w:t>
      </w:r>
    </w:p>
    <w:p w14:paraId="7C3D6453">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  合同</w:t>
      </w:r>
    </w:p>
    <w:p w14:paraId="1331D0F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合同文件（或称合同）：指合同协议书、中标通知书、投标函、商务和技术偏差表、专用合同条款、通用合同条款、供货要求、分项报价表、中标设备技术性能指标的详细描述、 技术服务和质保期服务计划，以及其他构成合同组成部分的文件。</w:t>
      </w:r>
    </w:p>
    <w:p w14:paraId="17B22F5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1.1.1.2 合同协议书：指买方和卖方共同签署的合同协议书。</w:t>
      </w:r>
    </w:p>
    <w:p w14:paraId="2D712B1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 中标通知书：指买方通知卖方中标的函件。</w:t>
      </w:r>
    </w:p>
    <w:p w14:paraId="0BAD765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1.1.1.4 投标函：指由卖方填写并签署的，名为“投标函”的函件。</w:t>
      </w:r>
    </w:p>
    <w:p w14:paraId="300D9E8E">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1.1.1.5 商务和技术偏差表：指卖方投标文件中的商务和技术偏差表。</w:t>
      </w:r>
    </w:p>
    <w:p w14:paraId="109D781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1.1.1.6 供货要求：指合同文件中名为“供货要求”的文件。</w:t>
      </w:r>
    </w:p>
    <w:p w14:paraId="6EDDD68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1.1.1.7 中标设备技术性能指标的详细描述：指卖方投标文件中的投标设备技术性能指标的详细描述。</w:t>
      </w:r>
    </w:p>
    <w:p w14:paraId="3F1D384F">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1.1.1.8 技术服务和质保期服务计划：指卖方投标文件中的技术服务和质保期服务计划。</w:t>
      </w:r>
    </w:p>
    <w:p w14:paraId="7A541DC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1.1.1.9 分项报价表：指卖方投标文件中的分项报价表。</w:t>
      </w:r>
    </w:p>
    <w:p w14:paraId="1ADE3E3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1.1.1.10 其他合同文件：指经合同双方当事人确认构成合同文件的其他文件。</w:t>
      </w:r>
    </w:p>
    <w:p w14:paraId="262BE9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1.1.2  合同当事人</w:t>
      </w:r>
    </w:p>
    <w:p w14:paraId="42F0C50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1.1.2.1 合同当事人：指买方和（或）卖方。</w:t>
      </w:r>
    </w:p>
    <w:p w14:paraId="47980DE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1.1.2.2 买方：指与卖方签订合同协议书，购买合同设备和技术服务和质保期服务的当事人，及其合法继承人。</w:t>
      </w:r>
    </w:p>
    <w:p w14:paraId="40374FB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1.1.2.3 卖方：指与买方签订合同协议书，提供合同设备和技术服务和质保期服务的当事人，及其合法继承人。</w:t>
      </w:r>
    </w:p>
    <w:p w14:paraId="104C245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1.1.3  合同价格</w:t>
      </w:r>
    </w:p>
    <w:p w14:paraId="52181B1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1.1.3.1 签约合同价：是签订合同时合同协议书中写明的合同总金额。</w:t>
      </w:r>
    </w:p>
    <w:p w14:paraId="3CA4E92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1.1.3.2 合同价格：指卖方按合同约定履行了全部合同义务后，买方应付给卖方的金额。</w:t>
      </w:r>
    </w:p>
    <w:p w14:paraId="136714C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合同设备：指卖方按合同约定应向买方提供的设备、装置、备品、备件、易损易耗件、配套使用的软件或其他辅助电子应用程序及技术资料，或其中任何一部分。</w:t>
      </w:r>
    </w:p>
    <w:p w14:paraId="7397CAE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技术资料：指各种纸质及电子载体的与合同设备的设计、检验、安装、调试、考核、操作、维修以及保养等有关的技术指标、规格、图纸和说明文件。</w:t>
      </w:r>
    </w:p>
    <w:p w14:paraId="67D0093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安装：指对合同设备进行的组装、连接以及根据需要将合同设备固定在施工场地内一定的位置上，使其就位并与相关设备、工程实现连接。</w:t>
      </w:r>
    </w:p>
    <w:p w14:paraId="265E0992">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调试：指在合同设备安装完成后，对合同设备所进行的调校和测试。</w:t>
      </w:r>
    </w:p>
    <w:p w14:paraId="27D5926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考核：指在合同设备调试完成后，对合同设备进行的用于确定其是否达到合同约定的 技术性能考核指标的考核。</w:t>
      </w:r>
    </w:p>
    <w:p w14:paraId="276A49F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验收：指合同设备通过考核达到合同约定的技术性能考核指标后，买方作出接受合同设备的确认。</w:t>
      </w:r>
    </w:p>
    <w:p w14:paraId="38465A12">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1.1.10</w:t>
      </w:r>
      <w:r>
        <w:rPr>
          <w:rFonts w:hint="eastAsia" w:ascii="宋体" w:hAnsi="宋体" w:eastAsia="宋体" w:cs="宋体"/>
          <w:spacing w:val="-6"/>
          <w:kern w:val="2"/>
          <w:sz w:val="21"/>
          <w:szCs w:val="21"/>
          <w:highlight w:val="none"/>
          <w:lang w:val="en-US" w:eastAsia="zh-CN" w:bidi="ar-SA"/>
        </w:rPr>
        <w:t xml:space="preserve"> 技术服务：指卖方按合同约定，在合同设备验收前，向买方提供的安装、调试服务，或者在由买方负责的安装、调试、考核中对买方进行的技术指导、协助、监督和培训等。</w:t>
      </w:r>
    </w:p>
    <w:p w14:paraId="2D37C5A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1.1.11 质量保证期：指合同设备验收后，卖方按合同约定保证合同设备适当、稳定运行，并负责消除合同设备故障的期限。</w:t>
      </w:r>
    </w:p>
    <w:p w14:paraId="376FEF0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1.1.12 </w:t>
      </w:r>
      <w:r>
        <w:rPr>
          <w:rFonts w:hint="eastAsia" w:ascii="宋体" w:hAnsi="宋体" w:eastAsia="宋体" w:cs="宋体"/>
          <w:spacing w:val="-7"/>
          <w:kern w:val="2"/>
          <w:sz w:val="21"/>
          <w:szCs w:val="21"/>
          <w:highlight w:val="none"/>
          <w:lang w:val="en-US" w:eastAsia="zh-CN" w:bidi="ar-SA"/>
        </w:rPr>
        <w:t>质保期服务：指在质量保证期内，卖方向买方提供的合同设备维护服务、咨询服务、</w:t>
      </w:r>
      <w:r>
        <w:rPr>
          <w:rFonts w:hint="eastAsia" w:ascii="宋体" w:hAnsi="宋体" w:eastAsia="宋体" w:cs="宋体"/>
          <w:kern w:val="2"/>
          <w:sz w:val="21"/>
          <w:szCs w:val="21"/>
          <w:highlight w:val="none"/>
          <w:lang w:val="en-US" w:eastAsia="zh-CN" w:bidi="ar-SA"/>
        </w:rPr>
        <w:t>技术指导、协助以及对出现故障的合同设备进行修理或更换的服务。</w:t>
      </w:r>
    </w:p>
    <w:p w14:paraId="4D3EC6A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r>
        <w:rPr>
          <w:rFonts w:hint="eastAsia" w:ascii="宋体" w:hAnsi="宋体" w:eastAsia="宋体" w:cs="宋体"/>
          <w:b/>
          <w:bCs/>
          <w:kern w:val="0"/>
          <w:sz w:val="21"/>
          <w:szCs w:val="21"/>
          <w:highlight w:val="none"/>
          <w:lang w:val="en-US" w:eastAsia="zh-CN" w:bidi="ar-SA"/>
        </w:rPr>
        <w:t>1.1.13  工程</w:t>
      </w:r>
    </w:p>
    <w:p w14:paraId="52205DE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工程：指在专用合同条款中指明的，调试运行合同设备的工程。</w:t>
      </w:r>
    </w:p>
    <w:p w14:paraId="72E09240">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 xml:space="preserve">2 </w:t>
      </w:r>
      <w:r>
        <w:rPr>
          <w:rFonts w:hint="eastAsia" w:ascii="宋体" w:hAnsi="宋体" w:eastAsia="宋体" w:cs="宋体"/>
          <w:spacing w:val="-3"/>
          <w:kern w:val="2"/>
          <w:sz w:val="21"/>
          <w:szCs w:val="21"/>
          <w:highlight w:val="none"/>
          <w:lang w:val="en-US" w:eastAsia="zh-CN" w:bidi="ar-SA"/>
        </w:rPr>
        <w:t>施</w:t>
      </w:r>
      <w:r>
        <w:rPr>
          <w:rFonts w:hint="eastAsia" w:ascii="宋体" w:hAnsi="宋体" w:eastAsia="宋体" w:cs="宋体"/>
          <w:kern w:val="2"/>
          <w:sz w:val="21"/>
          <w:szCs w:val="21"/>
          <w:highlight w:val="none"/>
          <w:lang w:val="en-US" w:eastAsia="zh-CN" w:bidi="ar-SA"/>
        </w:rPr>
        <w:t>工</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kern w:val="2"/>
          <w:sz w:val="21"/>
          <w:szCs w:val="21"/>
          <w:highlight w:val="none"/>
          <w:lang w:val="en-US" w:eastAsia="zh-CN" w:bidi="ar-SA"/>
        </w:rPr>
        <w:t>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或</w:t>
      </w:r>
      <w:r>
        <w:rPr>
          <w:rFonts w:hint="eastAsia" w:ascii="宋体" w:hAnsi="宋体" w:eastAsia="宋体" w:cs="宋体"/>
          <w:spacing w:val="-3"/>
          <w:kern w:val="2"/>
          <w:sz w:val="21"/>
          <w:szCs w:val="21"/>
          <w:highlight w:val="none"/>
          <w:lang w:val="en-US" w:eastAsia="zh-CN" w:bidi="ar-SA"/>
        </w:rPr>
        <w:t>称</w:t>
      </w:r>
      <w:r>
        <w:rPr>
          <w:rFonts w:hint="eastAsia" w:ascii="宋体" w:hAnsi="宋体" w:eastAsia="宋体" w:cs="宋体"/>
          <w:kern w:val="2"/>
          <w:sz w:val="21"/>
          <w:szCs w:val="21"/>
          <w:highlight w:val="none"/>
          <w:lang w:val="en-US" w:eastAsia="zh-CN" w:bidi="ar-SA"/>
        </w:rPr>
        <w:t>工地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施</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现</w:t>
      </w:r>
      <w:r>
        <w:rPr>
          <w:rFonts w:hint="eastAsia" w:ascii="宋体" w:hAnsi="宋体" w:eastAsia="宋体" w:cs="宋体"/>
          <w:spacing w:val="-3"/>
          <w:kern w:val="2"/>
          <w:sz w:val="21"/>
          <w:szCs w:val="21"/>
          <w:highlight w:val="none"/>
          <w:lang w:val="en-US" w:eastAsia="zh-CN" w:bidi="ar-SA"/>
        </w:rPr>
        <w:t>场</w:t>
      </w:r>
      <w:r>
        <w:rPr>
          <w:rFonts w:hint="eastAsia" w:ascii="宋体" w:hAnsi="宋体" w:eastAsia="宋体" w:cs="宋体"/>
          <w:spacing w:val="-106"/>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专用</w:t>
      </w:r>
      <w:r>
        <w:rPr>
          <w:rFonts w:hint="eastAsia" w:ascii="宋体" w:hAnsi="宋体" w:eastAsia="宋体" w:cs="宋体"/>
          <w:kern w:val="2"/>
          <w:sz w:val="21"/>
          <w:szCs w:val="21"/>
          <w:highlight w:val="none"/>
          <w:lang w:val="en-US" w:eastAsia="zh-CN" w:bidi="ar-SA"/>
        </w:rPr>
        <w:t>合同</w:t>
      </w:r>
      <w:r>
        <w:rPr>
          <w:rFonts w:hint="eastAsia" w:ascii="宋体" w:hAnsi="宋体" w:eastAsia="宋体" w:cs="宋体"/>
          <w:spacing w:val="-3"/>
          <w:kern w:val="2"/>
          <w:sz w:val="21"/>
          <w:szCs w:val="21"/>
          <w:highlight w:val="none"/>
          <w:lang w:val="en-US" w:eastAsia="zh-CN" w:bidi="ar-SA"/>
        </w:rPr>
        <w:t>条</w:t>
      </w:r>
      <w:r>
        <w:rPr>
          <w:rFonts w:hint="eastAsia" w:ascii="宋体" w:hAnsi="宋体" w:eastAsia="宋体" w:cs="宋体"/>
          <w:kern w:val="2"/>
          <w:sz w:val="21"/>
          <w:szCs w:val="21"/>
          <w:highlight w:val="none"/>
          <w:lang w:val="en-US" w:eastAsia="zh-CN" w:bidi="ar-SA"/>
        </w:rPr>
        <w:t>款</w:t>
      </w:r>
      <w:r>
        <w:rPr>
          <w:rFonts w:hint="eastAsia" w:ascii="宋体" w:hAnsi="宋体" w:eastAsia="宋体" w:cs="宋体"/>
          <w:spacing w:val="-3"/>
          <w:kern w:val="2"/>
          <w:sz w:val="21"/>
          <w:szCs w:val="21"/>
          <w:highlight w:val="none"/>
          <w:lang w:val="en-US" w:eastAsia="zh-CN" w:bidi="ar-SA"/>
        </w:rPr>
        <w:t>中</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工</w:t>
      </w:r>
      <w:r>
        <w:rPr>
          <w:rFonts w:hint="eastAsia" w:ascii="宋体" w:hAnsi="宋体" w:eastAsia="宋体" w:cs="宋体"/>
          <w:kern w:val="2"/>
          <w:sz w:val="21"/>
          <w:szCs w:val="21"/>
          <w:highlight w:val="none"/>
          <w:lang w:val="en-US" w:eastAsia="zh-CN" w:bidi="ar-SA"/>
        </w:rPr>
        <w:t>程</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在场</w:t>
      </w:r>
      <w:r>
        <w:rPr>
          <w:rFonts w:hint="eastAsia" w:ascii="宋体" w:hAnsi="宋体" w:eastAsia="宋体" w:cs="宋体"/>
          <w:spacing w:val="-3"/>
          <w:kern w:val="2"/>
          <w:sz w:val="21"/>
          <w:szCs w:val="21"/>
          <w:highlight w:val="none"/>
          <w:lang w:val="en-US" w:eastAsia="zh-CN" w:bidi="ar-SA"/>
        </w:rPr>
        <w:t>所</w:t>
      </w:r>
      <w:r>
        <w:rPr>
          <w:rFonts w:hint="eastAsia" w:ascii="宋体" w:hAnsi="宋体" w:eastAsia="宋体" w:cs="宋体"/>
          <w:kern w:val="2"/>
          <w:sz w:val="21"/>
          <w:szCs w:val="21"/>
          <w:highlight w:val="none"/>
          <w:lang w:val="en-US" w:eastAsia="zh-CN" w:bidi="ar-SA"/>
        </w:rPr>
        <w:t>。</w:t>
      </w:r>
    </w:p>
    <w:p w14:paraId="234943DE">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1.1.14 天（或称日）</w:t>
      </w:r>
      <w:r>
        <w:rPr>
          <w:rFonts w:hint="eastAsia" w:ascii="宋体" w:hAnsi="宋体" w:eastAsia="宋体" w:cs="宋体"/>
          <w:kern w:val="2"/>
          <w:sz w:val="21"/>
          <w:szCs w:val="21"/>
          <w:highlight w:val="none"/>
          <w:lang w:val="en-US" w:eastAsia="zh-CN" w:bidi="ar-SA"/>
        </w:rPr>
        <w:t>：除</w:t>
      </w:r>
      <w:r>
        <w:rPr>
          <w:rFonts w:hint="eastAsia" w:ascii="宋体" w:hAnsi="宋体" w:eastAsia="宋体" w:cs="宋体"/>
          <w:spacing w:val="-3"/>
          <w:kern w:val="2"/>
          <w:sz w:val="21"/>
          <w:szCs w:val="21"/>
          <w:highlight w:val="none"/>
          <w:lang w:val="en-US" w:eastAsia="zh-CN" w:bidi="ar-SA"/>
        </w:rPr>
        <w:t>特</w:t>
      </w:r>
      <w:r>
        <w:rPr>
          <w:rFonts w:hint="eastAsia" w:ascii="宋体" w:hAnsi="宋体" w:eastAsia="宋体" w:cs="宋体"/>
          <w:kern w:val="2"/>
          <w:sz w:val="21"/>
          <w:szCs w:val="21"/>
          <w:highlight w:val="none"/>
          <w:lang w:val="en-US" w:eastAsia="zh-CN" w:bidi="ar-SA"/>
        </w:rPr>
        <w:t>别指</w:t>
      </w:r>
      <w:r>
        <w:rPr>
          <w:rFonts w:hint="eastAsia" w:ascii="宋体" w:hAnsi="宋体" w:eastAsia="宋体" w:cs="宋体"/>
          <w:spacing w:val="-3"/>
          <w:kern w:val="2"/>
          <w:sz w:val="21"/>
          <w:szCs w:val="21"/>
          <w:highlight w:val="none"/>
          <w:lang w:val="en-US" w:eastAsia="zh-CN" w:bidi="ar-SA"/>
        </w:rPr>
        <w:t>明</w:t>
      </w:r>
      <w:r>
        <w:rPr>
          <w:rFonts w:hint="eastAsia" w:ascii="宋体" w:hAnsi="宋体" w:eastAsia="宋体" w:cs="宋体"/>
          <w:kern w:val="2"/>
          <w:sz w:val="21"/>
          <w:szCs w:val="21"/>
          <w:highlight w:val="none"/>
          <w:lang w:val="en-US" w:eastAsia="zh-CN" w:bidi="ar-SA"/>
        </w:rPr>
        <w:t>外</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指</w:t>
      </w:r>
      <w:r>
        <w:rPr>
          <w:rFonts w:hint="eastAsia" w:ascii="宋体" w:hAnsi="宋体" w:eastAsia="宋体" w:cs="宋体"/>
          <w:spacing w:val="-3"/>
          <w:kern w:val="2"/>
          <w:sz w:val="21"/>
          <w:szCs w:val="21"/>
          <w:highlight w:val="none"/>
          <w:lang w:val="en-US" w:eastAsia="zh-CN" w:bidi="ar-SA"/>
        </w:rPr>
        <w:t>日</w:t>
      </w:r>
      <w:r>
        <w:rPr>
          <w:rFonts w:hint="eastAsia" w:ascii="宋体" w:hAnsi="宋体" w:eastAsia="宋体" w:cs="宋体"/>
          <w:kern w:val="2"/>
          <w:sz w:val="21"/>
          <w:szCs w:val="21"/>
          <w:highlight w:val="none"/>
          <w:lang w:val="en-US" w:eastAsia="zh-CN" w:bidi="ar-SA"/>
        </w:rPr>
        <w:t>历天</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合</w:t>
      </w:r>
      <w:r>
        <w:rPr>
          <w:rFonts w:hint="eastAsia" w:ascii="宋体" w:hAnsi="宋体" w:eastAsia="宋体" w:cs="宋体"/>
          <w:spacing w:val="-3"/>
          <w:kern w:val="2"/>
          <w:sz w:val="21"/>
          <w:szCs w:val="21"/>
          <w:highlight w:val="none"/>
          <w:lang w:val="en-US" w:eastAsia="zh-CN" w:bidi="ar-SA"/>
        </w:rPr>
        <w:t>同</w:t>
      </w:r>
      <w:r>
        <w:rPr>
          <w:rFonts w:hint="eastAsia" w:ascii="宋体" w:hAnsi="宋体" w:eastAsia="宋体" w:cs="宋体"/>
          <w:kern w:val="2"/>
          <w:sz w:val="21"/>
          <w:szCs w:val="21"/>
          <w:highlight w:val="none"/>
          <w:lang w:val="en-US" w:eastAsia="zh-CN" w:bidi="ar-SA"/>
        </w:rPr>
        <w:t>中按</w:t>
      </w:r>
      <w:r>
        <w:rPr>
          <w:rFonts w:hint="eastAsia" w:ascii="宋体" w:hAnsi="宋体" w:eastAsia="宋体" w:cs="宋体"/>
          <w:spacing w:val="-3"/>
          <w:kern w:val="2"/>
          <w:sz w:val="21"/>
          <w:szCs w:val="21"/>
          <w:highlight w:val="none"/>
          <w:lang w:val="en-US" w:eastAsia="zh-CN" w:bidi="ar-SA"/>
        </w:rPr>
        <w:t>天</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算</w:t>
      </w:r>
      <w:r>
        <w:rPr>
          <w:rFonts w:hint="eastAsia" w:ascii="宋体" w:hAnsi="宋体" w:eastAsia="宋体" w:cs="宋体"/>
          <w:kern w:val="2"/>
          <w:sz w:val="21"/>
          <w:szCs w:val="21"/>
          <w:highlight w:val="none"/>
          <w:lang w:val="en-US" w:eastAsia="zh-CN" w:bidi="ar-SA"/>
        </w:rPr>
        <w:t>时</w:t>
      </w:r>
      <w:r>
        <w:rPr>
          <w:rFonts w:hint="eastAsia" w:ascii="宋体" w:hAnsi="宋体" w:eastAsia="宋体" w:cs="宋体"/>
          <w:spacing w:val="-3"/>
          <w:kern w:val="2"/>
          <w:sz w:val="21"/>
          <w:szCs w:val="21"/>
          <w:highlight w:val="none"/>
          <w:lang w:val="en-US" w:eastAsia="zh-CN" w:bidi="ar-SA"/>
        </w:rPr>
        <w:t>间</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60"/>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开</w:t>
      </w:r>
      <w:r>
        <w:rPr>
          <w:rFonts w:hint="eastAsia" w:ascii="宋体" w:hAnsi="宋体" w:eastAsia="宋体" w:cs="宋体"/>
          <w:spacing w:val="-3"/>
          <w:kern w:val="2"/>
          <w:sz w:val="21"/>
          <w:szCs w:val="21"/>
          <w:highlight w:val="none"/>
          <w:lang w:val="en-US" w:eastAsia="zh-CN" w:bidi="ar-SA"/>
        </w:rPr>
        <w:t>始</w:t>
      </w:r>
      <w:r>
        <w:rPr>
          <w:rFonts w:hint="eastAsia" w:ascii="宋体" w:hAnsi="宋体" w:eastAsia="宋体" w:cs="宋体"/>
          <w:kern w:val="2"/>
          <w:sz w:val="21"/>
          <w:szCs w:val="21"/>
          <w:highlight w:val="none"/>
          <w:lang w:val="en-US" w:eastAsia="zh-CN" w:bidi="ar-SA"/>
        </w:rPr>
        <w:t>当天</w:t>
      </w:r>
      <w:r>
        <w:rPr>
          <w:rFonts w:hint="eastAsia" w:ascii="宋体" w:hAnsi="宋体" w:eastAsia="宋体" w:cs="宋体"/>
          <w:spacing w:val="-3"/>
          <w:kern w:val="2"/>
          <w:sz w:val="21"/>
          <w:szCs w:val="21"/>
          <w:highlight w:val="none"/>
          <w:lang w:val="en-US" w:eastAsia="zh-CN" w:bidi="ar-SA"/>
        </w:rPr>
        <w:t>不</w:t>
      </w:r>
      <w:r>
        <w:rPr>
          <w:rFonts w:hint="eastAsia" w:ascii="宋体" w:hAnsi="宋体" w:eastAsia="宋体" w:cs="宋体"/>
          <w:kern w:val="2"/>
          <w:sz w:val="21"/>
          <w:szCs w:val="21"/>
          <w:highlight w:val="none"/>
          <w:lang w:val="en-US" w:eastAsia="zh-CN" w:bidi="ar-SA"/>
        </w:rPr>
        <w:t>计</w:t>
      </w:r>
      <w:r>
        <w:rPr>
          <w:rFonts w:hint="eastAsia" w:ascii="宋体" w:hAnsi="宋体" w:eastAsia="宋体" w:cs="宋体"/>
          <w:spacing w:val="-3"/>
          <w:kern w:val="2"/>
          <w:sz w:val="21"/>
          <w:szCs w:val="21"/>
          <w:highlight w:val="none"/>
          <w:lang w:val="en-US" w:eastAsia="zh-CN" w:bidi="ar-SA"/>
        </w:rPr>
        <w:t>入</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1"/>
          <w:kern w:val="2"/>
          <w:sz w:val="21"/>
          <w:szCs w:val="21"/>
          <w:highlight w:val="none"/>
          <w:lang w:val="en-US" w:eastAsia="zh-CN" w:bidi="ar-SA"/>
        </w:rPr>
        <w:t>从次日开始计算。合同约定的期间的最后一天是星期日或者其他法定休假日的，以休假日的次</w:t>
      </w:r>
      <w:r>
        <w:rPr>
          <w:rFonts w:hint="eastAsia" w:ascii="宋体" w:hAnsi="宋体" w:eastAsia="宋体" w:cs="宋体"/>
          <w:kern w:val="2"/>
          <w:sz w:val="21"/>
          <w:szCs w:val="21"/>
          <w:highlight w:val="none"/>
          <w:lang w:val="en-US" w:eastAsia="zh-CN" w:bidi="ar-SA"/>
        </w:rPr>
        <w:t>日为期间的最后一天。</w:t>
      </w:r>
    </w:p>
    <w:p w14:paraId="3375C0E9">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 xml:space="preserve">1.1.15 </w:t>
      </w:r>
      <w:r>
        <w:rPr>
          <w:rFonts w:hint="eastAsia" w:ascii="宋体" w:hAnsi="宋体" w:eastAsia="宋体" w:cs="宋体"/>
          <w:b/>
          <w:bCs/>
          <w:spacing w:val="-7"/>
          <w:kern w:val="2"/>
          <w:sz w:val="21"/>
          <w:szCs w:val="21"/>
          <w:highlight w:val="none"/>
          <w:lang w:val="en-US" w:eastAsia="zh-CN" w:bidi="ar-SA"/>
        </w:rPr>
        <w:t>月</w:t>
      </w:r>
      <w:r>
        <w:rPr>
          <w:rFonts w:hint="eastAsia" w:ascii="宋体" w:hAnsi="宋体" w:eastAsia="宋体" w:cs="宋体"/>
          <w:spacing w:val="-7"/>
          <w:kern w:val="2"/>
          <w:sz w:val="21"/>
          <w:szCs w:val="21"/>
          <w:highlight w:val="none"/>
          <w:lang w:val="en-US" w:eastAsia="zh-CN" w:bidi="ar-SA"/>
        </w:rPr>
        <w:t>：按照公历月计算。合同中按月计算时间的，开始当天不计入，从次日开始计算。</w:t>
      </w:r>
      <w:r>
        <w:rPr>
          <w:rFonts w:hint="eastAsia" w:ascii="宋体" w:hAnsi="宋体" w:eastAsia="宋体" w:cs="宋体"/>
          <w:spacing w:val="-1"/>
          <w:kern w:val="2"/>
          <w:sz w:val="21"/>
          <w:szCs w:val="21"/>
          <w:highlight w:val="none"/>
          <w:lang w:val="en-US" w:eastAsia="zh-CN" w:bidi="ar-SA"/>
        </w:rPr>
        <w:t>合同约定的期间的最后一天是星期日或者其他法定休假日的，以休假日的次日为期间的最后一</w:t>
      </w:r>
      <w:r>
        <w:rPr>
          <w:rFonts w:hint="eastAsia" w:ascii="宋体" w:hAnsi="宋体" w:eastAsia="宋体" w:cs="宋体"/>
          <w:kern w:val="2"/>
          <w:sz w:val="21"/>
          <w:szCs w:val="21"/>
          <w:highlight w:val="none"/>
          <w:lang w:val="en-US" w:eastAsia="zh-CN" w:bidi="ar-SA"/>
        </w:rPr>
        <w:t>天。</w:t>
      </w:r>
    </w:p>
    <w:p w14:paraId="17228F81">
      <w:pPr>
        <w:widowControl w:val="0"/>
        <w:spacing w:beforeLines="0" w:after="0" w:afterLines="0" w:line="360" w:lineRule="auto"/>
        <w:ind w:left="0" w:right="0" w:firstLine="422" w:firstLineChars="200"/>
        <w:jc w:val="both"/>
        <w:outlineLvl w:val="9"/>
        <w:rPr>
          <w:rFonts w:hint="eastAsia" w:ascii="宋体" w:hAnsi="宋体" w:eastAsia="宋体" w:cs="宋体"/>
          <w:kern w:val="2"/>
          <w:sz w:val="21"/>
          <w:szCs w:val="21"/>
          <w:highlight w:val="none"/>
          <w:lang w:val="en-US" w:eastAsia="zh-CN" w:bidi="ar-SA"/>
        </w:rPr>
      </w:pPr>
      <w:r>
        <w:rPr>
          <w:rFonts w:hint="eastAsia" w:ascii="宋体" w:hAnsi="宋体" w:eastAsia="宋体" w:cs="宋体"/>
          <w:b/>
          <w:bCs/>
          <w:kern w:val="2"/>
          <w:sz w:val="21"/>
          <w:szCs w:val="21"/>
          <w:highlight w:val="none"/>
          <w:lang w:val="en-US" w:eastAsia="zh-CN" w:bidi="ar-SA"/>
        </w:rPr>
        <w:t>1.1.16 书面形式</w:t>
      </w:r>
      <w:r>
        <w:rPr>
          <w:rFonts w:hint="eastAsia" w:ascii="宋体" w:hAnsi="宋体" w:eastAsia="宋体" w:cs="宋体"/>
          <w:kern w:val="2"/>
          <w:sz w:val="21"/>
          <w:szCs w:val="21"/>
          <w:highlight w:val="none"/>
          <w:lang w:val="en-US" w:eastAsia="zh-CN" w:bidi="ar-SA"/>
        </w:rPr>
        <w:t>：指合同文件、信件和数据电文（包括电报、电传、传真、电子数据交换和电子邮件）等可以有形地表现所载内容的形式。</w:t>
      </w:r>
    </w:p>
    <w:p w14:paraId="261B4B2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0" w:name="_bookmark107"/>
      <w:bookmarkEnd w:id="390"/>
      <w:bookmarkStart w:id="391" w:name="_Toc14877"/>
      <w:bookmarkStart w:id="392" w:name="_Toc28847"/>
      <w:bookmarkStart w:id="393" w:name="_Toc3718"/>
      <w:bookmarkStart w:id="394" w:name="_Toc32267"/>
      <w:r>
        <w:rPr>
          <w:rFonts w:hint="eastAsia" w:ascii="宋体" w:hAnsi="宋体" w:eastAsia="宋体" w:cs="宋体"/>
          <w:kern w:val="0"/>
          <w:sz w:val="21"/>
          <w:szCs w:val="21"/>
          <w:highlight w:val="none"/>
          <w:lang w:val="en-US" w:eastAsia="zh-CN" w:bidi="ar-SA"/>
        </w:rPr>
        <w:t>1.2  语言文字</w:t>
      </w:r>
      <w:bookmarkEnd w:id="391"/>
      <w:bookmarkEnd w:id="392"/>
      <w:bookmarkEnd w:id="393"/>
      <w:bookmarkEnd w:id="394"/>
    </w:p>
    <w:p w14:paraId="4FE17083">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合同使用的语言文字为中文。专用术语使用外文的，应附有中文注释。</w:t>
      </w:r>
    </w:p>
    <w:p w14:paraId="41E204B5">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5" w:name="_Toc8515"/>
      <w:bookmarkStart w:id="396" w:name="_Toc10706"/>
      <w:bookmarkStart w:id="397" w:name="_Toc30982"/>
      <w:bookmarkStart w:id="398" w:name="_Toc7136"/>
      <w:r>
        <w:rPr>
          <w:rFonts w:hint="eastAsia" w:ascii="宋体" w:hAnsi="宋体" w:eastAsia="宋体" w:cs="宋体"/>
          <w:kern w:val="0"/>
          <w:sz w:val="21"/>
          <w:szCs w:val="21"/>
          <w:highlight w:val="none"/>
          <w:lang w:val="en-US" w:eastAsia="zh-CN" w:bidi="ar-SA"/>
        </w:rPr>
        <w:t>1.3  合同文件的优先顺序</w:t>
      </w:r>
      <w:bookmarkEnd w:id="395"/>
      <w:bookmarkEnd w:id="396"/>
      <w:bookmarkEnd w:id="397"/>
      <w:bookmarkEnd w:id="398"/>
    </w:p>
    <w:p w14:paraId="6127574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组成合同的各项文件应互相解释，互为说明。除专用合同条款另有约定外，解释合同文件的优先顺序如下：</w:t>
      </w:r>
    </w:p>
    <w:p w14:paraId="0E2A4A21">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（1）合同协议书；</w:t>
      </w:r>
    </w:p>
    <w:p w14:paraId="0C2FC89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（2）中标通知书；</w:t>
      </w:r>
    </w:p>
    <w:p w14:paraId="38C96775">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（3）投标函；</w:t>
      </w:r>
    </w:p>
    <w:p w14:paraId="4F8E5463">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（4）商务和技术偏差表；</w:t>
      </w:r>
    </w:p>
    <w:p w14:paraId="4834D3A5">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（5）专用合同条款；</w:t>
      </w:r>
    </w:p>
    <w:p w14:paraId="46D214CB">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（6）通用合同条款；</w:t>
      </w:r>
    </w:p>
    <w:p w14:paraId="1D35634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（7）供货要求；</w:t>
      </w:r>
    </w:p>
    <w:p w14:paraId="5ABAB43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（8）分项报价表；</w:t>
      </w:r>
    </w:p>
    <w:p w14:paraId="6FE93BB0">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（9）中标设备技术性能指标的详细描述；</w:t>
      </w:r>
    </w:p>
    <w:p w14:paraId="6F33E47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（10）技术服务和质保期服务计划；</w:t>
      </w:r>
    </w:p>
    <w:p w14:paraId="10E72F4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（11）其他合同文件。</w:t>
      </w:r>
    </w:p>
    <w:p w14:paraId="767F9750">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399" w:name="_bookmark109"/>
      <w:bookmarkEnd w:id="399"/>
      <w:bookmarkStart w:id="400" w:name="_Toc7102"/>
      <w:bookmarkStart w:id="401" w:name="_Toc3797"/>
      <w:bookmarkStart w:id="402" w:name="_Toc23542"/>
      <w:bookmarkStart w:id="403" w:name="_Toc3833"/>
      <w:r>
        <w:rPr>
          <w:rFonts w:hint="eastAsia" w:ascii="宋体" w:hAnsi="宋体" w:eastAsia="宋体" w:cs="宋体"/>
          <w:kern w:val="0"/>
          <w:sz w:val="21"/>
          <w:szCs w:val="21"/>
          <w:highlight w:val="none"/>
          <w:lang w:val="en-US" w:eastAsia="zh-CN" w:bidi="ar-SA"/>
        </w:rPr>
        <w:t>1.4  合同的生效及变更</w:t>
      </w:r>
      <w:bookmarkEnd w:id="400"/>
      <w:bookmarkEnd w:id="401"/>
      <w:bookmarkEnd w:id="402"/>
      <w:bookmarkEnd w:id="403"/>
    </w:p>
    <w:p w14:paraId="4DC3B82D">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除专用合同条款另有约定外，买方和卖方的法定代表人（单位负责人）或其授权代表在合同协议书上签字并加盖单位章后，合同生效。</w:t>
      </w:r>
    </w:p>
    <w:p w14:paraId="0B25EE3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 除专用合同条款另有约定外，在合同履行过程中，如需对合同进行变更，双方应签订书面协议，并经双方法定代表人（单位负责人）或其授权代表签字并加盖单位章后生效。</w:t>
      </w:r>
    </w:p>
    <w:p w14:paraId="5302C442">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04" w:name="_bookmark110"/>
      <w:bookmarkEnd w:id="404"/>
      <w:bookmarkStart w:id="405" w:name="_Toc4627"/>
      <w:bookmarkStart w:id="406" w:name="_Toc18461"/>
      <w:bookmarkStart w:id="407" w:name="_Toc21860"/>
      <w:bookmarkStart w:id="408" w:name="_Toc12792"/>
      <w:r>
        <w:rPr>
          <w:rFonts w:hint="eastAsia" w:ascii="宋体" w:hAnsi="宋体" w:eastAsia="宋体" w:cs="宋体"/>
          <w:kern w:val="0"/>
          <w:sz w:val="21"/>
          <w:szCs w:val="21"/>
          <w:highlight w:val="none"/>
          <w:lang w:val="en-US" w:eastAsia="zh-CN" w:bidi="ar-SA"/>
        </w:rPr>
        <w:t>1.5  联络</w:t>
      </w:r>
      <w:bookmarkEnd w:id="405"/>
      <w:bookmarkEnd w:id="406"/>
      <w:bookmarkEnd w:id="407"/>
      <w:bookmarkEnd w:id="408"/>
    </w:p>
    <w:p w14:paraId="65A5F9D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1.5.1 </w:t>
      </w:r>
      <w:r>
        <w:rPr>
          <w:rFonts w:hint="eastAsia" w:ascii="宋体" w:hAnsi="宋体" w:eastAsia="宋体" w:cs="宋体"/>
          <w:spacing w:val="-4"/>
          <w:kern w:val="2"/>
          <w:sz w:val="21"/>
          <w:szCs w:val="21"/>
          <w:highlight w:val="none"/>
          <w:lang w:val="en-US" w:eastAsia="zh-CN" w:bidi="ar-SA"/>
        </w:rPr>
        <w:t>买卖双方应就合同履行中有关的事项及时进行联络，重要事项应通过书面形式进行联</w:t>
      </w:r>
      <w:r>
        <w:rPr>
          <w:rFonts w:hint="eastAsia" w:ascii="宋体" w:hAnsi="宋体" w:eastAsia="宋体" w:cs="宋体"/>
          <w:spacing w:val="-1"/>
          <w:kern w:val="2"/>
          <w:sz w:val="21"/>
          <w:szCs w:val="21"/>
          <w:highlight w:val="none"/>
          <w:lang w:val="en-US" w:eastAsia="zh-CN" w:bidi="ar-SA"/>
        </w:rPr>
        <w:t>络或确认。合同履行过程中的任何联络及相关文件的签署，均应通过专用合同条款指定的联系</w:t>
      </w:r>
      <w:r>
        <w:rPr>
          <w:rFonts w:hint="eastAsia" w:ascii="宋体" w:hAnsi="宋体" w:eastAsia="宋体" w:cs="宋体"/>
          <w:kern w:val="2"/>
          <w:sz w:val="21"/>
          <w:szCs w:val="21"/>
          <w:highlight w:val="none"/>
          <w:lang w:val="en-US" w:eastAsia="zh-CN" w:bidi="ar-SA"/>
        </w:rPr>
        <w:t>人和联系方式进行。合同履行过程中，双方可以书面形式增加或变更指定联系人。</w:t>
      </w:r>
    </w:p>
    <w:p w14:paraId="0CB2D817">
      <w:pPr>
        <w:widowControl w:val="0"/>
        <w:spacing w:beforeLines="0" w:after="0" w:afterLines="0" w:line="360" w:lineRule="auto"/>
        <w:ind w:left="0" w:right="0" w:firstLine="420" w:firstLineChars="200"/>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1.5.2 </w:t>
      </w:r>
      <w:r>
        <w:rPr>
          <w:rFonts w:hint="eastAsia" w:ascii="宋体" w:hAnsi="宋体" w:eastAsia="宋体" w:cs="宋体"/>
          <w:spacing w:val="-6"/>
          <w:kern w:val="2"/>
          <w:sz w:val="21"/>
          <w:szCs w:val="21"/>
          <w:highlight w:val="none"/>
          <w:lang w:val="en-US" w:eastAsia="zh-CN" w:bidi="ar-SA"/>
        </w:rPr>
        <w:t>合同履行中或与合同有关的任何联络，送达到第 1.5.1 项指定的联系人即视为送达。</w:t>
      </w:r>
    </w:p>
    <w:p w14:paraId="1B9161F7">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 买方可以安排监理等相关人员作为买方人员，与卖方进行联络或参加合同设备的监造（如有）、交货前检验（如有）、开箱检验、安装、调试、考核、验收等，但应按照第1.5.1项的约定事先书面通知卖方。</w:t>
      </w:r>
    </w:p>
    <w:p w14:paraId="202F913E">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09" w:name="_Toc10350"/>
      <w:bookmarkStart w:id="410" w:name="_Toc28224"/>
      <w:bookmarkStart w:id="411" w:name="_Toc28551"/>
      <w:bookmarkStart w:id="412" w:name="_Toc9350"/>
      <w:r>
        <w:rPr>
          <w:rFonts w:hint="eastAsia" w:ascii="宋体" w:hAnsi="宋体" w:eastAsia="宋体" w:cs="宋体"/>
          <w:kern w:val="0"/>
          <w:sz w:val="21"/>
          <w:szCs w:val="21"/>
          <w:highlight w:val="none"/>
          <w:lang w:val="en-US" w:eastAsia="zh-CN" w:bidi="ar-SA"/>
        </w:rPr>
        <w:t>1.6  联合体</w:t>
      </w:r>
      <w:bookmarkEnd w:id="409"/>
      <w:bookmarkEnd w:id="410"/>
      <w:bookmarkEnd w:id="411"/>
      <w:bookmarkEnd w:id="412"/>
    </w:p>
    <w:p w14:paraId="3B335BB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4"/>
          <w:kern w:val="2"/>
          <w:sz w:val="21"/>
          <w:szCs w:val="21"/>
          <w:highlight w:val="none"/>
          <w:lang w:val="en-US" w:eastAsia="zh-CN" w:bidi="ar-SA"/>
        </w:rPr>
        <w:t>卖方为联合体的，联合体各方应当共同与买方签订合同，并向买方为履行合同承担连</w:t>
      </w:r>
      <w:r>
        <w:rPr>
          <w:rFonts w:hint="eastAsia" w:ascii="宋体" w:hAnsi="宋体" w:eastAsia="宋体" w:cs="宋体"/>
          <w:kern w:val="2"/>
          <w:sz w:val="21"/>
          <w:szCs w:val="21"/>
          <w:highlight w:val="none"/>
          <w:lang w:val="en-US" w:eastAsia="zh-CN" w:bidi="ar-SA"/>
        </w:rPr>
        <w:t>带责任。</w:t>
      </w:r>
    </w:p>
    <w:p w14:paraId="030FD5D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1.6.2 </w:t>
      </w:r>
      <w:r>
        <w:rPr>
          <w:rFonts w:hint="eastAsia" w:ascii="宋体" w:hAnsi="宋体" w:eastAsia="宋体" w:cs="宋体"/>
          <w:spacing w:val="-4"/>
          <w:kern w:val="2"/>
          <w:sz w:val="21"/>
          <w:szCs w:val="21"/>
          <w:highlight w:val="none"/>
          <w:lang w:val="en-US" w:eastAsia="zh-CN" w:bidi="ar-SA"/>
        </w:rPr>
        <w:t>在合同履行过程中，未经买方同意，不得修改联合体协议。联合体协议中关于联合体</w:t>
      </w:r>
      <w:r>
        <w:rPr>
          <w:rFonts w:hint="eastAsia" w:ascii="宋体" w:hAnsi="宋体" w:eastAsia="宋体" w:cs="宋体"/>
          <w:kern w:val="2"/>
          <w:sz w:val="21"/>
          <w:szCs w:val="21"/>
          <w:highlight w:val="none"/>
          <w:lang w:val="en-US" w:eastAsia="zh-CN" w:bidi="ar-SA"/>
        </w:rPr>
        <w:t>成员间权利义务的划分，并不影响或减损联合体各方应就履行合同向买方承担的连带责任。</w:t>
      </w:r>
    </w:p>
    <w:p w14:paraId="53FAE4F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1.6.3 </w:t>
      </w:r>
      <w:r>
        <w:rPr>
          <w:rFonts w:hint="eastAsia" w:ascii="宋体" w:hAnsi="宋体" w:eastAsia="宋体" w:cs="宋体"/>
          <w:spacing w:val="-4"/>
          <w:kern w:val="2"/>
          <w:sz w:val="21"/>
          <w:szCs w:val="21"/>
          <w:highlight w:val="none"/>
          <w:lang w:val="en-US" w:eastAsia="zh-CN" w:bidi="ar-SA"/>
        </w:rPr>
        <w:t>联合体牵头人代表联合体与买方联系，并接受指示，负责组织联合体各成员全面履行</w:t>
      </w:r>
      <w:r>
        <w:rPr>
          <w:rFonts w:hint="eastAsia" w:ascii="宋体" w:hAnsi="宋体" w:eastAsia="宋体" w:cs="宋体"/>
          <w:spacing w:val="-1"/>
          <w:kern w:val="2"/>
          <w:sz w:val="21"/>
          <w:szCs w:val="21"/>
          <w:highlight w:val="none"/>
          <w:lang w:val="en-US" w:eastAsia="zh-CN" w:bidi="ar-SA"/>
        </w:rPr>
        <w:t>合同。除非专用合同条款另有约定，牵头人在履行合同中的所有行为均视为已获得联合体各方的授权。买方可将合同价款全部支付给牵头人并视为其已适当履行了付款义务。如牵头人的行</w:t>
      </w:r>
      <w:r>
        <w:rPr>
          <w:rFonts w:hint="eastAsia" w:ascii="宋体" w:hAnsi="宋体" w:eastAsia="宋体" w:cs="宋体"/>
          <w:kern w:val="2"/>
          <w:sz w:val="21"/>
          <w:szCs w:val="21"/>
          <w:highlight w:val="none"/>
          <w:lang w:val="en-US" w:eastAsia="zh-CN" w:bidi="ar-SA"/>
        </w:rPr>
        <w:t>为将构成对合同内容的变更，则牵头人须事先获得联合体各方的特别授权。</w:t>
      </w:r>
    </w:p>
    <w:p w14:paraId="40428564">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13" w:name="_bookmark112"/>
      <w:bookmarkEnd w:id="413"/>
      <w:bookmarkStart w:id="414" w:name="_Toc25757"/>
      <w:bookmarkStart w:id="415" w:name="_Toc16915"/>
      <w:bookmarkStart w:id="416" w:name="_Toc15877"/>
      <w:bookmarkStart w:id="417" w:name="_Toc15181"/>
      <w:r>
        <w:rPr>
          <w:rFonts w:hint="eastAsia" w:ascii="宋体" w:hAnsi="宋体" w:eastAsia="宋体" w:cs="宋体"/>
          <w:kern w:val="0"/>
          <w:sz w:val="21"/>
          <w:szCs w:val="21"/>
          <w:highlight w:val="none"/>
          <w:lang w:val="en-US" w:eastAsia="zh-CN" w:bidi="ar-SA"/>
        </w:rPr>
        <w:t>1.7  转让</w:t>
      </w:r>
      <w:bookmarkEnd w:id="414"/>
      <w:bookmarkEnd w:id="415"/>
      <w:bookmarkEnd w:id="416"/>
      <w:bookmarkEnd w:id="417"/>
    </w:p>
    <w:p w14:paraId="3C0708D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未经对方当事人书面同意，合同任何一方均不得转让其在合同项下的权利和（或）义务。</w:t>
      </w:r>
    </w:p>
    <w:p w14:paraId="7F05901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18" w:name="_bookmark113"/>
      <w:bookmarkEnd w:id="418"/>
      <w:bookmarkStart w:id="419" w:name="_Toc20458"/>
      <w:bookmarkStart w:id="420" w:name="_Toc26727"/>
      <w:bookmarkStart w:id="421" w:name="_Toc22430"/>
      <w:bookmarkStart w:id="422" w:name="_Toc31831"/>
      <w:bookmarkStart w:id="423" w:name="_Toc30500"/>
      <w:bookmarkStart w:id="424" w:name="_Toc54550754"/>
      <w:bookmarkStart w:id="425" w:name="_Toc91344942"/>
      <w:bookmarkStart w:id="426" w:name="_Toc62034472"/>
      <w:bookmarkStart w:id="427" w:name="_Toc6481"/>
      <w:bookmarkStart w:id="428" w:name="_Toc534572286"/>
      <w:r>
        <w:rPr>
          <w:rFonts w:hint="eastAsia" w:ascii="宋体" w:hAnsi="宋体" w:eastAsia="宋体" w:cs="宋体"/>
          <w:b/>
          <w:bCs/>
          <w:kern w:val="0"/>
          <w:sz w:val="21"/>
          <w:szCs w:val="21"/>
          <w:highlight w:val="none"/>
          <w:lang w:val="en-US" w:eastAsia="zh-CN" w:bidi="ar-SA"/>
        </w:rPr>
        <w:t>2.合同范围</w:t>
      </w:r>
      <w:bookmarkEnd w:id="419"/>
      <w:bookmarkEnd w:id="420"/>
      <w:bookmarkEnd w:id="421"/>
      <w:bookmarkEnd w:id="422"/>
      <w:bookmarkEnd w:id="423"/>
      <w:bookmarkEnd w:id="424"/>
      <w:bookmarkEnd w:id="425"/>
      <w:bookmarkEnd w:id="426"/>
      <w:bookmarkEnd w:id="427"/>
      <w:bookmarkEnd w:id="428"/>
    </w:p>
    <w:p w14:paraId="29CF02B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卖方应根据供货要求、中标设备技术性能指标的详细描述、技术服务和质保期服务计划等合同文件的约定向买方提供合同设备、技术服务和质保期服务。</w:t>
      </w:r>
    </w:p>
    <w:p w14:paraId="4BD4DA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29" w:name="_bookmark114"/>
      <w:bookmarkEnd w:id="429"/>
      <w:bookmarkStart w:id="430" w:name="_Toc29088"/>
      <w:bookmarkStart w:id="431" w:name="_Toc10032"/>
      <w:bookmarkStart w:id="432" w:name="_Toc62034473"/>
      <w:bookmarkStart w:id="433" w:name="_Toc7147"/>
      <w:bookmarkStart w:id="434" w:name="_Toc7996"/>
      <w:bookmarkStart w:id="435" w:name="_Toc91344943"/>
      <w:bookmarkStart w:id="436" w:name="_Toc23592"/>
      <w:bookmarkStart w:id="437" w:name="_Toc534572287"/>
      <w:bookmarkStart w:id="438" w:name="_Toc54550755"/>
      <w:bookmarkStart w:id="439" w:name="_Toc16244"/>
      <w:r>
        <w:rPr>
          <w:rFonts w:hint="eastAsia" w:ascii="宋体" w:hAnsi="宋体" w:eastAsia="宋体" w:cs="宋体"/>
          <w:b/>
          <w:bCs/>
          <w:kern w:val="0"/>
          <w:sz w:val="21"/>
          <w:szCs w:val="21"/>
          <w:highlight w:val="none"/>
          <w:lang w:val="en-US" w:eastAsia="zh-CN" w:bidi="ar-SA"/>
        </w:rPr>
        <w:t>3.合同价格与支付</w:t>
      </w:r>
      <w:bookmarkEnd w:id="430"/>
      <w:bookmarkEnd w:id="431"/>
      <w:bookmarkEnd w:id="432"/>
      <w:bookmarkEnd w:id="433"/>
      <w:bookmarkEnd w:id="434"/>
      <w:bookmarkEnd w:id="435"/>
      <w:bookmarkEnd w:id="436"/>
      <w:bookmarkEnd w:id="437"/>
      <w:bookmarkEnd w:id="438"/>
      <w:bookmarkEnd w:id="439"/>
    </w:p>
    <w:p w14:paraId="6E78ED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40" w:name="_bookmark115"/>
      <w:bookmarkEnd w:id="440"/>
      <w:bookmarkStart w:id="441" w:name="_Toc17218"/>
      <w:bookmarkStart w:id="442" w:name="_Toc19837"/>
      <w:bookmarkStart w:id="443" w:name="_Toc6402"/>
      <w:bookmarkStart w:id="444" w:name="_Toc12390"/>
      <w:r>
        <w:rPr>
          <w:rFonts w:hint="eastAsia" w:ascii="宋体" w:hAnsi="宋体" w:eastAsia="宋体" w:cs="宋体"/>
          <w:kern w:val="0"/>
          <w:sz w:val="21"/>
          <w:szCs w:val="21"/>
          <w:highlight w:val="none"/>
          <w:lang w:val="en-US" w:eastAsia="zh-CN" w:bidi="ar-SA"/>
        </w:rPr>
        <w:t>3.1  合同价格</w:t>
      </w:r>
      <w:bookmarkEnd w:id="441"/>
      <w:bookmarkEnd w:id="442"/>
      <w:bookmarkEnd w:id="443"/>
      <w:bookmarkEnd w:id="444"/>
    </w:p>
    <w:p w14:paraId="1BA42AE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3.1.1 合同协议书中载明的签约合同价包括卖方为完成合同全部义务应承担的一切成本、费用和支出以及卖方的合理利润。</w:t>
      </w:r>
    </w:p>
    <w:p w14:paraId="6F51A0F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除专用合同条款另有约定外，签约合同价为固定价格。</w:t>
      </w:r>
    </w:p>
    <w:p w14:paraId="7140B4B9">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45" w:name="_bookmark116"/>
      <w:bookmarkEnd w:id="445"/>
      <w:bookmarkStart w:id="446" w:name="_Toc27628"/>
      <w:bookmarkStart w:id="447" w:name="_Toc29545"/>
      <w:bookmarkStart w:id="448" w:name="_Toc14837"/>
      <w:bookmarkStart w:id="449" w:name="_Toc16048"/>
      <w:r>
        <w:rPr>
          <w:rFonts w:hint="eastAsia" w:ascii="宋体" w:hAnsi="宋体" w:eastAsia="宋体" w:cs="宋体"/>
          <w:kern w:val="0"/>
          <w:sz w:val="21"/>
          <w:szCs w:val="21"/>
          <w:highlight w:val="none"/>
          <w:lang w:val="en-US" w:eastAsia="zh-CN" w:bidi="ar-SA"/>
        </w:rPr>
        <w:t>3.2  合同价款的支付</w:t>
      </w:r>
      <w:bookmarkEnd w:id="446"/>
      <w:bookmarkEnd w:id="447"/>
      <w:bookmarkEnd w:id="448"/>
      <w:bookmarkEnd w:id="449"/>
    </w:p>
    <w:p w14:paraId="44BEEC6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除专用合同条款另有约定外，买方应通过以下方式和比例向卖方支付合同价款：</w:t>
      </w:r>
    </w:p>
    <w:p w14:paraId="7019309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3.2.1 预付款</w:t>
      </w:r>
    </w:p>
    <w:p w14:paraId="428160E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合同生效后，买方在收到卖方开具的注明应付预付款金额的财务收据正本一份并经审核无误后28日内，向卖方支付签约合同价的10%作为预付款。</w:t>
      </w:r>
    </w:p>
    <w:p w14:paraId="3726424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买方支付预付款后，如卖方未履行合同义务，则买方有权收回预付款；如卖方依约履行了合同义务，则预付款抵作合同价款。</w:t>
      </w:r>
    </w:p>
    <w:p w14:paraId="5BC734B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3.2.2 交货款 </w:t>
      </w:r>
    </w:p>
    <w:p w14:paraId="51EA368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卖方按合同约定交付全部合同设备后，买方在收到卖方提交的下列全部单据并经审核无误后28日内，向卖方支付合同价格的60%：</w:t>
      </w:r>
    </w:p>
    <w:p w14:paraId="2CB48C7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（1）卖方出具的交货清单正本一份；</w:t>
      </w:r>
    </w:p>
    <w:p w14:paraId="4BF20E3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（2）买方签署的收货清单正本一份；</w:t>
      </w:r>
    </w:p>
    <w:p w14:paraId="637FC66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（3）制造商出具的出厂质量合格证正本一份；</w:t>
      </w:r>
    </w:p>
    <w:p w14:paraId="64FE280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（4）合同价格100%金额的增值税发票正本一份。</w:t>
      </w:r>
    </w:p>
    <w:p w14:paraId="5B5DBF4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3.2.3 验收款 买方在收到卖方提交的买卖双方签署的合同设备验收证书或已生效的验收款支付函正本一份并经审核无误后28日内，向卖方支付合同价格的25%。</w:t>
      </w:r>
    </w:p>
    <w:p w14:paraId="075E5308">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3.2.4 </w:t>
      </w:r>
      <w:r>
        <w:rPr>
          <w:rFonts w:hint="eastAsia" w:ascii="宋体" w:hAnsi="宋体" w:eastAsia="宋体" w:cs="宋体"/>
          <w:color w:val="000000"/>
          <w:spacing w:val="-6"/>
          <w:kern w:val="2"/>
          <w:sz w:val="21"/>
          <w:szCs w:val="21"/>
          <w:highlight w:val="none"/>
          <w:lang w:val="en-US" w:eastAsia="zh-CN" w:bidi="ar-SA"/>
        </w:rPr>
        <w:t>结清款 买方在收到卖方提交的买方签署的质量保证期届满证书或已生效的结清款支付函正本一份并经审核无误后28日内，</w:t>
      </w:r>
      <w:r>
        <w:rPr>
          <w:rFonts w:hint="eastAsia" w:ascii="宋体" w:hAnsi="宋体" w:eastAsia="宋体" w:cs="宋体"/>
          <w:spacing w:val="-6"/>
          <w:kern w:val="2"/>
          <w:sz w:val="21"/>
          <w:szCs w:val="21"/>
          <w:highlight w:val="none"/>
          <w:lang w:val="en-US" w:eastAsia="zh-CN" w:bidi="ar-SA"/>
        </w:rPr>
        <w:t>向卖方支付合同价格的5%。如果依照合同第9.1项，卖方应向买方支付费用的，买方有权从结清款中直接扣除该笔费用。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6B2410C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50" w:name="_bookmark117"/>
      <w:bookmarkEnd w:id="450"/>
      <w:bookmarkStart w:id="451" w:name="_Toc26142"/>
      <w:bookmarkStart w:id="452" w:name="_Toc21224"/>
      <w:bookmarkStart w:id="453" w:name="_Toc28555"/>
      <w:bookmarkStart w:id="454" w:name="_Toc6228"/>
      <w:r>
        <w:rPr>
          <w:rFonts w:hint="eastAsia" w:ascii="宋体" w:hAnsi="宋体" w:eastAsia="宋体" w:cs="宋体"/>
          <w:kern w:val="0"/>
          <w:sz w:val="21"/>
          <w:szCs w:val="21"/>
          <w:highlight w:val="none"/>
          <w:lang w:val="en-US" w:eastAsia="zh-CN" w:bidi="ar-SA"/>
        </w:rPr>
        <w:t>3.3  买方扣款的权利</w:t>
      </w:r>
      <w:bookmarkEnd w:id="451"/>
      <w:bookmarkEnd w:id="452"/>
      <w:bookmarkEnd w:id="453"/>
      <w:bookmarkEnd w:id="454"/>
    </w:p>
    <w:p w14:paraId="1E83C6B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当卖方应向买方支付合同项下的违约金或赔偿金时，买方有权从上述任何一笔应付款中予以直接扣除和（或）兑付履约保证金。</w:t>
      </w:r>
    </w:p>
    <w:p w14:paraId="091AB34E">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55" w:name="_bookmark118"/>
      <w:bookmarkEnd w:id="455"/>
      <w:bookmarkStart w:id="456" w:name="_Toc62034474"/>
      <w:bookmarkStart w:id="457" w:name="_Toc8743"/>
      <w:bookmarkStart w:id="458" w:name="_Toc534572288"/>
      <w:bookmarkStart w:id="459" w:name="_Toc1887"/>
      <w:bookmarkStart w:id="460" w:name="_Toc22500"/>
      <w:bookmarkStart w:id="461" w:name="_Toc91344944"/>
      <w:bookmarkStart w:id="462" w:name="_Toc23342"/>
      <w:bookmarkStart w:id="463" w:name="_Toc16582"/>
      <w:bookmarkStart w:id="464" w:name="_Toc2546"/>
      <w:bookmarkStart w:id="465" w:name="_Toc54550756"/>
      <w:r>
        <w:rPr>
          <w:rFonts w:hint="eastAsia" w:ascii="宋体" w:hAnsi="宋体" w:eastAsia="宋体" w:cs="宋体"/>
          <w:b/>
          <w:bCs/>
          <w:kern w:val="0"/>
          <w:sz w:val="21"/>
          <w:szCs w:val="21"/>
          <w:highlight w:val="none"/>
          <w:lang w:val="en-US" w:eastAsia="zh-CN" w:bidi="ar-SA"/>
        </w:rPr>
        <w:t>4.监造及交货前检验</w:t>
      </w:r>
      <w:bookmarkEnd w:id="456"/>
      <w:bookmarkEnd w:id="457"/>
      <w:bookmarkEnd w:id="458"/>
      <w:bookmarkEnd w:id="459"/>
      <w:bookmarkEnd w:id="460"/>
      <w:bookmarkEnd w:id="461"/>
      <w:bookmarkEnd w:id="462"/>
      <w:bookmarkEnd w:id="463"/>
      <w:bookmarkEnd w:id="464"/>
      <w:bookmarkEnd w:id="465"/>
    </w:p>
    <w:p w14:paraId="7DCAEE7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66" w:name="_bookmark119"/>
      <w:bookmarkEnd w:id="466"/>
      <w:bookmarkStart w:id="467" w:name="_Toc23052"/>
      <w:bookmarkStart w:id="468" w:name="_Toc18619"/>
      <w:bookmarkStart w:id="469" w:name="_Toc28053"/>
      <w:bookmarkStart w:id="470" w:name="_Toc825"/>
      <w:r>
        <w:rPr>
          <w:rFonts w:hint="eastAsia" w:ascii="宋体" w:hAnsi="宋体" w:eastAsia="宋体" w:cs="宋体"/>
          <w:kern w:val="0"/>
          <w:sz w:val="21"/>
          <w:szCs w:val="21"/>
          <w:highlight w:val="none"/>
          <w:lang w:val="en-US" w:eastAsia="zh-CN" w:bidi="ar-SA"/>
        </w:rPr>
        <w:t>4.1  监造</w:t>
      </w:r>
      <w:bookmarkEnd w:id="467"/>
      <w:bookmarkEnd w:id="468"/>
      <w:bookmarkEnd w:id="469"/>
      <w:bookmarkEnd w:id="470"/>
    </w:p>
    <w:p w14:paraId="53D076A2">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专用合同条款约定买方对合同设备进行监造的，双方应按本款及专用合同条款约定履行。</w:t>
      </w:r>
    </w:p>
    <w:p w14:paraId="224489F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4.1.1 在合同设备的制造过程中，买方可派出监造人员，对合同设备的生产制造进行监造，监督合同设备制造、检验等情况。监造的范围、方式等应符合专用合同条款和（或）供货要求等合同文件的约定。</w:t>
      </w:r>
    </w:p>
    <w:p w14:paraId="57AE94F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4.1.2 </w:t>
      </w:r>
      <w:r>
        <w:rPr>
          <w:rFonts w:hint="eastAsia" w:ascii="宋体" w:hAnsi="宋体" w:eastAsia="宋体" w:cs="宋体"/>
          <w:spacing w:val="-4"/>
          <w:kern w:val="2"/>
          <w:sz w:val="21"/>
          <w:szCs w:val="21"/>
          <w:highlight w:val="none"/>
          <w:lang w:val="en-US" w:eastAsia="zh-CN" w:bidi="ar-SA"/>
        </w:rPr>
        <w:t>除专用合同条款和（或）供货要求等合同文件另有约定外，买方监造人员可到合同设</w:t>
      </w:r>
      <w:r>
        <w:rPr>
          <w:rFonts w:hint="eastAsia" w:ascii="宋体" w:hAnsi="宋体" w:eastAsia="宋体" w:cs="宋体"/>
          <w:spacing w:val="-1"/>
          <w:kern w:val="2"/>
          <w:sz w:val="21"/>
          <w:szCs w:val="21"/>
          <w:highlight w:val="none"/>
          <w:lang w:val="en-US" w:eastAsia="zh-CN" w:bidi="ar-SA"/>
        </w:rPr>
        <w:t>备及其关键部件的生产制造现场进行监造，卖方应予配合。卖方应免费为买方监造人员提供工作条件及便利，包括但不限于必要的办公场所、技术资料、检测工具及出入许可等。除专用合</w:t>
      </w:r>
      <w:r>
        <w:rPr>
          <w:rFonts w:hint="eastAsia" w:ascii="宋体" w:hAnsi="宋体" w:eastAsia="宋体" w:cs="宋体"/>
          <w:kern w:val="2"/>
          <w:sz w:val="21"/>
          <w:szCs w:val="21"/>
          <w:highlight w:val="none"/>
          <w:lang w:val="en-US" w:eastAsia="zh-CN" w:bidi="ar-SA"/>
        </w:rPr>
        <w:t>同条款另有约定外，买方监造人员的交通、食宿费用由买方承担。</w:t>
      </w:r>
    </w:p>
    <w:p w14:paraId="06AFBCC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4.1.3 </w:t>
      </w:r>
      <w:r>
        <w:rPr>
          <w:rFonts w:hint="eastAsia" w:ascii="宋体" w:hAnsi="宋体" w:eastAsia="宋体" w:cs="宋体"/>
          <w:spacing w:val="-4"/>
          <w:kern w:val="2"/>
          <w:sz w:val="21"/>
          <w:szCs w:val="21"/>
          <w:highlight w:val="none"/>
          <w:lang w:val="en-US" w:eastAsia="zh-CN" w:bidi="ar-SA"/>
        </w:rPr>
        <w:t>卖方制订生产制造合同设备的进度计划时，应将买方监造纳入计划安排，并提前通知</w:t>
      </w:r>
      <w:r>
        <w:rPr>
          <w:rFonts w:hint="eastAsia" w:ascii="宋体" w:hAnsi="宋体" w:eastAsia="宋体" w:cs="宋体"/>
          <w:spacing w:val="-1"/>
          <w:kern w:val="2"/>
          <w:sz w:val="21"/>
          <w:szCs w:val="21"/>
          <w:highlight w:val="none"/>
          <w:lang w:val="en-US" w:eastAsia="zh-CN" w:bidi="ar-SA"/>
        </w:rPr>
        <w:t>买方；买方进行监造不应影响合同设备的正常生产。除专用合同条款和（或）供货要求等合同</w:t>
      </w:r>
      <w:r>
        <w:rPr>
          <w:rFonts w:hint="eastAsia" w:ascii="宋体" w:hAnsi="宋体" w:eastAsia="宋体" w:cs="宋体"/>
          <w:kern w:val="2"/>
          <w:sz w:val="21"/>
          <w:szCs w:val="21"/>
          <w:highlight w:val="none"/>
          <w:lang w:val="en-US" w:eastAsia="zh-CN" w:bidi="ar-SA"/>
        </w:rPr>
        <w:t>文件另有约定外，卖方应提前7</w:t>
      </w:r>
      <w:r>
        <w:rPr>
          <w:rFonts w:hint="eastAsia" w:ascii="宋体" w:hAnsi="宋体" w:eastAsia="宋体" w:cs="宋体"/>
          <w:spacing w:val="-29"/>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日将需要买方监造人员现场监造事项通知买方；如买方监造人员未</w:t>
      </w:r>
      <w:r>
        <w:rPr>
          <w:rFonts w:hint="eastAsia" w:ascii="宋体" w:hAnsi="宋体" w:eastAsia="宋体" w:cs="宋体"/>
          <w:spacing w:val="-3"/>
          <w:kern w:val="2"/>
          <w:sz w:val="21"/>
          <w:szCs w:val="21"/>
          <w:highlight w:val="none"/>
          <w:lang w:val="en-US" w:eastAsia="zh-CN" w:bidi="ar-SA"/>
        </w:rPr>
        <w:t>按</w:t>
      </w:r>
      <w:r>
        <w:rPr>
          <w:rFonts w:hint="eastAsia" w:ascii="宋体" w:hAnsi="宋体" w:eastAsia="宋体" w:cs="宋体"/>
          <w:kern w:val="2"/>
          <w:sz w:val="21"/>
          <w:szCs w:val="21"/>
          <w:highlight w:val="none"/>
          <w:lang w:val="en-US" w:eastAsia="zh-CN" w:bidi="ar-SA"/>
        </w:rPr>
        <w:t>通</w:t>
      </w:r>
      <w:r>
        <w:rPr>
          <w:rFonts w:hint="eastAsia" w:ascii="宋体" w:hAnsi="宋体" w:eastAsia="宋体" w:cs="宋体"/>
          <w:spacing w:val="-3"/>
          <w:kern w:val="2"/>
          <w:sz w:val="21"/>
          <w:szCs w:val="21"/>
          <w:highlight w:val="none"/>
          <w:lang w:val="en-US" w:eastAsia="zh-CN" w:bidi="ar-SA"/>
        </w:rPr>
        <w:t>知</w:t>
      </w:r>
      <w:r>
        <w:rPr>
          <w:rFonts w:hint="eastAsia" w:ascii="宋体" w:hAnsi="宋体" w:eastAsia="宋体" w:cs="宋体"/>
          <w:kern w:val="2"/>
          <w:sz w:val="21"/>
          <w:szCs w:val="21"/>
          <w:highlight w:val="none"/>
          <w:lang w:val="en-US" w:eastAsia="zh-CN" w:bidi="ar-SA"/>
        </w:rPr>
        <w:t>出席</w:t>
      </w:r>
      <w:r>
        <w:rPr>
          <w:rFonts w:hint="eastAsia" w:ascii="宋体" w:hAnsi="宋体" w:eastAsia="宋体" w:cs="宋体"/>
          <w:spacing w:val="-9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不</w:t>
      </w:r>
      <w:r>
        <w:rPr>
          <w:rFonts w:hint="eastAsia" w:ascii="宋体" w:hAnsi="宋体" w:eastAsia="宋体" w:cs="宋体"/>
          <w:spacing w:val="-3"/>
          <w:kern w:val="2"/>
          <w:sz w:val="21"/>
          <w:szCs w:val="21"/>
          <w:highlight w:val="none"/>
          <w:lang w:val="en-US" w:eastAsia="zh-CN" w:bidi="ar-SA"/>
        </w:rPr>
        <w:t>影</w:t>
      </w:r>
      <w:r>
        <w:rPr>
          <w:rFonts w:hint="eastAsia" w:ascii="宋体" w:hAnsi="宋体" w:eastAsia="宋体" w:cs="宋体"/>
          <w:kern w:val="2"/>
          <w:sz w:val="21"/>
          <w:szCs w:val="21"/>
          <w:highlight w:val="none"/>
          <w:lang w:val="en-US" w:eastAsia="zh-CN" w:bidi="ar-SA"/>
        </w:rPr>
        <w:t>响</w:t>
      </w:r>
      <w:r>
        <w:rPr>
          <w:rFonts w:hint="eastAsia" w:ascii="宋体" w:hAnsi="宋体" w:eastAsia="宋体" w:cs="宋体"/>
          <w:spacing w:val="-3"/>
          <w:kern w:val="2"/>
          <w:sz w:val="21"/>
          <w:szCs w:val="21"/>
          <w:highlight w:val="none"/>
          <w:lang w:val="en-US" w:eastAsia="zh-CN" w:bidi="ar-SA"/>
        </w:rPr>
        <w:t>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及</w:t>
      </w:r>
      <w:r>
        <w:rPr>
          <w:rFonts w:hint="eastAsia" w:ascii="宋体" w:hAnsi="宋体" w:eastAsia="宋体" w:cs="宋体"/>
          <w:spacing w:val="-3"/>
          <w:kern w:val="2"/>
          <w:sz w:val="21"/>
          <w:szCs w:val="21"/>
          <w:highlight w:val="none"/>
          <w:lang w:val="en-US" w:eastAsia="zh-CN" w:bidi="ar-SA"/>
        </w:rPr>
        <w:t>其</w:t>
      </w:r>
      <w:r>
        <w:rPr>
          <w:rFonts w:hint="eastAsia" w:ascii="宋体" w:hAnsi="宋体" w:eastAsia="宋体" w:cs="宋体"/>
          <w:kern w:val="2"/>
          <w:sz w:val="21"/>
          <w:szCs w:val="21"/>
          <w:highlight w:val="none"/>
          <w:lang w:val="en-US" w:eastAsia="zh-CN" w:bidi="ar-SA"/>
        </w:rPr>
        <w:t>关</w:t>
      </w:r>
      <w:r>
        <w:rPr>
          <w:rFonts w:hint="eastAsia" w:ascii="宋体" w:hAnsi="宋体" w:eastAsia="宋体" w:cs="宋体"/>
          <w:spacing w:val="-3"/>
          <w:kern w:val="2"/>
          <w:sz w:val="21"/>
          <w:szCs w:val="21"/>
          <w:highlight w:val="none"/>
          <w:lang w:val="en-US" w:eastAsia="zh-CN" w:bidi="ar-SA"/>
        </w:rPr>
        <w:t>键</w:t>
      </w:r>
      <w:r>
        <w:rPr>
          <w:rFonts w:hint="eastAsia" w:ascii="宋体" w:hAnsi="宋体" w:eastAsia="宋体" w:cs="宋体"/>
          <w:kern w:val="2"/>
          <w:sz w:val="21"/>
          <w:szCs w:val="21"/>
          <w:highlight w:val="none"/>
          <w:lang w:val="en-US" w:eastAsia="zh-CN" w:bidi="ar-SA"/>
        </w:rPr>
        <w:t>部</w:t>
      </w:r>
      <w:r>
        <w:rPr>
          <w:rFonts w:hint="eastAsia" w:ascii="宋体" w:hAnsi="宋体" w:eastAsia="宋体" w:cs="宋体"/>
          <w:spacing w:val="-3"/>
          <w:kern w:val="2"/>
          <w:sz w:val="21"/>
          <w:szCs w:val="21"/>
          <w:highlight w:val="none"/>
          <w:lang w:val="en-US" w:eastAsia="zh-CN" w:bidi="ar-SA"/>
        </w:rPr>
        <w:t>件</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制</w:t>
      </w:r>
      <w:r>
        <w:rPr>
          <w:rFonts w:hint="eastAsia" w:ascii="宋体" w:hAnsi="宋体" w:eastAsia="宋体" w:cs="宋体"/>
          <w:kern w:val="2"/>
          <w:sz w:val="21"/>
          <w:szCs w:val="21"/>
          <w:highlight w:val="none"/>
          <w:lang w:val="en-US" w:eastAsia="zh-CN" w:bidi="ar-SA"/>
        </w:rPr>
        <w:t>造或</w:t>
      </w:r>
      <w:r>
        <w:rPr>
          <w:rFonts w:hint="eastAsia" w:ascii="宋体" w:hAnsi="宋体" w:eastAsia="宋体" w:cs="宋体"/>
          <w:spacing w:val="-3"/>
          <w:kern w:val="2"/>
          <w:sz w:val="21"/>
          <w:szCs w:val="21"/>
          <w:highlight w:val="none"/>
          <w:lang w:val="en-US" w:eastAsia="zh-CN" w:bidi="ar-SA"/>
        </w:rPr>
        <w:t>检</w:t>
      </w:r>
      <w:r>
        <w:rPr>
          <w:rFonts w:hint="eastAsia" w:ascii="宋体" w:hAnsi="宋体" w:eastAsia="宋体" w:cs="宋体"/>
          <w:kern w:val="2"/>
          <w:sz w:val="21"/>
          <w:szCs w:val="21"/>
          <w:highlight w:val="none"/>
          <w:lang w:val="en-US" w:eastAsia="zh-CN" w:bidi="ar-SA"/>
        </w:rPr>
        <w:t>验</w:t>
      </w:r>
      <w:r>
        <w:rPr>
          <w:rFonts w:hint="eastAsia" w:ascii="宋体" w:hAnsi="宋体" w:eastAsia="宋体" w:cs="宋体"/>
          <w:spacing w:val="-92"/>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但</w:t>
      </w:r>
      <w:r>
        <w:rPr>
          <w:rFonts w:hint="eastAsia" w:ascii="宋体" w:hAnsi="宋体" w:eastAsia="宋体" w:cs="宋体"/>
          <w:kern w:val="2"/>
          <w:sz w:val="21"/>
          <w:szCs w:val="21"/>
          <w:highlight w:val="none"/>
          <w:lang w:val="en-US" w:eastAsia="zh-CN" w:bidi="ar-SA"/>
        </w:rPr>
        <w:t>买</w:t>
      </w:r>
      <w:r>
        <w:rPr>
          <w:rFonts w:hint="eastAsia" w:ascii="宋体" w:hAnsi="宋体" w:eastAsia="宋体" w:cs="宋体"/>
          <w:spacing w:val="-3"/>
          <w:kern w:val="2"/>
          <w:sz w:val="21"/>
          <w:szCs w:val="21"/>
          <w:highlight w:val="none"/>
          <w:lang w:val="en-US" w:eastAsia="zh-CN" w:bidi="ar-SA"/>
        </w:rPr>
        <w:t>方</w:t>
      </w:r>
      <w:r>
        <w:rPr>
          <w:rFonts w:hint="eastAsia" w:ascii="宋体" w:hAnsi="宋体" w:eastAsia="宋体" w:cs="宋体"/>
          <w:kern w:val="2"/>
          <w:sz w:val="21"/>
          <w:szCs w:val="21"/>
          <w:highlight w:val="none"/>
          <w:lang w:val="en-US" w:eastAsia="zh-CN" w:bidi="ar-SA"/>
        </w:rPr>
        <w:t>监</w:t>
      </w:r>
      <w:r>
        <w:rPr>
          <w:rFonts w:hint="eastAsia" w:ascii="宋体" w:hAnsi="宋体" w:eastAsia="宋体" w:cs="宋体"/>
          <w:spacing w:val="-3"/>
          <w:kern w:val="2"/>
          <w:sz w:val="21"/>
          <w:szCs w:val="21"/>
          <w:highlight w:val="none"/>
          <w:lang w:val="en-US" w:eastAsia="zh-CN" w:bidi="ar-SA"/>
        </w:rPr>
        <w:t>造</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员</w:t>
      </w:r>
      <w:r>
        <w:rPr>
          <w:rFonts w:hint="eastAsia" w:ascii="宋体" w:hAnsi="宋体" w:eastAsia="宋体" w:cs="宋体"/>
          <w:kern w:val="2"/>
          <w:sz w:val="21"/>
          <w:szCs w:val="21"/>
          <w:highlight w:val="none"/>
          <w:lang w:val="en-US" w:eastAsia="zh-CN" w:bidi="ar-SA"/>
        </w:rPr>
        <w:t>有权</w:t>
      </w:r>
      <w:r>
        <w:rPr>
          <w:rFonts w:hint="eastAsia" w:ascii="宋体" w:hAnsi="宋体" w:eastAsia="宋体" w:cs="宋体"/>
          <w:spacing w:val="-3"/>
          <w:kern w:val="2"/>
          <w:sz w:val="21"/>
          <w:szCs w:val="21"/>
          <w:highlight w:val="none"/>
          <w:lang w:val="en-US" w:eastAsia="zh-CN" w:bidi="ar-SA"/>
        </w:rPr>
        <w:t>事</w:t>
      </w:r>
      <w:r>
        <w:rPr>
          <w:rFonts w:hint="eastAsia" w:ascii="宋体" w:hAnsi="宋体" w:eastAsia="宋体" w:cs="宋体"/>
          <w:kern w:val="2"/>
          <w:sz w:val="21"/>
          <w:szCs w:val="21"/>
          <w:highlight w:val="none"/>
          <w:lang w:val="en-US" w:eastAsia="zh-CN" w:bidi="ar-SA"/>
        </w:rPr>
        <w:t>后</w:t>
      </w:r>
      <w:r>
        <w:rPr>
          <w:rFonts w:hint="eastAsia" w:ascii="宋体" w:hAnsi="宋体" w:eastAsia="宋体" w:cs="宋体"/>
          <w:spacing w:val="-3"/>
          <w:kern w:val="2"/>
          <w:sz w:val="21"/>
          <w:szCs w:val="21"/>
          <w:highlight w:val="none"/>
          <w:lang w:val="en-US" w:eastAsia="zh-CN" w:bidi="ar-SA"/>
        </w:rPr>
        <w:t>了解</w:t>
      </w:r>
      <w:r>
        <w:rPr>
          <w:rFonts w:hint="eastAsia" w:ascii="宋体" w:hAnsi="宋体" w:eastAsia="宋体" w:cs="宋体"/>
          <w:kern w:val="2"/>
          <w:sz w:val="21"/>
          <w:szCs w:val="21"/>
          <w:highlight w:val="none"/>
          <w:lang w:val="en-US" w:eastAsia="zh-CN" w:bidi="ar-SA"/>
        </w:rPr>
        <w:t>、查阅、复制相关制造或检验记录。</w:t>
      </w:r>
    </w:p>
    <w:p w14:paraId="2ADB00C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4.1.4 </w:t>
      </w:r>
      <w:r>
        <w:rPr>
          <w:rFonts w:hint="eastAsia" w:ascii="宋体" w:hAnsi="宋体" w:eastAsia="宋体" w:cs="宋体"/>
          <w:spacing w:val="-4"/>
          <w:kern w:val="2"/>
          <w:sz w:val="21"/>
          <w:szCs w:val="21"/>
          <w:highlight w:val="none"/>
          <w:lang w:val="en-US" w:eastAsia="zh-CN" w:bidi="ar-SA"/>
        </w:rPr>
        <w:t>买方监造人员在监造中如发现合同设备及其关键部件不符合合同约定的标准，则有权</w:t>
      </w:r>
      <w:r>
        <w:rPr>
          <w:rFonts w:hint="eastAsia" w:ascii="宋体" w:hAnsi="宋体" w:eastAsia="宋体" w:cs="宋体"/>
          <w:spacing w:val="-1"/>
          <w:kern w:val="2"/>
          <w:sz w:val="21"/>
          <w:szCs w:val="21"/>
          <w:highlight w:val="none"/>
          <w:lang w:val="en-US" w:eastAsia="zh-CN" w:bidi="ar-SA"/>
        </w:rPr>
        <w:t>提出意见和建议。卖方应采取必要措施消除合同设备的不符，由此增加的费用和（或）造成的</w:t>
      </w:r>
      <w:r>
        <w:rPr>
          <w:rFonts w:hint="eastAsia" w:ascii="宋体" w:hAnsi="宋体" w:eastAsia="宋体" w:cs="宋体"/>
          <w:kern w:val="2"/>
          <w:sz w:val="21"/>
          <w:szCs w:val="21"/>
          <w:highlight w:val="none"/>
          <w:lang w:val="en-US" w:eastAsia="zh-CN" w:bidi="ar-SA"/>
        </w:rPr>
        <w:t>延误由卖方负责。</w:t>
      </w:r>
    </w:p>
    <w:p w14:paraId="7EA9FE4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4.1.5 </w:t>
      </w:r>
      <w:r>
        <w:rPr>
          <w:rFonts w:hint="eastAsia" w:ascii="宋体" w:hAnsi="宋体" w:eastAsia="宋体" w:cs="宋体"/>
          <w:spacing w:val="-4"/>
          <w:kern w:val="2"/>
          <w:sz w:val="21"/>
          <w:szCs w:val="21"/>
          <w:highlight w:val="none"/>
          <w:lang w:val="en-US" w:eastAsia="zh-CN" w:bidi="ar-SA"/>
        </w:rPr>
        <w:t>买方监造人员对合同设备的监造，不视为对合同设备质量的确认，不影响卖方交货后</w:t>
      </w:r>
      <w:r>
        <w:rPr>
          <w:rFonts w:hint="eastAsia" w:ascii="宋体" w:hAnsi="宋体" w:eastAsia="宋体" w:cs="宋体"/>
          <w:spacing w:val="-1"/>
          <w:kern w:val="2"/>
          <w:sz w:val="21"/>
          <w:szCs w:val="21"/>
          <w:highlight w:val="none"/>
          <w:lang w:val="en-US" w:eastAsia="zh-CN" w:bidi="ar-SA"/>
        </w:rPr>
        <w:t>买方依照合同约定对合同设备提出质量异议和（或）退货的权利，也不免除卖方依照合同约定</w:t>
      </w:r>
      <w:r>
        <w:rPr>
          <w:rFonts w:hint="eastAsia" w:ascii="宋体" w:hAnsi="宋体" w:eastAsia="宋体" w:cs="宋体"/>
          <w:kern w:val="2"/>
          <w:sz w:val="21"/>
          <w:szCs w:val="21"/>
          <w:highlight w:val="none"/>
          <w:lang w:val="en-US" w:eastAsia="zh-CN" w:bidi="ar-SA"/>
        </w:rPr>
        <w:t>对合同设备所应承担的任何义务或责任。</w:t>
      </w:r>
    </w:p>
    <w:p w14:paraId="6AAE07D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71" w:name="_bookmark120"/>
      <w:bookmarkEnd w:id="471"/>
      <w:bookmarkStart w:id="472" w:name="_Toc27516"/>
      <w:bookmarkStart w:id="473" w:name="_Toc20163"/>
      <w:bookmarkStart w:id="474" w:name="_Toc7823"/>
      <w:bookmarkStart w:id="475" w:name="_Toc16872"/>
      <w:r>
        <w:rPr>
          <w:rFonts w:hint="eastAsia" w:ascii="宋体" w:hAnsi="宋体" w:eastAsia="宋体" w:cs="宋体"/>
          <w:kern w:val="0"/>
          <w:sz w:val="21"/>
          <w:szCs w:val="21"/>
          <w:highlight w:val="none"/>
          <w:lang w:val="en-US" w:eastAsia="zh-CN" w:bidi="ar-SA"/>
        </w:rPr>
        <w:t>4.2  交货前检验</w:t>
      </w:r>
      <w:bookmarkEnd w:id="472"/>
      <w:bookmarkEnd w:id="473"/>
      <w:bookmarkEnd w:id="474"/>
      <w:bookmarkEnd w:id="475"/>
    </w:p>
    <w:p w14:paraId="3C924E8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专用合同条款约定买方参与交货前检验的，双方应按本款及专用合同条款约定履行。</w:t>
      </w:r>
    </w:p>
    <w:p w14:paraId="211AD99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4.2.1 </w:t>
      </w:r>
      <w:r>
        <w:rPr>
          <w:rFonts w:hint="eastAsia" w:ascii="宋体" w:hAnsi="宋体" w:eastAsia="宋体" w:cs="宋体"/>
          <w:spacing w:val="-4"/>
          <w:kern w:val="2"/>
          <w:sz w:val="21"/>
          <w:szCs w:val="21"/>
          <w:highlight w:val="none"/>
          <w:lang w:val="en-US" w:eastAsia="zh-CN" w:bidi="ar-SA"/>
        </w:rPr>
        <w:t>合同设备交货前，卖方应会同买方代表根据合同约定对合同设备进行交货前检验并出</w:t>
      </w:r>
      <w:r>
        <w:rPr>
          <w:rFonts w:hint="eastAsia" w:ascii="宋体" w:hAnsi="宋体" w:eastAsia="宋体" w:cs="宋体"/>
          <w:spacing w:val="-1"/>
          <w:kern w:val="2"/>
          <w:sz w:val="21"/>
          <w:szCs w:val="21"/>
          <w:highlight w:val="none"/>
          <w:lang w:val="en-US" w:eastAsia="zh-CN" w:bidi="ar-SA"/>
        </w:rPr>
        <w:t>具交货前检验记录，有关费用由卖方承担。卖方应免费为买方代表提供工作条件及便利，包括但不限于必要的办公场所、技术资料、检测工具及出入许可等。除专用合同条款另有约定外，</w:t>
      </w:r>
      <w:r>
        <w:rPr>
          <w:rFonts w:hint="eastAsia" w:ascii="宋体" w:hAnsi="宋体" w:eastAsia="宋体" w:cs="宋体"/>
          <w:kern w:val="2"/>
          <w:sz w:val="21"/>
          <w:szCs w:val="21"/>
          <w:highlight w:val="none"/>
          <w:lang w:val="en-US" w:eastAsia="zh-CN" w:bidi="ar-SA"/>
        </w:rPr>
        <w:t>买方代表的交通、食宿费用由买方承担。</w:t>
      </w:r>
    </w:p>
    <w:p w14:paraId="2442AD2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4.2.2 </w:t>
      </w:r>
      <w:r>
        <w:rPr>
          <w:rFonts w:hint="eastAsia" w:ascii="宋体" w:hAnsi="宋体" w:eastAsia="宋体" w:cs="宋体"/>
          <w:spacing w:val="-4"/>
          <w:kern w:val="2"/>
          <w:sz w:val="21"/>
          <w:szCs w:val="21"/>
          <w:highlight w:val="none"/>
          <w:lang w:val="en-US" w:eastAsia="zh-CN" w:bidi="ar-SA"/>
        </w:rPr>
        <w:t>除专用合同条款和（或）供货要求等合同文件另有约定外，卖方应提前</w:t>
      </w:r>
      <w:r>
        <w:rPr>
          <w:rFonts w:hint="eastAsia" w:ascii="宋体" w:hAnsi="宋体" w:eastAsia="宋体" w:cs="宋体"/>
          <w:kern w:val="2"/>
          <w:sz w:val="21"/>
          <w:szCs w:val="21"/>
          <w:highlight w:val="none"/>
          <w:lang w:val="en-US" w:eastAsia="zh-CN" w:bidi="ar-SA"/>
        </w:rPr>
        <w:t>7日将需要买</w:t>
      </w:r>
      <w:r>
        <w:rPr>
          <w:rFonts w:hint="eastAsia" w:ascii="宋体" w:hAnsi="宋体" w:eastAsia="宋体" w:cs="宋体"/>
          <w:spacing w:val="-1"/>
          <w:kern w:val="2"/>
          <w:sz w:val="21"/>
          <w:szCs w:val="21"/>
          <w:highlight w:val="none"/>
          <w:lang w:val="en-US" w:eastAsia="zh-CN" w:bidi="ar-SA"/>
        </w:rPr>
        <w:t>方代表检验事项通知买方；如买方代表未按通知出席，不影响合同设备的检验。若卖方未依照合同约定提前通知买方而自行检验，则买方有权要求卖方暂停发货并重新进行检验，由此增加</w:t>
      </w:r>
      <w:r>
        <w:rPr>
          <w:rFonts w:hint="eastAsia" w:ascii="宋体" w:hAnsi="宋体" w:eastAsia="宋体" w:cs="宋体"/>
          <w:kern w:val="2"/>
          <w:sz w:val="21"/>
          <w:szCs w:val="21"/>
          <w:highlight w:val="none"/>
          <w:lang w:val="en-US" w:eastAsia="zh-CN" w:bidi="ar-SA"/>
        </w:rPr>
        <w:t>的费用和（或）造成的延误由卖方负责。</w:t>
      </w:r>
    </w:p>
    <w:p w14:paraId="4D3AE2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4.2.3 </w:t>
      </w:r>
      <w:r>
        <w:rPr>
          <w:rFonts w:hint="eastAsia" w:ascii="宋体" w:hAnsi="宋体" w:eastAsia="宋体" w:cs="宋体"/>
          <w:spacing w:val="-4"/>
          <w:kern w:val="2"/>
          <w:sz w:val="21"/>
          <w:szCs w:val="21"/>
          <w:highlight w:val="none"/>
          <w:lang w:val="en-US" w:eastAsia="zh-CN" w:bidi="ar-SA"/>
        </w:rPr>
        <w:t>买方代表在检验中如发现合同设备不符合合同约定的标准，则有权提出异议。卖方应</w:t>
      </w:r>
      <w:r>
        <w:rPr>
          <w:rFonts w:hint="eastAsia" w:ascii="宋体" w:hAnsi="宋体" w:eastAsia="宋体" w:cs="宋体"/>
          <w:kern w:val="2"/>
          <w:sz w:val="21"/>
          <w:szCs w:val="21"/>
          <w:highlight w:val="none"/>
          <w:lang w:val="en-US" w:eastAsia="zh-CN" w:bidi="ar-SA"/>
        </w:rPr>
        <w:t>采取必要措施消除合同设备的不符，由此增加的费用和（或）造成的延误由卖方负责。</w:t>
      </w:r>
    </w:p>
    <w:p w14:paraId="25EB671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4.2.4 </w:t>
      </w:r>
      <w:r>
        <w:rPr>
          <w:rFonts w:hint="eastAsia" w:ascii="宋体" w:hAnsi="宋体" w:eastAsia="宋体" w:cs="宋体"/>
          <w:spacing w:val="-4"/>
          <w:kern w:val="2"/>
          <w:sz w:val="21"/>
          <w:szCs w:val="21"/>
          <w:highlight w:val="none"/>
          <w:lang w:val="en-US" w:eastAsia="zh-CN" w:bidi="ar-SA"/>
        </w:rPr>
        <w:t>买方代表参与交货前检验及签署交货前检验记录的行为，不视为对合同设备质量的确</w:t>
      </w:r>
      <w:r>
        <w:rPr>
          <w:rFonts w:hint="eastAsia" w:ascii="宋体" w:hAnsi="宋体" w:eastAsia="宋体" w:cs="宋体"/>
          <w:spacing w:val="-1"/>
          <w:kern w:val="2"/>
          <w:sz w:val="21"/>
          <w:szCs w:val="21"/>
          <w:highlight w:val="none"/>
          <w:lang w:val="en-US" w:eastAsia="zh-CN" w:bidi="ar-SA"/>
        </w:rPr>
        <w:t>认，不影响卖方交货后买方依照合同约定对合同设备提出质量异议和（或）退货的权利，也不</w:t>
      </w:r>
      <w:r>
        <w:rPr>
          <w:rFonts w:hint="eastAsia" w:ascii="宋体" w:hAnsi="宋体" w:eastAsia="宋体" w:cs="宋体"/>
          <w:kern w:val="2"/>
          <w:sz w:val="21"/>
          <w:szCs w:val="21"/>
          <w:highlight w:val="none"/>
          <w:lang w:val="en-US" w:eastAsia="zh-CN" w:bidi="ar-SA"/>
        </w:rPr>
        <w:t>免除卖方依照合同约定对合同设备所应承担的任何义务或责任。</w:t>
      </w:r>
    </w:p>
    <w:p w14:paraId="549D753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476" w:name="_bookmark121"/>
      <w:bookmarkEnd w:id="476"/>
      <w:bookmarkStart w:id="477" w:name="_Toc54550757"/>
      <w:bookmarkStart w:id="478" w:name="_Toc802"/>
      <w:bookmarkStart w:id="479" w:name="_Toc28090"/>
      <w:bookmarkStart w:id="480" w:name="_Toc19401"/>
      <w:bookmarkStart w:id="481" w:name="_Toc534572289"/>
      <w:bookmarkStart w:id="482" w:name="_Toc62034475"/>
      <w:bookmarkStart w:id="483" w:name="_Toc91344945"/>
      <w:bookmarkStart w:id="484" w:name="_Toc18249"/>
      <w:r>
        <w:rPr>
          <w:rFonts w:hint="eastAsia" w:ascii="宋体" w:hAnsi="宋体" w:eastAsia="宋体" w:cs="宋体"/>
          <w:b/>
          <w:bCs/>
          <w:kern w:val="0"/>
          <w:sz w:val="21"/>
          <w:szCs w:val="21"/>
          <w:highlight w:val="none"/>
          <w:lang w:val="en-US" w:eastAsia="zh-CN" w:bidi="ar-SA"/>
        </w:rPr>
        <w:t>5.包装、标记、运输和交付</w:t>
      </w:r>
      <w:bookmarkEnd w:id="477"/>
      <w:bookmarkEnd w:id="478"/>
      <w:bookmarkEnd w:id="479"/>
      <w:bookmarkEnd w:id="480"/>
      <w:bookmarkEnd w:id="481"/>
      <w:bookmarkEnd w:id="482"/>
      <w:bookmarkEnd w:id="483"/>
      <w:bookmarkEnd w:id="484"/>
    </w:p>
    <w:p w14:paraId="791C4E2F">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85" w:name="_bookmark122"/>
      <w:bookmarkEnd w:id="485"/>
      <w:bookmarkStart w:id="486" w:name="_Toc23966"/>
      <w:bookmarkStart w:id="487" w:name="_Toc1923"/>
      <w:bookmarkStart w:id="488" w:name="_Toc16745"/>
      <w:bookmarkStart w:id="489" w:name="_Toc10180"/>
      <w:r>
        <w:rPr>
          <w:rFonts w:hint="eastAsia" w:ascii="宋体" w:hAnsi="宋体" w:eastAsia="宋体" w:cs="宋体"/>
          <w:kern w:val="0"/>
          <w:sz w:val="21"/>
          <w:szCs w:val="21"/>
          <w:highlight w:val="none"/>
          <w:lang w:val="en-US" w:eastAsia="zh-CN" w:bidi="ar-SA"/>
        </w:rPr>
        <w:t>5.1  包装</w:t>
      </w:r>
      <w:bookmarkEnd w:id="486"/>
      <w:bookmarkEnd w:id="487"/>
      <w:bookmarkEnd w:id="488"/>
      <w:bookmarkEnd w:id="489"/>
    </w:p>
    <w:p w14:paraId="6994525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5.1.1 卖方应对合同设备进行妥善包装，以满足合同设备运至施工场地及在施工场地保管的 需要。包装应采取防潮、防晒、防锈、防腐蚀、防震动及防止其它损坏的必要保护措施，从而保护合同设备能够经受多次搬运、装卸、长途运输并适宜保管。</w:t>
      </w:r>
    </w:p>
    <w:p w14:paraId="058AE3B1">
      <w:pPr>
        <w:widowControl w:val="0"/>
        <w:spacing w:beforeLines="0" w:after="0" w:afterLines="0" w:line="360" w:lineRule="auto"/>
        <w:ind w:left="0" w:right="0"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5.1.2 </w:t>
      </w:r>
      <w:r>
        <w:rPr>
          <w:rFonts w:hint="eastAsia" w:ascii="宋体" w:hAnsi="宋体" w:eastAsia="宋体" w:cs="宋体"/>
          <w:spacing w:val="-6"/>
          <w:kern w:val="2"/>
          <w:sz w:val="21"/>
          <w:szCs w:val="21"/>
          <w:highlight w:val="none"/>
          <w:lang w:val="en-US" w:eastAsia="zh-CN" w:bidi="ar-SA"/>
        </w:rPr>
        <w:t>每个独立包装箱内应附装箱清单、质量合格证、装配图、说明书、操作指南等资料。</w:t>
      </w:r>
    </w:p>
    <w:p w14:paraId="76C9B84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5.1.3 除专用合同条款另有约定外，买方无需将包装物退还给卖方。</w:t>
      </w:r>
    </w:p>
    <w:p w14:paraId="7408351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90" w:name="_bookmark123"/>
      <w:bookmarkEnd w:id="490"/>
      <w:bookmarkStart w:id="491" w:name="_Toc29449"/>
      <w:bookmarkStart w:id="492" w:name="_Toc22377"/>
      <w:bookmarkStart w:id="493" w:name="_Toc27228"/>
      <w:bookmarkStart w:id="494" w:name="_Toc27933"/>
      <w:r>
        <w:rPr>
          <w:rFonts w:hint="eastAsia" w:ascii="宋体" w:hAnsi="宋体" w:eastAsia="宋体" w:cs="宋体"/>
          <w:kern w:val="0"/>
          <w:sz w:val="21"/>
          <w:szCs w:val="21"/>
          <w:highlight w:val="none"/>
          <w:lang w:val="en-US" w:eastAsia="zh-CN" w:bidi="ar-SA"/>
        </w:rPr>
        <w:t>5.2  标记</w:t>
      </w:r>
      <w:bookmarkEnd w:id="491"/>
      <w:bookmarkEnd w:id="492"/>
      <w:bookmarkEnd w:id="493"/>
      <w:bookmarkEnd w:id="494"/>
    </w:p>
    <w:p w14:paraId="6450F0C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5.2.1 </w:t>
      </w:r>
      <w:r>
        <w:rPr>
          <w:rFonts w:hint="eastAsia" w:ascii="宋体" w:hAnsi="宋体" w:eastAsia="宋体" w:cs="宋体"/>
          <w:spacing w:val="-4"/>
          <w:kern w:val="2"/>
          <w:sz w:val="21"/>
          <w:szCs w:val="21"/>
          <w:highlight w:val="none"/>
          <w:lang w:val="en-US" w:eastAsia="zh-CN" w:bidi="ar-SA"/>
        </w:rPr>
        <w:t>除专用合同条款另有约定外，卖方应在每一包装箱相邻的四个侧面以不可擦除的、明</w:t>
      </w:r>
      <w:r>
        <w:rPr>
          <w:rFonts w:hint="eastAsia" w:ascii="宋体" w:hAnsi="宋体" w:eastAsia="宋体" w:cs="宋体"/>
          <w:kern w:val="2"/>
          <w:sz w:val="21"/>
          <w:szCs w:val="21"/>
          <w:highlight w:val="none"/>
          <w:lang w:val="en-US" w:eastAsia="zh-CN" w:bidi="ar-SA"/>
        </w:rPr>
        <w:t>显的方式标记必要的装运信息和标记，以满足合同设备运输和保管的需要。</w:t>
      </w:r>
    </w:p>
    <w:p w14:paraId="43D16157">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5.2.2 根据合同设备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中含有易燃易爆物品、腐蚀物品、放射性物质等危险品，则应在包装箱上标明危险品标志。</w:t>
      </w:r>
    </w:p>
    <w:p w14:paraId="1B58FF96">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495" w:name="_bookmark124"/>
      <w:bookmarkEnd w:id="495"/>
      <w:bookmarkStart w:id="496" w:name="_Toc23011"/>
      <w:bookmarkStart w:id="497" w:name="_Toc31248"/>
      <w:bookmarkStart w:id="498" w:name="_Toc25892"/>
      <w:bookmarkStart w:id="499" w:name="_Toc26803"/>
      <w:r>
        <w:rPr>
          <w:rFonts w:hint="eastAsia" w:ascii="宋体" w:hAnsi="宋体" w:eastAsia="宋体" w:cs="宋体"/>
          <w:kern w:val="0"/>
          <w:sz w:val="21"/>
          <w:szCs w:val="21"/>
          <w:highlight w:val="none"/>
          <w:lang w:val="en-US" w:eastAsia="zh-CN" w:bidi="ar-SA"/>
        </w:rPr>
        <w:t>5.3  运输</w:t>
      </w:r>
      <w:bookmarkEnd w:id="496"/>
      <w:bookmarkEnd w:id="497"/>
      <w:bookmarkEnd w:id="498"/>
      <w:bookmarkEnd w:id="499"/>
    </w:p>
    <w:p w14:paraId="71B3FF8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5.3.1 卖方应自行选择适宜的运输工具及线路安排合同设备运输。</w:t>
      </w:r>
    </w:p>
    <w:p w14:paraId="2E2768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5.3.2 </w:t>
      </w:r>
      <w:r>
        <w:rPr>
          <w:rFonts w:hint="eastAsia" w:ascii="宋体" w:hAnsi="宋体" w:eastAsia="宋体" w:cs="宋体"/>
          <w:spacing w:val="-4"/>
          <w:kern w:val="2"/>
          <w:sz w:val="21"/>
          <w:szCs w:val="21"/>
          <w:highlight w:val="none"/>
          <w:lang w:val="en-US" w:eastAsia="zh-CN" w:bidi="ar-SA"/>
        </w:rPr>
        <w:t>除专用合同条款另有约定外，每件能够独立运行的设备应整套装运。该设备安装、调</w:t>
      </w:r>
      <w:r>
        <w:rPr>
          <w:rFonts w:hint="eastAsia" w:ascii="宋体" w:hAnsi="宋体" w:eastAsia="宋体" w:cs="宋体"/>
          <w:kern w:val="2"/>
          <w:sz w:val="21"/>
          <w:szCs w:val="21"/>
          <w:highlight w:val="none"/>
          <w:lang w:val="en-US" w:eastAsia="zh-CN" w:bidi="ar-SA"/>
        </w:rPr>
        <w:t>试、考核和运行所使用的备品、备件、易损易耗件等应随相关的主机一齐装运。</w:t>
      </w:r>
    </w:p>
    <w:p w14:paraId="2046FDFF">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5.3.3 除专用合同条款另有约定外，卖方应在合同设备预计启运 7 日前，将合同设备名称、数量</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箱</w:t>
      </w:r>
      <w:r>
        <w:rPr>
          <w:rFonts w:hint="eastAsia" w:ascii="宋体" w:hAnsi="宋体" w:eastAsia="宋体" w:cs="宋体"/>
          <w:spacing w:val="-3"/>
          <w:kern w:val="2"/>
          <w:sz w:val="21"/>
          <w:szCs w:val="21"/>
          <w:highlight w:val="none"/>
          <w:lang w:val="en-US" w:eastAsia="zh-CN" w:bidi="ar-SA"/>
        </w:rPr>
        <w:t>数</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毛重</w:t>
      </w:r>
      <w:r>
        <w:rPr>
          <w:rFonts w:hint="eastAsia" w:ascii="宋体" w:hAnsi="宋体" w:eastAsia="宋体" w:cs="宋体"/>
          <w:spacing w:val="-3"/>
          <w:kern w:val="2"/>
          <w:sz w:val="21"/>
          <w:szCs w:val="21"/>
          <w:highlight w:val="none"/>
          <w:lang w:val="en-US" w:eastAsia="zh-CN" w:bidi="ar-SA"/>
        </w:rPr>
        <w:t>、总</w:t>
      </w:r>
      <w:r>
        <w:rPr>
          <w:rFonts w:hint="eastAsia" w:ascii="宋体" w:hAnsi="宋体" w:eastAsia="宋体" w:cs="宋体"/>
          <w:kern w:val="2"/>
          <w:sz w:val="21"/>
          <w:szCs w:val="21"/>
          <w:highlight w:val="none"/>
          <w:lang w:val="en-US" w:eastAsia="zh-CN" w:bidi="ar-SA"/>
        </w:rPr>
        <w:t>体积</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用</w:t>
      </w:r>
      <w:r>
        <w:rPr>
          <w:rFonts w:hint="eastAsia" w:ascii="宋体" w:hAnsi="宋体" w:eastAsia="宋体" w:cs="宋体"/>
          <w:spacing w:val="-4"/>
          <w:kern w:val="2"/>
          <w:sz w:val="21"/>
          <w:szCs w:val="21"/>
          <w:highlight w:val="none"/>
          <w:lang w:val="en-US" w:eastAsia="zh-CN" w:bidi="ar-SA"/>
        </w:rPr>
        <w:t>m³</w:t>
      </w:r>
      <w:r>
        <w:rPr>
          <w:rFonts w:hint="eastAsia" w:ascii="宋体" w:hAnsi="宋体" w:eastAsia="宋体" w:cs="宋体"/>
          <w:kern w:val="2"/>
          <w:sz w:val="21"/>
          <w:szCs w:val="21"/>
          <w:highlight w:val="none"/>
          <w:lang w:val="en-US" w:eastAsia="zh-CN" w:bidi="ar-SA"/>
        </w:rPr>
        <w:t>表示）、</w:t>
      </w:r>
      <w:r>
        <w:rPr>
          <w:rFonts w:hint="eastAsia" w:ascii="宋体" w:hAnsi="宋体" w:eastAsia="宋体" w:cs="宋体"/>
          <w:spacing w:val="-3"/>
          <w:kern w:val="2"/>
          <w:sz w:val="21"/>
          <w:szCs w:val="21"/>
          <w:highlight w:val="none"/>
          <w:lang w:val="en-US" w:eastAsia="zh-CN" w:bidi="ar-SA"/>
        </w:rPr>
        <w:t>每箱</w:t>
      </w:r>
      <w:r>
        <w:rPr>
          <w:rFonts w:hint="eastAsia" w:ascii="宋体" w:hAnsi="宋体" w:eastAsia="宋体" w:cs="宋体"/>
          <w:kern w:val="2"/>
          <w:sz w:val="21"/>
          <w:szCs w:val="21"/>
          <w:highlight w:val="none"/>
          <w:lang w:val="en-US" w:eastAsia="zh-CN" w:bidi="ar-SA"/>
        </w:rPr>
        <w:t>尺寸（</w:t>
      </w:r>
      <w:r>
        <w:rPr>
          <w:rFonts w:hint="eastAsia" w:ascii="宋体" w:hAnsi="宋体" w:eastAsia="宋体" w:cs="宋体"/>
          <w:spacing w:val="2"/>
          <w:kern w:val="2"/>
          <w:sz w:val="21"/>
          <w:szCs w:val="21"/>
          <w:highlight w:val="none"/>
          <w:lang w:val="en-US" w:eastAsia="zh-CN" w:bidi="ar-SA"/>
        </w:rPr>
        <w:t>长</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spacing w:val="2"/>
          <w:kern w:val="2"/>
          <w:sz w:val="21"/>
          <w:szCs w:val="21"/>
          <w:highlight w:val="none"/>
          <w:lang w:val="en-US" w:eastAsia="zh-CN" w:bidi="ar-SA"/>
        </w:rPr>
        <w:t>宽</w:t>
      </w:r>
      <w:r>
        <w:rPr>
          <w:rFonts w:hint="eastAsia" w:ascii="宋体" w:hAnsi="宋体" w:eastAsia="宋体" w:cs="宋体"/>
          <w:spacing w:val="-4"/>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高）</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装</w:t>
      </w:r>
      <w:r>
        <w:rPr>
          <w:rFonts w:hint="eastAsia" w:ascii="宋体" w:hAnsi="宋体" w:eastAsia="宋体" w:cs="宋体"/>
          <w:spacing w:val="-3"/>
          <w:kern w:val="2"/>
          <w:sz w:val="21"/>
          <w:szCs w:val="21"/>
          <w:highlight w:val="none"/>
          <w:lang w:val="en-US" w:eastAsia="zh-CN" w:bidi="ar-SA"/>
        </w:rPr>
        <w:t>运合</w:t>
      </w:r>
      <w:r>
        <w:rPr>
          <w:rFonts w:hint="eastAsia" w:ascii="宋体" w:hAnsi="宋体" w:eastAsia="宋体" w:cs="宋体"/>
          <w:kern w:val="2"/>
          <w:sz w:val="21"/>
          <w:szCs w:val="21"/>
          <w:highlight w:val="none"/>
          <w:lang w:val="en-US" w:eastAsia="zh-CN" w:bidi="ar-SA"/>
        </w:rPr>
        <w:t>同设</w:t>
      </w:r>
      <w:r>
        <w:rPr>
          <w:rFonts w:hint="eastAsia" w:ascii="宋体" w:hAnsi="宋体" w:eastAsia="宋体" w:cs="宋体"/>
          <w:spacing w:val="-3"/>
          <w:kern w:val="2"/>
          <w:sz w:val="21"/>
          <w:szCs w:val="21"/>
          <w:highlight w:val="none"/>
          <w:lang w:val="en-US" w:eastAsia="zh-CN" w:bidi="ar-SA"/>
        </w:rPr>
        <w:t>备</w:t>
      </w:r>
      <w:r>
        <w:rPr>
          <w:rFonts w:hint="eastAsia" w:ascii="宋体" w:hAnsi="宋体" w:eastAsia="宋体" w:cs="宋体"/>
          <w:kern w:val="2"/>
          <w:sz w:val="21"/>
          <w:szCs w:val="21"/>
          <w:highlight w:val="none"/>
          <w:lang w:val="en-US" w:eastAsia="zh-CN" w:bidi="ar-SA"/>
        </w:rPr>
        <w:t>总</w:t>
      </w:r>
      <w:r>
        <w:rPr>
          <w:rFonts w:hint="eastAsia" w:ascii="宋体" w:hAnsi="宋体" w:eastAsia="宋体" w:cs="宋体"/>
          <w:spacing w:val="-3"/>
          <w:kern w:val="2"/>
          <w:sz w:val="21"/>
          <w:szCs w:val="21"/>
          <w:highlight w:val="none"/>
          <w:lang w:val="en-US" w:eastAsia="zh-CN" w:bidi="ar-SA"/>
        </w:rPr>
        <w:t>金</w:t>
      </w:r>
      <w:r>
        <w:rPr>
          <w:rFonts w:hint="eastAsia" w:ascii="宋体" w:hAnsi="宋体" w:eastAsia="宋体" w:cs="宋体"/>
          <w:kern w:val="2"/>
          <w:sz w:val="21"/>
          <w:szCs w:val="21"/>
          <w:highlight w:val="none"/>
          <w:lang w:val="en-US" w:eastAsia="zh-CN" w:bidi="ar-SA"/>
        </w:rPr>
        <w:t>额、运输方式、预计交付日期和合同设备在运输、装卸、保管中的注意事项等预通知买方，并在合同设备启运后</w:t>
      </w:r>
      <w:r>
        <w:rPr>
          <w:rFonts w:hint="eastAsia" w:ascii="宋体" w:hAnsi="宋体" w:eastAsia="宋体" w:cs="宋体"/>
          <w:spacing w:val="-56"/>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24小时之内正式通知买方。</w:t>
      </w:r>
    </w:p>
    <w:p w14:paraId="36C29F6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5.3.4 卖方在根据第5.3.3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277A14C8">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00" w:name="_Toc21891"/>
      <w:bookmarkStart w:id="501" w:name="_Toc18833"/>
      <w:bookmarkStart w:id="502" w:name="_Toc30312"/>
      <w:bookmarkStart w:id="503" w:name="_Toc15766"/>
      <w:r>
        <w:rPr>
          <w:rFonts w:hint="eastAsia" w:ascii="宋体" w:hAnsi="宋体" w:eastAsia="宋体" w:cs="宋体"/>
          <w:kern w:val="0"/>
          <w:sz w:val="21"/>
          <w:szCs w:val="21"/>
          <w:highlight w:val="none"/>
          <w:lang w:val="en-US" w:eastAsia="zh-CN" w:bidi="ar-SA"/>
        </w:rPr>
        <w:t>5.4  交付</w:t>
      </w:r>
      <w:bookmarkEnd w:id="500"/>
      <w:bookmarkEnd w:id="501"/>
      <w:bookmarkEnd w:id="502"/>
      <w:bookmarkEnd w:id="503"/>
    </w:p>
    <w:p w14:paraId="0BDE467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6C29940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5.4.2 合同设备的所有权和风险自交付时起由卖方转移至买方，合同设备交付给买方之前包括运输在内的所有风险均由卖方承担。</w:t>
      </w:r>
    </w:p>
    <w:p w14:paraId="7F7B0CD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5.4.3 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3B0FCF7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04" w:name="_bookmark126"/>
      <w:bookmarkEnd w:id="504"/>
      <w:bookmarkStart w:id="505" w:name="_Toc21307"/>
      <w:bookmarkStart w:id="506" w:name="_Toc54550758"/>
      <w:bookmarkStart w:id="507" w:name="_Toc91344946"/>
      <w:bookmarkStart w:id="508" w:name="_Toc4062"/>
      <w:bookmarkStart w:id="509" w:name="_Toc10708"/>
      <w:bookmarkStart w:id="510" w:name="_Toc26149"/>
      <w:bookmarkStart w:id="511" w:name="_Toc534572290"/>
      <w:bookmarkStart w:id="512" w:name="_Toc62034476"/>
      <w:r>
        <w:rPr>
          <w:rFonts w:hint="eastAsia" w:ascii="宋体" w:hAnsi="宋体" w:eastAsia="宋体" w:cs="宋体"/>
          <w:b/>
          <w:bCs/>
          <w:kern w:val="0"/>
          <w:sz w:val="21"/>
          <w:szCs w:val="21"/>
          <w:highlight w:val="none"/>
          <w:lang w:val="en-US" w:eastAsia="zh-CN" w:bidi="ar-SA"/>
        </w:rPr>
        <w:t>6.开箱检验、安装、调试、考核、验收</w:t>
      </w:r>
      <w:bookmarkEnd w:id="505"/>
      <w:bookmarkEnd w:id="506"/>
      <w:bookmarkEnd w:id="507"/>
      <w:bookmarkEnd w:id="508"/>
      <w:bookmarkEnd w:id="509"/>
      <w:bookmarkEnd w:id="510"/>
      <w:bookmarkEnd w:id="511"/>
      <w:bookmarkEnd w:id="512"/>
    </w:p>
    <w:p w14:paraId="6A505461">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3" w:name="_bookmark127"/>
      <w:bookmarkEnd w:id="513"/>
      <w:r>
        <w:rPr>
          <w:rFonts w:hint="eastAsia" w:ascii="宋体" w:hAnsi="宋体" w:eastAsia="宋体" w:cs="宋体"/>
          <w:kern w:val="0"/>
          <w:sz w:val="21"/>
          <w:szCs w:val="21"/>
          <w:highlight w:val="none"/>
          <w:lang w:val="en-US" w:eastAsia="zh-CN" w:bidi="ar-SA"/>
        </w:rPr>
        <w:t>6.1  开箱检验</w:t>
      </w:r>
    </w:p>
    <w:p w14:paraId="6C5F9471">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合同设备交付后应进行开箱检验，即合同设备数量及外观检验。开箱检验在专用合同条款约定的下列任一种时间进行：</w:t>
      </w:r>
    </w:p>
    <w:p w14:paraId="377CD03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43AAF7D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（2）合同设备交付后的一定期限内。如开箱检验不在合同设备交付时进行，买方应在开箱检验3日前将开箱检验的时间和地点通知卖方。</w:t>
      </w:r>
    </w:p>
    <w:p w14:paraId="4369574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6.1.2 除专用合同条款另有约定外，合同设备的开箱检验应在施工场地进行。</w:t>
      </w:r>
    </w:p>
    <w:p w14:paraId="3E4CFCE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6.1.3 开箱检验由买卖双方共同进行，卖方应自负费用派遣代表到场参加开箱检验。</w:t>
      </w:r>
    </w:p>
    <w:p w14:paraId="63D790D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6.1.4 在开箱检验中，买方和卖方应共同签署数量、外观检验报告，报告应列明检验结果，包括检验合格或发现的任何短缺、损坏或其它与合同约定不符的情形。</w:t>
      </w:r>
    </w:p>
    <w:p w14:paraId="3E5AB06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6.1.5 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442BACA6">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6.1.6 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68942E5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6.1.7 如双方在专用合同条款和（或）供货要求等合同文件中约定由第三方检测机构对合同设备进行开箱检验或在开箱检验过程中另行约定由第三方检验的，则第三方检测机构的检验结果对双方均具有约束力。</w:t>
      </w:r>
    </w:p>
    <w:p w14:paraId="1816183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6.1.8 开箱检验的检验结果不能对抗在合同设备的安装、调试、考核、验收中及质量保证期内发现的合同设备质量问题，也不能免除或影响卖方依照合同约定对买方负有的包括合同设备质量在内的任何义务或责任。</w:t>
      </w:r>
    </w:p>
    <w:p w14:paraId="478EE53C">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4" w:name="_bookmark128"/>
      <w:bookmarkEnd w:id="514"/>
      <w:r>
        <w:rPr>
          <w:rFonts w:hint="eastAsia" w:ascii="宋体" w:hAnsi="宋体" w:eastAsia="宋体" w:cs="宋体"/>
          <w:kern w:val="0"/>
          <w:sz w:val="21"/>
          <w:szCs w:val="21"/>
          <w:highlight w:val="none"/>
          <w:lang w:val="en-US" w:eastAsia="zh-CN" w:bidi="ar-SA"/>
        </w:rPr>
        <w:t>6.2  安装、调试</w:t>
      </w:r>
    </w:p>
    <w:p w14:paraId="765B5A0D">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6.2.1 </w:t>
      </w:r>
      <w:r>
        <w:rPr>
          <w:rFonts w:hint="eastAsia" w:ascii="宋体" w:hAnsi="宋体" w:eastAsia="宋体" w:cs="宋体"/>
          <w:spacing w:val="-9"/>
          <w:kern w:val="2"/>
          <w:sz w:val="21"/>
          <w:szCs w:val="21"/>
          <w:highlight w:val="none"/>
          <w:lang w:val="en-US" w:eastAsia="zh-CN" w:bidi="ar-SA"/>
        </w:rPr>
        <w:t>开箱检验完成后，双方应对合同设备进行安装、调试，以使其具备考核的状态。安装、</w:t>
      </w:r>
      <w:r>
        <w:rPr>
          <w:rFonts w:hint="eastAsia" w:ascii="宋体" w:hAnsi="宋体" w:eastAsia="宋体" w:cs="宋体"/>
          <w:kern w:val="2"/>
          <w:sz w:val="21"/>
          <w:szCs w:val="21"/>
          <w:highlight w:val="none"/>
          <w:lang w:val="en-US" w:eastAsia="zh-CN" w:bidi="ar-SA"/>
        </w:rPr>
        <w:t>调试应按照专用合同条款约定的下列任一种方式进行：</w:t>
      </w:r>
    </w:p>
    <w:p w14:paraId="6C7ACFEC">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0418132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（2）买方或买方安排第三方负责合同设备的安装、调试工作，卖方提供技术服务。 </w:t>
      </w:r>
    </w:p>
    <w:p w14:paraId="12A3528F">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740E12A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6.2.2 </w:t>
      </w:r>
      <w:r>
        <w:rPr>
          <w:rFonts w:hint="eastAsia" w:ascii="宋体" w:hAnsi="宋体" w:eastAsia="宋体" w:cs="宋体"/>
          <w:spacing w:val="-4"/>
          <w:kern w:val="2"/>
          <w:sz w:val="21"/>
          <w:szCs w:val="21"/>
          <w:highlight w:val="none"/>
          <w:lang w:val="en-US" w:eastAsia="zh-CN" w:bidi="ar-SA"/>
        </w:rPr>
        <w:t>除专用合同条款另有约定外，安装、调试中合同设备运行需要的用水、用电、其他动</w:t>
      </w:r>
      <w:r>
        <w:rPr>
          <w:rFonts w:hint="eastAsia" w:ascii="宋体" w:hAnsi="宋体" w:eastAsia="宋体" w:cs="宋体"/>
          <w:kern w:val="2"/>
          <w:sz w:val="21"/>
          <w:szCs w:val="21"/>
          <w:highlight w:val="none"/>
          <w:lang w:val="en-US" w:eastAsia="zh-CN" w:bidi="ar-SA"/>
        </w:rPr>
        <w:t>力和原材料（如需要）等均由买方承担。</w:t>
      </w:r>
    </w:p>
    <w:p w14:paraId="56DF496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6.2.3 双方应对合同设备的安装、调试情况共同及时进行记录。</w:t>
      </w:r>
    </w:p>
    <w:p w14:paraId="055E9A87">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5" w:name="_bookmark129"/>
      <w:bookmarkEnd w:id="515"/>
      <w:r>
        <w:rPr>
          <w:rFonts w:hint="eastAsia" w:ascii="宋体" w:hAnsi="宋体" w:eastAsia="宋体" w:cs="宋体"/>
          <w:kern w:val="0"/>
          <w:sz w:val="21"/>
          <w:szCs w:val="21"/>
          <w:highlight w:val="none"/>
          <w:lang w:val="en-US" w:eastAsia="zh-CN" w:bidi="ar-SA"/>
        </w:rPr>
        <w:t>6.3  考核</w:t>
      </w:r>
    </w:p>
    <w:p w14:paraId="367423A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6.3.1 </w:t>
      </w:r>
      <w:r>
        <w:rPr>
          <w:rFonts w:hint="eastAsia" w:ascii="宋体" w:hAnsi="宋体" w:eastAsia="宋体" w:cs="宋体"/>
          <w:spacing w:val="-4"/>
          <w:kern w:val="2"/>
          <w:sz w:val="21"/>
          <w:szCs w:val="21"/>
          <w:highlight w:val="none"/>
          <w:lang w:val="en-US" w:eastAsia="zh-CN" w:bidi="ar-SA"/>
        </w:rPr>
        <w:t>安装、调试完成后，双方应对合同设备进行考核，以确定合同设备是否达到合同约定</w:t>
      </w:r>
      <w:r>
        <w:rPr>
          <w:rFonts w:hint="eastAsia" w:ascii="宋体" w:hAnsi="宋体" w:eastAsia="宋体" w:cs="宋体"/>
          <w:spacing w:val="-1"/>
          <w:kern w:val="2"/>
          <w:sz w:val="21"/>
          <w:szCs w:val="21"/>
          <w:highlight w:val="none"/>
          <w:lang w:val="en-US" w:eastAsia="zh-CN" w:bidi="ar-SA"/>
        </w:rPr>
        <w:t>的技术性能考核指标。除专用合同条款另有约定外，考核中合同设备运行需要的用水、用电、</w:t>
      </w:r>
      <w:r>
        <w:rPr>
          <w:rFonts w:hint="eastAsia" w:ascii="宋体" w:hAnsi="宋体" w:eastAsia="宋体" w:cs="宋体"/>
          <w:kern w:val="2"/>
          <w:sz w:val="21"/>
          <w:szCs w:val="21"/>
          <w:highlight w:val="none"/>
          <w:lang w:val="en-US" w:eastAsia="zh-CN" w:bidi="ar-SA"/>
        </w:rPr>
        <w:t>其他动力和原材料（如需要）等均由买方承担。</w:t>
      </w:r>
    </w:p>
    <w:p w14:paraId="7493F27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6.3.2 </w:t>
      </w:r>
      <w:r>
        <w:rPr>
          <w:rFonts w:hint="eastAsia" w:ascii="宋体" w:hAnsi="宋体" w:eastAsia="宋体" w:cs="宋体"/>
          <w:spacing w:val="-4"/>
          <w:kern w:val="2"/>
          <w:sz w:val="21"/>
          <w:szCs w:val="21"/>
          <w:highlight w:val="none"/>
          <w:lang w:val="en-US" w:eastAsia="zh-CN" w:bidi="ar-SA"/>
        </w:rPr>
        <w:t>如由于卖方原因合同设备在考核中未能达到合同约定的技术性能考核指标，则卖方应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在双方同意的期限内采取措施消除合同设备中存在的缺陷，并在缺陷消除以后，尽快进行再次</w:t>
      </w:r>
      <w:r>
        <w:rPr>
          <w:rFonts w:hint="eastAsia" w:ascii="宋体" w:hAnsi="宋体" w:eastAsia="宋体" w:cs="宋体"/>
          <w:kern w:val="2"/>
          <w:sz w:val="21"/>
          <w:szCs w:val="21"/>
          <w:highlight w:val="none"/>
          <w:lang w:val="en-US" w:eastAsia="zh-CN" w:bidi="ar-SA"/>
        </w:rPr>
        <w:t>考核。</w:t>
      </w:r>
    </w:p>
    <w:p w14:paraId="7CAE9AF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6.3.3 </w:t>
      </w:r>
      <w:r>
        <w:rPr>
          <w:rFonts w:hint="eastAsia" w:ascii="宋体" w:hAnsi="宋体" w:eastAsia="宋体" w:cs="宋体"/>
          <w:spacing w:val="-3"/>
          <w:kern w:val="2"/>
          <w:sz w:val="21"/>
          <w:szCs w:val="21"/>
          <w:highlight w:val="none"/>
          <w:lang w:val="en-US" w:eastAsia="zh-CN" w:bidi="ar-SA"/>
        </w:rPr>
        <w:t>由于卖方原因未能达到技术性能考核指标时，为卖方进行考核的机会不超过三次。如</w:t>
      </w:r>
      <w:r>
        <w:rPr>
          <w:rFonts w:hint="eastAsia" w:ascii="宋体" w:hAnsi="宋体" w:eastAsia="宋体" w:cs="宋体"/>
          <w:spacing w:val="-1"/>
          <w:kern w:val="2"/>
          <w:sz w:val="21"/>
          <w:szCs w:val="21"/>
          <w:highlight w:val="none"/>
          <w:lang w:val="en-US" w:eastAsia="zh-CN" w:bidi="ar-SA"/>
        </w:rPr>
        <w:t>果由于卖方原因，三次考核均未能达到合同约定的技术性能考核指标，则买卖双方应就合同的后续履行进行协商，协商不成的，买方有权解除合同。但如合同中约定了或双方在考核中另行 达成了合同设备的最低技术性能考核指标，且合同设备达到了最低技术性能考核指标的，视为合同设备已达到技术性能考核指标，买方无权解除合同，且应接受合同设备，但卖方应按专用</w:t>
      </w:r>
      <w:r>
        <w:rPr>
          <w:rFonts w:hint="eastAsia" w:ascii="宋体" w:hAnsi="宋体" w:eastAsia="宋体" w:cs="宋体"/>
          <w:kern w:val="2"/>
          <w:sz w:val="21"/>
          <w:szCs w:val="21"/>
          <w:highlight w:val="none"/>
          <w:lang w:val="en-US" w:eastAsia="zh-CN" w:bidi="ar-SA"/>
        </w:rPr>
        <w:t>合同条款的约定进行减价或向买方支付补偿金。</w:t>
      </w:r>
    </w:p>
    <w:p w14:paraId="66E2133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6.3.4 </w:t>
      </w:r>
      <w:r>
        <w:rPr>
          <w:rFonts w:hint="eastAsia" w:ascii="宋体" w:hAnsi="宋体" w:eastAsia="宋体" w:cs="宋体"/>
          <w:spacing w:val="-4"/>
          <w:kern w:val="2"/>
          <w:sz w:val="21"/>
          <w:szCs w:val="21"/>
          <w:highlight w:val="none"/>
          <w:lang w:val="en-US" w:eastAsia="zh-CN" w:bidi="ar-SA"/>
        </w:rPr>
        <w:t>如由于买方原因合同设备在考核中未能达到合同约定的技术性能考核指标，则卖方应</w:t>
      </w:r>
      <w:r>
        <w:rPr>
          <w:rFonts w:hint="eastAsia" w:ascii="宋体" w:hAnsi="宋体" w:eastAsia="宋体" w:cs="宋体"/>
          <w:spacing w:val="-1"/>
          <w:kern w:val="2"/>
          <w:sz w:val="21"/>
          <w:szCs w:val="21"/>
          <w:highlight w:val="none"/>
          <w:lang w:val="en-US" w:eastAsia="zh-CN" w:bidi="ar-SA"/>
        </w:rPr>
        <w:t>协助买方安排再次考核。由于买方原因未能达到技术性能考核指标时，为买方进行考核的机会</w:t>
      </w:r>
      <w:r>
        <w:rPr>
          <w:rFonts w:hint="eastAsia" w:ascii="宋体" w:hAnsi="宋体" w:eastAsia="宋体" w:cs="宋体"/>
          <w:kern w:val="2"/>
          <w:sz w:val="21"/>
          <w:szCs w:val="21"/>
          <w:highlight w:val="none"/>
          <w:lang w:val="en-US" w:eastAsia="zh-CN" w:bidi="ar-SA"/>
        </w:rPr>
        <w:t>不超过三次。</w:t>
      </w:r>
    </w:p>
    <w:p w14:paraId="28904281">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6.3.5 考核期间，双方应及时共同记录合同设备的用水、用电、其他动力和原材料（如有）的使用及设备考核情况。对于未达到技术性能考核指标的，应如实记录设备表现、可能原因及处理情况等。</w:t>
      </w:r>
    </w:p>
    <w:p w14:paraId="43D9AF0A">
      <w:pPr>
        <w:widowControl w:val="0"/>
        <w:spacing w:beforeLines="0" w:afterLines="0" w:line="360" w:lineRule="auto"/>
        <w:ind w:left="0" w:right="0" w:firstLine="420" w:firstLineChars="200"/>
        <w:outlineLvl w:val="9"/>
        <w:rPr>
          <w:rFonts w:hint="eastAsia" w:ascii="宋体" w:hAnsi="宋体" w:eastAsia="宋体" w:cs="宋体"/>
          <w:kern w:val="0"/>
          <w:sz w:val="21"/>
          <w:szCs w:val="21"/>
          <w:highlight w:val="none"/>
          <w:lang w:val="en-US" w:eastAsia="zh-CN" w:bidi="ar-SA"/>
        </w:rPr>
      </w:pPr>
      <w:bookmarkStart w:id="516" w:name="_bookmark130"/>
      <w:bookmarkEnd w:id="516"/>
      <w:r>
        <w:rPr>
          <w:rFonts w:hint="eastAsia" w:ascii="宋体" w:hAnsi="宋体" w:eastAsia="宋体" w:cs="宋体"/>
          <w:kern w:val="0"/>
          <w:sz w:val="21"/>
          <w:szCs w:val="21"/>
          <w:highlight w:val="none"/>
          <w:lang w:val="en-US" w:eastAsia="zh-CN" w:bidi="ar-SA"/>
        </w:rPr>
        <w:t>6.4  验收</w:t>
      </w:r>
    </w:p>
    <w:p w14:paraId="603A71B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6.4.1如合同设备在考核中达到或视为达到技术性能考核指标，则买卖双方应在考核完成后7日内或专用合同条款另行约定的时间内签署合同设备验收证书一式二份，双方各持一份。验收日期应为合同设备达到或视为达到技术性能考核指标的日期。</w:t>
      </w:r>
    </w:p>
    <w:p w14:paraId="5D5D346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6.4.2 如由于买方原因合同设备在三次考核中均未能达到技术性能考核指标，买卖双方应在考核结束后7日内或专用合同条款另行约定的时间内签署验收款支付函。</w:t>
      </w:r>
    </w:p>
    <w:p w14:paraId="2F12985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除专用合同条款另有约定外，卖方有义务在验收款支付函签署后12个月内应买方要求提供相关技术服务，协助买方采取一切必要措施使合同设备达到技术性能考核指标。买方应承担卖方因此产生的全部费用。</w:t>
      </w:r>
    </w:p>
    <w:p w14:paraId="00AE198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在上述12个月的期限内，如合同设备经过考核达到或视为达到技术性能考核指标，则买卖双方应按照第6.4.1项的约定签署合同设备验收证书。</w:t>
      </w:r>
    </w:p>
    <w:p w14:paraId="20DC8DD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6.4.3除专用合同条款另有约定外，如由于买方原因在最后一批合同设备交货后 6个月内未能开始考核，则买卖双方应在上述期限届满后7日内或专用合同条款另行约定的时间内签署验收款支付函。</w:t>
      </w:r>
    </w:p>
    <w:p w14:paraId="68343C2E">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卖方有义务在验收款支付函签署后6个月内应买方要求提供不超出合同范围的技术服务，协助买方采取一切必要措施使合同设备达到技术性能考核指标，且买方无需因此向卖方支付费用。</w:t>
      </w:r>
    </w:p>
    <w:p w14:paraId="11F123F3">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在上述6个月的期限内，如合同设备经过考核达到或视为达到技术性能考核指标，则买卖双方应按照第6.4.1项的约定签署合同设备验收证书。</w:t>
      </w:r>
    </w:p>
    <w:p w14:paraId="248017AB">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6.4.4 在第6.4.2项和第6.4.3项情形下，卖方也可单方签署验收款支付函提交买方，如果买方在收到卖方签署的验收款支付函后14日内未向卖方提出书面异议，则验收款支付函自签署之日起生效。</w:t>
      </w:r>
    </w:p>
    <w:p w14:paraId="433A916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6.4.5 合同设备验收证书的签署不能免除卖方在质量保证期内对合同设备应承担的保证责任。</w:t>
      </w:r>
    </w:p>
    <w:p w14:paraId="3BDF084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17" w:name="_bookmark131"/>
      <w:bookmarkEnd w:id="517"/>
      <w:bookmarkStart w:id="518" w:name="_Toc1119"/>
      <w:bookmarkStart w:id="519" w:name="_Toc62034477"/>
      <w:bookmarkStart w:id="520" w:name="_Toc9288"/>
      <w:bookmarkStart w:id="521" w:name="_Toc534572291"/>
      <w:bookmarkStart w:id="522" w:name="_Toc91344947"/>
      <w:bookmarkStart w:id="523" w:name="_Toc31763"/>
      <w:bookmarkStart w:id="524" w:name="_Toc29433"/>
      <w:bookmarkStart w:id="525" w:name="_Toc4015"/>
      <w:bookmarkStart w:id="526" w:name="_Toc16943"/>
      <w:bookmarkStart w:id="527" w:name="_Toc54550759"/>
      <w:r>
        <w:rPr>
          <w:rFonts w:hint="eastAsia" w:ascii="宋体" w:hAnsi="宋体" w:eastAsia="宋体" w:cs="宋体"/>
          <w:b/>
          <w:bCs/>
          <w:kern w:val="0"/>
          <w:sz w:val="21"/>
          <w:szCs w:val="21"/>
          <w:highlight w:val="none"/>
          <w:lang w:val="en-US" w:eastAsia="zh-CN" w:bidi="ar-SA"/>
        </w:rPr>
        <w:t>7.技术服务</w:t>
      </w:r>
      <w:bookmarkEnd w:id="518"/>
      <w:bookmarkEnd w:id="519"/>
      <w:bookmarkEnd w:id="520"/>
      <w:bookmarkEnd w:id="521"/>
      <w:bookmarkEnd w:id="522"/>
      <w:bookmarkEnd w:id="523"/>
      <w:bookmarkEnd w:id="524"/>
      <w:bookmarkEnd w:id="525"/>
      <w:bookmarkEnd w:id="526"/>
      <w:bookmarkEnd w:id="527"/>
    </w:p>
    <w:p w14:paraId="5F246118">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7.1 卖方应派遣技术熟练、称职的技术人员到施工场地为买方提供技术服务。卖方的技术服务应符合合同的约定。</w:t>
      </w:r>
    </w:p>
    <w:p w14:paraId="64CCC95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7.2 买方应免费为卖方技术人员提供工作条件及便利，包括但不限于必要的办公场所、技术资料及出入许可等。除专用合同条款另有约定外，卖方技术人员的交通、食宿费用由卖方承担。</w:t>
      </w:r>
    </w:p>
    <w:p w14:paraId="5EC8758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7.3 卖方技术人员应遵守买方施工现场的各项规章制度和安全操作规程，并服从买方的现场管理。</w:t>
      </w:r>
    </w:p>
    <w:p w14:paraId="2C813DF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7.4 如果任何技术人员不合格，买方有权要求卖方撤换，因撤换而产生的费用应由卖方承担。在不影响技术服务并且征得买方同意的条件下，卖方也可自负费用更换其技术人员。</w:t>
      </w:r>
    </w:p>
    <w:p w14:paraId="66351384">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28" w:name="_bookmark132"/>
      <w:bookmarkEnd w:id="528"/>
      <w:bookmarkStart w:id="529" w:name="_Toc55"/>
      <w:bookmarkStart w:id="530" w:name="_Toc54550760"/>
      <w:bookmarkStart w:id="531" w:name="_Toc268"/>
      <w:bookmarkStart w:id="532" w:name="_Toc534572292"/>
      <w:bookmarkStart w:id="533" w:name="_Toc62034478"/>
      <w:bookmarkStart w:id="534" w:name="_Toc12241"/>
      <w:bookmarkStart w:id="535" w:name="_Toc6006"/>
      <w:bookmarkStart w:id="536" w:name="_Toc91344948"/>
      <w:r>
        <w:rPr>
          <w:rFonts w:hint="eastAsia" w:ascii="宋体" w:hAnsi="宋体" w:eastAsia="宋体" w:cs="宋体"/>
          <w:b/>
          <w:bCs/>
          <w:kern w:val="0"/>
          <w:sz w:val="21"/>
          <w:szCs w:val="21"/>
          <w:highlight w:val="none"/>
          <w:lang w:val="en-US" w:eastAsia="zh-CN" w:bidi="ar-SA"/>
        </w:rPr>
        <w:t>8.质量保证期</w:t>
      </w:r>
      <w:bookmarkEnd w:id="529"/>
      <w:bookmarkEnd w:id="530"/>
      <w:bookmarkEnd w:id="531"/>
      <w:bookmarkEnd w:id="532"/>
      <w:bookmarkEnd w:id="533"/>
      <w:bookmarkEnd w:id="534"/>
      <w:bookmarkEnd w:id="535"/>
      <w:bookmarkEnd w:id="536"/>
    </w:p>
    <w:p w14:paraId="7A065DC2">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8.1除专用合同条款和（或）供货要求等合同文件另有约定外，合同设备整体质量保证期为验收之日起12个月。如对合同设备中关键部件的质量保证期有特殊要求的，买卖双方可在专用合同条款中约定。在合同第6.4.2项情形下，无论合同设备何时验收，其质量保证期最长为签署验收款支付函后12个月。在合同第6.4.3 项情形下，无论合同设备何时验收，其质量保证期最长为签署验收款支付函后6个月。</w:t>
      </w:r>
    </w:p>
    <w:p w14:paraId="1BA09906">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8.2 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3694F67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8.3 质量保证期届满后，买方应在7日内或专用合同条款另行约定的时间内向卖方出具合同设备的质量保证期届满证书。</w:t>
      </w:r>
    </w:p>
    <w:p w14:paraId="7221428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8.4在合同第6.4.2项情形下，如在验收款支付函签署后12个月内由于买方原因合同设备仍未能达到技术性能考核指标，则买卖双方应在该12个月届满后7日内或专用合同条款另行约定的时间内签署结清款支付函。</w:t>
      </w:r>
    </w:p>
    <w:p w14:paraId="333D7FA2">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8.5 在合同第6.4.3项情形下，如在验收款支付函签署后6个月内由于买方原因合同设备仍未进行考核或仍未达到技术性能考核指标，则买卖双方应在该6个月届满后7日内或专用合同条款另行约定的时间内签署结清款支付函。</w:t>
      </w:r>
    </w:p>
    <w:p w14:paraId="1A44D740">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8.6 在第8.4款和第8.5款情形下，卖方也可单方签署结清款支付函提交买方，如果买方在收到卖方签署的结清款支付函后14日内未向卖方提出书面异议，则结清款支付函自签署之日起生效。</w:t>
      </w:r>
    </w:p>
    <w:p w14:paraId="2903FA66">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37" w:name="_bookmark133"/>
      <w:bookmarkEnd w:id="537"/>
      <w:bookmarkStart w:id="538" w:name="_Toc15751"/>
      <w:bookmarkStart w:id="539" w:name="_Toc54550761"/>
      <w:bookmarkStart w:id="540" w:name="_Toc534572293"/>
      <w:bookmarkStart w:id="541" w:name="_Toc91344949"/>
      <w:bookmarkStart w:id="542" w:name="_Toc18226"/>
      <w:bookmarkStart w:id="543" w:name="_Toc9241"/>
      <w:bookmarkStart w:id="544" w:name="_Toc62034479"/>
      <w:bookmarkStart w:id="545" w:name="_Toc27909"/>
      <w:r>
        <w:rPr>
          <w:rFonts w:hint="eastAsia" w:ascii="宋体" w:hAnsi="宋体" w:eastAsia="宋体" w:cs="宋体"/>
          <w:b/>
          <w:bCs/>
          <w:kern w:val="0"/>
          <w:sz w:val="21"/>
          <w:szCs w:val="21"/>
          <w:highlight w:val="none"/>
          <w:lang w:val="en-US" w:eastAsia="zh-CN" w:bidi="ar-SA"/>
        </w:rPr>
        <w:t>9.质保期服务</w:t>
      </w:r>
      <w:bookmarkEnd w:id="538"/>
      <w:bookmarkEnd w:id="539"/>
      <w:bookmarkEnd w:id="540"/>
      <w:bookmarkEnd w:id="541"/>
      <w:bookmarkEnd w:id="542"/>
      <w:bookmarkEnd w:id="543"/>
      <w:bookmarkEnd w:id="544"/>
      <w:bookmarkEnd w:id="545"/>
    </w:p>
    <w:p w14:paraId="5E430D88">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9.1卖方应为质保期服务配备充足的技术人员、工具和备件并保证提供的联系方式畅通。除专用合同条款和（或）供货要求等合同文件另有约定外，卖方应在收到买方通知后 24 小时内做出响应，如需卖方到合同设备现场，卖方应在收到买方通知后48小时内到达，并在到达后7日内解决合同设备的故障（重大故障除外）。如果卖方未在上述时间内作出响应，则买方有权自 行或委托他人解决相关问题或查找和解决合同设备的故障，卖方应承担由此发生的全部费用。 </w:t>
      </w:r>
    </w:p>
    <w:p w14:paraId="064851E9">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9.2 如卖方技术人员需到合同设备现场进行质保期服务，则买方应免费为卖方技术人员提供工作条件及便利，包括但不限于必要的办公场所、技术资料及出入许可等。除专用合同条款 另有约定外，卖方技术人员的交通、食宿费用由卖方承担。卖方技术人员应遵守买方施工现场的各项规章制度和安全操作规程，并服从买方的现场管理。</w:t>
      </w:r>
    </w:p>
    <w:p w14:paraId="3C0AA3B8">
      <w:pPr>
        <w:widowControl w:val="0"/>
        <w:spacing w:beforeLines="0" w:after="0" w:afterLines="0" w:line="360" w:lineRule="auto"/>
        <w:ind w:firstLine="420"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9.3 </w:t>
      </w:r>
      <w:r>
        <w:rPr>
          <w:rFonts w:hint="eastAsia" w:ascii="宋体" w:hAnsi="宋体" w:eastAsia="宋体" w:cs="宋体"/>
          <w:spacing w:val="-6"/>
          <w:kern w:val="2"/>
          <w:sz w:val="21"/>
          <w:szCs w:val="21"/>
          <w:highlight w:val="none"/>
          <w:lang w:val="en-US" w:eastAsia="zh-CN" w:bidi="ar-SA"/>
        </w:rPr>
        <w:t>如果任何技术人员不合格，买方有权要求卖方撤换，因撤换而产生的费用应由卖方承担。在不影响质保期服务并且征得买方同意的条件下，卖方也可自负费用更换其技术人员。</w:t>
      </w:r>
    </w:p>
    <w:p w14:paraId="437A4AC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9.4 除专用合同条款另有约定外，卖方应就在施工现场进行质保期服务的情况进行记录，记载合同设备故障发生的时间、原因及解决情况等，由买方签字确认，并在质量保证期结束后提交给买方。</w:t>
      </w:r>
    </w:p>
    <w:p w14:paraId="1ACCCBB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46" w:name="_bookmark134"/>
      <w:bookmarkEnd w:id="546"/>
      <w:bookmarkStart w:id="547" w:name="_Toc62034480"/>
      <w:bookmarkStart w:id="548" w:name="_Toc91344950"/>
      <w:bookmarkStart w:id="549" w:name="_Toc534572294"/>
      <w:bookmarkStart w:id="550" w:name="_Toc28393"/>
      <w:bookmarkStart w:id="551" w:name="_Toc30580"/>
      <w:bookmarkStart w:id="552" w:name="_Toc54550762"/>
      <w:bookmarkStart w:id="553" w:name="_Toc18871"/>
      <w:bookmarkStart w:id="554" w:name="_Toc10816"/>
      <w:r>
        <w:rPr>
          <w:rFonts w:hint="eastAsia" w:ascii="宋体" w:hAnsi="宋体" w:eastAsia="宋体" w:cs="宋体"/>
          <w:b/>
          <w:bCs/>
          <w:kern w:val="0"/>
          <w:sz w:val="21"/>
          <w:szCs w:val="21"/>
          <w:highlight w:val="none"/>
          <w:lang w:val="en-US" w:eastAsia="zh-CN" w:bidi="ar-SA"/>
        </w:rPr>
        <w:t>10.履约保证金</w:t>
      </w:r>
      <w:bookmarkEnd w:id="547"/>
      <w:bookmarkEnd w:id="548"/>
      <w:bookmarkEnd w:id="549"/>
      <w:bookmarkEnd w:id="550"/>
      <w:bookmarkEnd w:id="551"/>
      <w:bookmarkEnd w:id="552"/>
      <w:bookmarkEnd w:id="553"/>
      <w:bookmarkEnd w:id="554"/>
    </w:p>
    <w:p w14:paraId="5038624E">
      <w:pPr>
        <w:widowControl w:val="0"/>
        <w:spacing w:beforeLines="0" w:after="0" w:afterLines="0" w:line="360" w:lineRule="auto"/>
        <w:ind w:left="0" w:right="0" w:firstLine="396" w:firstLineChars="200"/>
        <w:jc w:val="both"/>
        <w:rPr>
          <w:rFonts w:hint="eastAsia" w:ascii="宋体" w:hAnsi="宋体" w:eastAsia="宋体" w:cs="宋体"/>
          <w:spacing w:val="-6"/>
          <w:kern w:val="2"/>
          <w:sz w:val="21"/>
          <w:szCs w:val="21"/>
          <w:highlight w:val="none"/>
          <w:lang w:val="en-US" w:eastAsia="zh-CN" w:bidi="ar-SA"/>
        </w:rPr>
      </w:pPr>
      <w:r>
        <w:rPr>
          <w:rFonts w:hint="eastAsia" w:ascii="宋体" w:hAnsi="宋体" w:eastAsia="宋体" w:cs="宋体"/>
          <w:spacing w:val="-6"/>
          <w:kern w:val="2"/>
          <w:sz w:val="21"/>
          <w:szCs w:val="21"/>
          <w:highlight w:val="none"/>
          <w:lang w:val="en-US" w:eastAsia="zh-CN" w:bidi="ar-SA"/>
        </w:rPr>
        <w:t>除专用合同条款另有约定外，履约保证金自合同生效之日起生效，在合同设备验收证书或验收款支付函签署之日起28日后失效。如果卖方不履行合同约定的义务或其履行不符合合同的约定，买方有权扣划相应金额的履约保证金。</w:t>
      </w:r>
    </w:p>
    <w:p w14:paraId="233A589D">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55" w:name="_bookmark135"/>
      <w:bookmarkEnd w:id="555"/>
      <w:bookmarkStart w:id="556" w:name="_Toc1719"/>
      <w:bookmarkStart w:id="557" w:name="_Toc25341"/>
      <w:bookmarkStart w:id="558" w:name="_Toc62034481"/>
      <w:bookmarkStart w:id="559" w:name="_Toc54550763"/>
      <w:bookmarkStart w:id="560" w:name="_Toc26226"/>
      <w:bookmarkStart w:id="561" w:name="_Toc4235"/>
      <w:bookmarkStart w:id="562" w:name="_Toc340"/>
      <w:bookmarkStart w:id="563" w:name="_Toc31305"/>
      <w:bookmarkStart w:id="564" w:name="_Toc534572295"/>
      <w:bookmarkStart w:id="565" w:name="_Toc91344951"/>
      <w:r>
        <w:rPr>
          <w:rFonts w:hint="eastAsia" w:ascii="宋体" w:hAnsi="宋体" w:eastAsia="宋体" w:cs="宋体"/>
          <w:b/>
          <w:bCs/>
          <w:kern w:val="0"/>
          <w:sz w:val="21"/>
          <w:szCs w:val="21"/>
          <w:highlight w:val="none"/>
          <w:lang w:val="en-US" w:eastAsia="zh-CN" w:bidi="ar-SA"/>
        </w:rPr>
        <w:t>11.保证</w:t>
      </w:r>
      <w:bookmarkEnd w:id="556"/>
      <w:bookmarkEnd w:id="557"/>
      <w:bookmarkEnd w:id="558"/>
      <w:bookmarkEnd w:id="559"/>
      <w:bookmarkEnd w:id="560"/>
      <w:bookmarkEnd w:id="561"/>
      <w:bookmarkEnd w:id="562"/>
      <w:bookmarkEnd w:id="563"/>
      <w:bookmarkEnd w:id="564"/>
      <w:bookmarkEnd w:id="565"/>
    </w:p>
    <w:p w14:paraId="60022A9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 卖方保证其具有完全的能力履行本合同项下的全部义务。</w:t>
      </w:r>
    </w:p>
    <w:p w14:paraId="71769804">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11.2 卖方保证其所提供的合同设备及对合同的履行符合所有应适用的法律、行政法规、地方性法规、自治条例和单行条例、规章及其他规范性文件的强制性规定。</w:t>
      </w:r>
    </w:p>
    <w:p w14:paraId="0F77D745">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11.3 卖方保证其对合同设备的销售不损害任何第三方的合法权益和社会公众利益。任何第三方不会因卖方原因而基于所有权、抵押权、留置权或其他任何权利或事由对合同设备主张权利。</w:t>
      </w:r>
    </w:p>
    <w:p w14:paraId="290B953A">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11.4 卖方保证合同设备符合合同约定的规格、标准、技术性能考核指标等，能够安全和稳定地运行，且合同设备（包括全部部件）全新、完整、未使用过，除非专用合同条款和（或）供货要求等合同文件另有约定。</w:t>
      </w:r>
    </w:p>
    <w:p w14:paraId="0C6AB36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11.5 卖方保证，卖方所提供的技术资料完整、清晰、准确，符合合同约定并且能够满足合同设备的安装、调试、考核、操作以及维修和保养的需要。</w:t>
      </w:r>
    </w:p>
    <w:p w14:paraId="0E50BB49">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11.6 卖方保证合同范围内提供的备品备件能够满足合同设备在质量保证期结束前正常运行及维修的需要，如在质量保证期结束前因卖方原因出现备品备件短缺影响合同设备正常运行的，卖方应免费提供。</w:t>
      </w:r>
    </w:p>
    <w:p w14:paraId="2ECCD15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11.7 除专用合同条款和（或）供货要求等合同文件另有约定外，如果在合同设备设计使用寿命期内发生合同项下备品备件停止生产的情况，卖方应事先将拟停止生产的计划通知买方， 使买方有足够的时间考虑备品备件的需求量。根据买方要求，卖方应：</w:t>
      </w:r>
    </w:p>
    <w:p w14:paraId="183174D7">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（1）以不高于同期市场价格或其向任何第三方销售同类产品的价格提供合同设备正常运行</w:t>
      </w:r>
      <w:r>
        <w:rPr>
          <w:rFonts w:hint="eastAsia" w:ascii="宋体" w:hAnsi="宋体" w:eastAsia="宋体" w:cs="宋体"/>
          <w:kern w:val="2"/>
          <w:sz w:val="21"/>
          <w:szCs w:val="21"/>
          <w:highlight w:val="none"/>
          <w:lang w:val="en-US" w:eastAsia="zh-CN" w:bidi="ar-SA"/>
        </w:rPr>
        <w:t>所需的全部备品备件。</w:t>
      </w:r>
    </w:p>
    <w:p w14:paraId="6C10E63D">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（2）免费提供可供买方或第三方制造停产备品备件所需的全部技术资料，以便买方持续获</w:t>
      </w:r>
      <w:r>
        <w:rPr>
          <w:rFonts w:hint="eastAsia" w:ascii="宋体" w:hAnsi="宋体" w:eastAsia="宋体" w:cs="宋体"/>
          <w:spacing w:val="-1"/>
          <w:kern w:val="2"/>
          <w:sz w:val="21"/>
          <w:szCs w:val="21"/>
          <w:highlight w:val="none"/>
          <w:lang w:val="en-US" w:eastAsia="zh-CN" w:bidi="ar-SA"/>
        </w:rPr>
        <w:t>得上述备品备件以满足合同设备在寿命期内正常运行的需要。卖方保证买方或买方委托的第三</w:t>
      </w:r>
      <w:r>
        <w:rPr>
          <w:rFonts w:hint="eastAsia" w:ascii="宋体" w:hAnsi="宋体" w:eastAsia="宋体" w:cs="宋体"/>
          <w:kern w:val="2"/>
          <w:sz w:val="21"/>
          <w:szCs w:val="21"/>
          <w:highlight w:val="none"/>
          <w:lang w:val="en-US" w:eastAsia="zh-CN" w:bidi="ar-SA"/>
        </w:rPr>
        <w:t>方制造及买方使用这些备品备件不侵犯任何人的知识产权。</w:t>
      </w:r>
    </w:p>
    <w:p w14:paraId="3524E49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11.8 卖方保证，在合同设备设计使用寿命期内，如果卖方发现合同设备由于设计、制造、标识等原因存在足以危及人身、财产安全的缺陷，卖方将及时通知买方并及时采取修正或者补 充标识、修理、更换等措施消除缺陷。</w:t>
      </w:r>
    </w:p>
    <w:p w14:paraId="2C56CD2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66" w:name="_Toc24435"/>
      <w:bookmarkStart w:id="567" w:name="_Toc91344952"/>
      <w:bookmarkStart w:id="568" w:name="_Toc534572296"/>
      <w:bookmarkStart w:id="569" w:name="_Toc24894"/>
      <w:bookmarkStart w:id="570" w:name="_Toc62034482"/>
      <w:bookmarkStart w:id="571" w:name="_Toc277"/>
      <w:bookmarkStart w:id="572" w:name="_Toc54550764"/>
      <w:bookmarkStart w:id="573" w:name="_Toc19223"/>
      <w:r>
        <w:rPr>
          <w:rFonts w:hint="eastAsia" w:ascii="宋体" w:hAnsi="宋体" w:eastAsia="宋体" w:cs="宋体"/>
          <w:b/>
          <w:bCs/>
          <w:kern w:val="0"/>
          <w:sz w:val="21"/>
          <w:szCs w:val="21"/>
          <w:highlight w:val="none"/>
          <w:lang w:val="en-US" w:eastAsia="zh-CN" w:bidi="ar-SA"/>
        </w:rPr>
        <w:t>12.知识产权</w:t>
      </w:r>
      <w:bookmarkEnd w:id="566"/>
      <w:bookmarkEnd w:id="567"/>
      <w:bookmarkEnd w:id="568"/>
      <w:bookmarkEnd w:id="569"/>
      <w:bookmarkEnd w:id="570"/>
      <w:bookmarkEnd w:id="571"/>
      <w:bookmarkEnd w:id="572"/>
      <w:bookmarkEnd w:id="573"/>
    </w:p>
    <w:p w14:paraId="3C28F553">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12.1 买方在履行合同过程中提供给卖方的全部图纸、文件和其他含有数据和信息的资料，其知识产权属于买方。</w:t>
      </w:r>
    </w:p>
    <w:p w14:paraId="114FCFC4">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12.2 除专用合同条款另有约定外，买方不因签署和履行合同而享有卖方在履行合同过程中提供给买方的图纸、文件、配套软件、电子辅助程序和其他含有数据和信息的资料的知识产权。      </w:t>
      </w:r>
    </w:p>
    <w:p w14:paraId="0C30D72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12.3如合同设备涉及知识产权，则卖方保证买方在使用合同设备过程中免于受到第三方提出的有关知识产权侵权的主张、索赔或诉讼的伤害。</w:t>
      </w:r>
    </w:p>
    <w:p w14:paraId="114C37A9">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12.4 如果买方收到任何第三方有关知识产权的主张、索赔或诉讼，卖方在收到买方通知后，应以买方名义并在买方的协助下，自负费用处理与第三方的索赔或诉讼，并赔偿买方因此发生 的费用和遭受的损失。除专用合同条款另有约定外，如果卖方拒绝处理前述索赔或诉讼或在收 到买方通知后28日内未作表示，买方可以自己的名义进行这些索赔或诉讼，因此发生的费用和遭受的损失均应由卖方承担。</w:t>
      </w:r>
    </w:p>
    <w:p w14:paraId="2BF0D341">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74" w:name="_bookmark137"/>
      <w:bookmarkEnd w:id="574"/>
      <w:bookmarkStart w:id="575" w:name="_Toc91344953"/>
      <w:bookmarkStart w:id="576" w:name="_Toc62034483"/>
      <w:bookmarkStart w:id="577" w:name="_Toc16263"/>
      <w:bookmarkStart w:id="578" w:name="_Toc476"/>
      <w:bookmarkStart w:id="579" w:name="_Toc7616"/>
      <w:bookmarkStart w:id="580" w:name="_Toc54550765"/>
      <w:bookmarkStart w:id="581" w:name="_Toc534572297"/>
      <w:bookmarkStart w:id="582" w:name="_Toc6100"/>
      <w:r>
        <w:rPr>
          <w:rFonts w:hint="eastAsia" w:ascii="宋体" w:hAnsi="宋体" w:eastAsia="宋体" w:cs="宋体"/>
          <w:b/>
          <w:bCs/>
          <w:kern w:val="0"/>
          <w:sz w:val="21"/>
          <w:szCs w:val="21"/>
          <w:highlight w:val="none"/>
          <w:lang w:val="en-US" w:eastAsia="zh-CN" w:bidi="ar-SA"/>
        </w:rPr>
        <w:t>13.保密</w:t>
      </w:r>
      <w:bookmarkEnd w:id="575"/>
      <w:bookmarkEnd w:id="576"/>
      <w:bookmarkEnd w:id="577"/>
      <w:bookmarkEnd w:id="578"/>
      <w:bookmarkEnd w:id="579"/>
      <w:bookmarkEnd w:id="580"/>
      <w:bookmarkEnd w:id="581"/>
      <w:bookmarkEnd w:id="582"/>
    </w:p>
    <w:p w14:paraId="3045EB3F">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合同双方应对因履行合同而取得的另一方当事人的信息、资料等予以保密。未经另一方当事人书面同意，任何一方均不得为与履行合同无关的目的使用或向第三方披露另一方当事人提供的信息、资料。</w:t>
      </w:r>
    </w:p>
    <w:p w14:paraId="3E376F3D">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合同当事人的保密义务不适用于下列信息：</w:t>
      </w:r>
    </w:p>
    <w:p w14:paraId="58B9D280">
      <w:pPr>
        <w:widowControl w:val="0"/>
        <w:spacing w:beforeLines="0" w:after="0" w:afterLines="0" w:line="360" w:lineRule="auto"/>
        <w:ind w:firstLine="420" w:firstLineChars="200"/>
        <w:outlineLvl w:val="9"/>
        <w:rPr>
          <w:rFonts w:hint="eastAsia" w:ascii="宋体" w:hAnsi="宋体" w:eastAsia="宋体" w:cs="宋体"/>
          <w:kern w:val="2"/>
          <w:sz w:val="21"/>
          <w:szCs w:val="21"/>
          <w:highlight w:val="none"/>
          <w:lang w:val="en-US" w:eastAsia="zh-CN" w:bidi="ar-SA"/>
        </w:rPr>
      </w:pPr>
      <w:bookmarkStart w:id="583" w:name="_Toc7203"/>
      <w:bookmarkStart w:id="584" w:name="_Toc11153"/>
      <w:bookmarkStart w:id="585" w:name="_Toc13249"/>
      <w:bookmarkStart w:id="586" w:name="_Toc2039"/>
      <w:r>
        <w:rPr>
          <w:rFonts w:hint="eastAsia" w:ascii="宋体" w:hAnsi="宋体" w:eastAsia="宋体" w:cs="宋体"/>
          <w:kern w:val="2"/>
          <w:sz w:val="21"/>
          <w:szCs w:val="21"/>
          <w:highlight w:val="none"/>
          <w:lang w:val="en-US" w:eastAsia="zh-CN" w:bidi="ar-SA"/>
        </w:rPr>
        <w:t>（1）非因接受信息一方的过失现在或以后进入公共领域的信息；</w:t>
      </w:r>
      <w:bookmarkEnd w:id="583"/>
      <w:bookmarkEnd w:id="584"/>
      <w:bookmarkEnd w:id="585"/>
      <w:bookmarkEnd w:id="586"/>
    </w:p>
    <w:p w14:paraId="2BCB58EE">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（2）接受信息一方当事人合法地从第三方获得并且据其善意了解第三方也不对此承担保密义务的信息；</w:t>
      </w:r>
    </w:p>
    <w:p w14:paraId="69B5E317">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（3）法律或法律的执行要求披露的信息。</w:t>
      </w:r>
    </w:p>
    <w:p w14:paraId="5682257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87" w:name="_bookmark138"/>
      <w:bookmarkEnd w:id="587"/>
      <w:bookmarkStart w:id="588" w:name="_Toc54550766"/>
      <w:bookmarkStart w:id="589" w:name="_Toc62034484"/>
      <w:bookmarkStart w:id="590" w:name="_Toc534572298"/>
      <w:bookmarkStart w:id="591" w:name="_Toc22465"/>
      <w:bookmarkStart w:id="592" w:name="_Toc2940"/>
      <w:bookmarkStart w:id="593" w:name="_Toc91344954"/>
      <w:bookmarkStart w:id="594" w:name="_Toc29326"/>
      <w:bookmarkStart w:id="595" w:name="_Toc26407"/>
      <w:bookmarkStart w:id="596" w:name="_Toc16407"/>
      <w:bookmarkStart w:id="597" w:name="_Toc24517"/>
      <w:r>
        <w:rPr>
          <w:rFonts w:hint="eastAsia" w:ascii="宋体" w:hAnsi="宋体" w:eastAsia="宋体" w:cs="宋体"/>
          <w:b/>
          <w:bCs/>
          <w:kern w:val="0"/>
          <w:sz w:val="21"/>
          <w:szCs w:val="21"/>
          <w:highlight w:val="none"/>
          <w:lang w:val="en-US" w:eastAsia="zh-CN" w:bidi="ar-SA"/>
        </w:rPr>
        <w:t>14.违约责任</w:t>
      </w:r>
      <w:bookmarkEnd w:id="588"/>
      <w:bookmarkEnd w:id="589"/>
      <w:bookmarkEnd w:id="590"/>
      <w:bookmarkEnd w:id="591"/>
      <w:bookmarkEnd w:id="592"/>
      <w:bookmarkEnd w:id="593"/>
      <w:bookmarkEnd w:id="594"/>
      <w:bookmarkEnd w:id="595"/>
      <w:bookmarkEnd w:id="596"/>
      <w:bookmarkEnd w:id="597"/>
    </w:p>
    <w:p w14:paraId="42791A8C">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14.1 合同一方不履行合同义务、履行合同义务不符合约定或者违反合同项下所作保证的，应向对方承担继续履行、采取修理、更换、退货等补救措施或者赔偿损失等违约责任。</w:t>
      </w:r>
    </w:p>
    <w:p w14:paraId="08D3855B">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14.2 </w:t>
      </w:r>
      <w:r>
        <w:rPr>
          <w:rFonts w:hint="eastAsia" w:ascii="宋体" w:hAnsi="宋体" w:eastAsia="宋体" w:cs="宋体"/>
          <w:spacing w:val="-3"/>
          <w:kern w:val="2"/>
          <w:sz w:val="21"/>
          <w:szCs w:val="21"/>
          <w:highlight w:val="none"/>
          <w:lang w:val="en-US" w:eastAsia="zh-CN" w:bidi="ar-SA"/>
        </w:rPr>
        <w:t xml:space="preserve">卖方未能按时交付合同设备（包括仅迟延交付技术资料但足以导致合同设备安装、调 </w:t>
      </w:r>
      <w:r>
        <w:rPr>
          <w:rFonts w:hint="eastAsia" w:ascii="宋体" w:hAnsi="宋体" w:eastAsia="宋体" w:cs="宋体"/>
          <w:spacing w:val="-6"/>
          <w:kern w:val="2"/>
          <w:sz w:val="21"/>
          <w:szCs w:val="21"/>
          <w:highlight w:val="none"/>
          <w:lang w:val="en-US" w:eastAsia="zh-CN" w:bidi="ar-SA"/>
        </w:rPr>
        <w:t>试、考核、验收工作推迟的）的，应向买方支付迟延交付违约金。除专用合同条款另有约定外，</w:t>
      </w:r>
      <w:r>
        <w:rPr>
          <w:rFonts w:hint="eastAsia" w:ascii="宋体" w:hAnsi="宋体" w:eastAsia="宋体" w:cs="宋体"/>
          <w:kern w:val="2"/>
          <w:sz w:val="21"/>
          <w:szCs w:val="21"/>
          <w:highlight w:val="none"/>
          <w:lang w:val="en-US" w:eastAsia="zh-CN" w:bidi="ar-SA"/>
        </w:rPr>
        <w:t>迟延交付违约金的计算方法如下：</w:t>
      </w:r>
    </w:p>
    <w:p w14:paraId="6A4DA314">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（1）从迟交的第一周到第四周，每周迟延交付违约金为迟交合同设备价格的 0.5%；</w:t>
      </w:r>
    </w:p>
    <w:p w14:paraId="2EE881B5">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（2）从迟交的第五周到第八周，每周迟延交付违约金为迟交合同设备价格的1%；</w:t>
      </w:r>
    </w:p>
    <w:p w14:paraId="6254C433">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交第九周起，每周迟延交付违约金为迟交合同设备价格的1.5%。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2BD16108">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14.3 买方未能按合同约定支付合同价款的，应向卖方支付延迟付款违约金。除专用合同条款另有约定外，迟延付款违约金的计算方法如下：</w:t>
      </w:r>
    </w:p>
    <w:p w14:paraId="41F5DCB9">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（1）从迟付的第一周到第四周，每周迟延付款违约金为迟延付款金额的0.5%；</w:t>
      </w:r>
    </w:p>
    <w:p w14:paraId="1A57EB22">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（2）从迟付的第五周到第八周，每周迟延付款违约金为迟延付款金额的1%；</w:t>
      </w:r>
    </w:p>
    <w:p w14:paraId="6E0167A6">
      <w:pPr>
        <w:widowControl w:val="0"/>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（3）从迟付第九周起，每周迟延付款违约金为迟延付款金额的1.5%。 在计算迟延付款违约金时，迟付不足一周的按一周计算。迟延付款违约金的总额不得超过合同价格的10%。</w:t>
      </w:r>
    </w:p>
    <w:p w14:paraId="0F2D7BB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598" w:name="_bookmark139"/>
      <w:bookmarkEnd w:id="598"/>
      <w:bookmarkStart w:id="599" w:name="_Toc91344955"/>
      <w:bookmarkStart w:id="600" w:name="_Toc19201"/>
      <w:bookmarkStart w:id="601" w:name="_Toc5723"/>
      <w:bookmarkStart w:id="602" w:name="_Toc534572299"/>
      <w:bookmarkStart w:id="603" w:name="_Toc62034485"/>
      <w:bookmarkStart w:id="604" w:name="_Toc24532"/>
      <w:bookmarkStart w:id="605" w:name="_Toc21781"/>
      <w:bookmarkStart w:id="606" w:name="_Toc54550767"/>
      <w:bookmarkStart w:id="607" w:name="_Toc20746"/>
      <w:bookmarkStart w:id="608" w:name="_Toc20516"/>
      <w:r>
        <w:rPr>
          <w:rFonts w:hint="eastAsia" w:ascii="宋体" w:hAnsi="宋体" w:eastAsia="宋体" w:cs="宋体"/>
          <w:b/>
          <w:bCs/>
          <w:kern w:val="0"/>
          <w:sz w:val="21"/>
          <w:szCs w:val="21"/>
          <w:highlight w:val="none"/>
          <w:lang w:val="en-US" w:eastAsia="zh-CN" w:bidi="ar-SA"/>
        </w:rPr>
        <w:t>15.合同的解除</w:t>
      </w:r>
      <w:bookmarkEnd w:id="599"/>
      <w:bookmarkEnd w:id="600"/>
      <w:bookmarkEnd w:id="601"/>
      <w:bookmarkEnd w:id="602"/>
      <w:bookmarkEnd w:id="603"/>
      <w:bookmarkEnd w:id="604"/>
      <w:bookmarkEnd w:id="605"/>
      <w:bookmarkEnd w:id="606"/>
      <w:bookmarkEnd w:id="607"/>
      <w:bookmarkEnd w:id="608"/>
    </w:p>
    <w:p w14:paraId="209D53FC">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除专用合同条款另有约定外，有下述情形之一，当事人可发出书面通知全部或部分地解除合同，合同自通知到达对方时全部或部分地解除：</w:t>
      </w:r>
    </w:p>
    <w:p w14:paraId="6AA58CE0">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609" w:name="_Toc14534"/>
      <w:bookmarkStart w:id="610" w:name="_Toc19234"/>
      <w:bookmarkStart w:id="611" w:name="_Toc31440"/>
      <w:bookmarkStart w:id="612" w:name="_Toc28637"/>
      <w:r>
        <w:rPr>
          <w:rFonts w:hint="eastAsia" w:ascii="宋体" w:hAnsi="宋体" w:eastAsia="宋体" w:cs="宋体"/>
          <w:kern w:val="2"/>
          <w:sz w:val="21"/>
          <w:szCs w:val="21"/>
          <w:highlight w:val="none"/>
          <w:lang w:val="en-US" w:eastAsia="zh-CN" w:bidi="ar-SA"/>
        </w:rPr>
        <w:t>（1）卖方迟延交付合同设备超过 3个月；</w:t>
      </w:r>
      <w:bookmarkEnd w:id="609"/>
      <w:bookmarkEnd w:id="610"/>
      <w:bookmarkEnd w:id="611"/>
      <w:bookmarkEnd w:id="612"/>
    </w:p>
    <w:p w14:paraId="01729924">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（2）合同设备由于卖方原因三次考核均未能达到技术性能考核指标或在合同约定了或双方</w:t>
      </w:r>
      <w:r>
        <w:rPr>
          <w:rFonts w:hint="eastAsia" w:ascii="宋体" w:hAnsi="宋体" w:eastAsia="宋体" w:cs="宋体"/>
          <w:spacing w:val="-1"/>
          <w:kern w:val="2"/>
          <w:sz w:val="21"/>
          <w:szCs w:val="21"/>
          <w:highlight w:val="none"/>
          <w:lang w:val="en-US" w:eastAsia="zh-CN" w:bidi="ar-SA"/>
        </w:rPr>
        <w:t>在考核中另行达成了最低技术性能考核指标时均未能达到最低技术性能考核指标，且买卖双方</w:t>
      </w:r>
      <w:r>
        <w:rPr>
          <w:rFonts w:hint="eastAsia" w:ascii="宋体" w:hAnsi="宋体" w:eastAsia="宋体" w:cs="宋体"/>
          <w:kern w:val="2"/>
          <w:sz w:val="21"/>
          <w:szCs w:val="21"/>
          <w:highlight w:val="none"/>
          <w:lang w:val="en-US" w:eastAsia="zh-CN" w:bidi="ar-SA"/>
        </w:rPr>
        <w:t>未就合同的后续履行协商达成一致；</w:t>
      </w:r>
    </w:p>
    <w:p w14:paraId="1642BB72">
      <w:pPr>
        <w:widowControl w:val="0"/>
        <w:spacing w:beforeLines="0" w:after="0" w:afterLines="0" w:line="360" w:lineRule="auto"/>
        <w:ind w:left="0" w:right="0" w:firstLine="420" w:firstLineChars="200"/>
        <w:outlineLvl w:val="9"/>
        <w:rPr>
          <w:rFonts w:hint="eastAsia" w:ascii="宋体" w:hAnsi="宋体" w:eastAsia="宋体" w:cs="宋体"/>
          <w:kern w:val="2"/>
          <w:sz w:val="21"/>
          <w:szCs w:val="21"/>
          <w:highlight w:val="none"/>
          <w:lang w:val="en-US" w:eastAsia="zh-CN" w:bidi="ar-SA"/>
        </w:rPr>
      </w:pPr>
      <w:bookmarkStart w:id="613" w:name="_Toc26047"/>
      <w:bookmarkStart w:id="614" w:name="_Toc30691"/>
      <w:bookmarkStart w:id="615" w:name="_Toc18184"/>
      <w:bookmarkStart w:id="616" w:name="_Toc12865"/>
      <w:r>
        <w:rPr>
          <w:rFonts w:hint="eastAsia" w:ascii="宋体" w:hAnsi="宋体" w:eastAsia="宋体" w:cs="宋体"/>
          <w:kern w:val="2"/>
          <w:sz w:val="21"/>
          <w:szCs w:val="21"/>
          <w:highlight w:val="none"/>
          <w:lang w:val="en-US" w:eastAsia="zh-CN" w:bidi="ar-SA"/>
        </w:rPr>
        <w:t>（3）买方迟延付款超过 3个月；</w:t>
      </w:r>
      <w:bookmarkEnd w:id="613"/>
      <w:bookmarkEnd w:id="614"/>
      <w:bookmarkEnd w:id="615"/>
      <w:bookmarkEnd w:id="616"/>
    </w:p>
    <w:p w14:paraId="727A5330">
      <w:pPr>
        <w:widowControl w:val="0"/>
        <w:spacing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（4）合同一方当事</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未</w:t>
      </w:r>
      <w:r>
        <w:rPr>
          <w:rFonts w:hint="eastAsia" w:ascii="宋体" w:hAnsi="宋体" w:eastAsia="宋体" w:cs="宋体"/>
          <w:spacing w:val="-3"/>
          <w:kern w:val="2"/>
          <w:sz w:val="21"/>
          <w:szCs w:val="21"/>
          <w:highlight w:val="none"/>
          <w:lang w:val="en-US" w:eastAsia="zh-CN" w:bidi="ar-SA"/>
        </w:rPr>
        <w:t>能</w:t>
      </w:r>
      <w:r>
        <w:rPr>
          <w:rFonts w:hint="eastAsia" w:ascii="宋体" w:hAnsi="宋体" w:eastAsia="宋体" w:cs="宋体"/>
          <w:kern w:val="2"/>
          <w:sz w:val="21"/>
          <w:szCs w:val="21"/>
          <w:highlight w:val="none"/>
          <w:lang w:val="en-US" w:eastAsia="zh-CN" w:bidi="ar-SA"/>
        </w:rPr>
        <w:t>履行合同项下任</w:t>
      </w:r>
      <w:r>
        <w:rPr>
          <w:rFonts w:hint="eastAsia" w:ascii="宋体" w:hAnsi="宋体" w:eastAsia="宋体" w:cs="宋体"/>
          <w:spacing w:val="-3"/>
          <w:kern w:val="2"/>
          <w:sz w:val="21"/>
          <w:szCs w:val="21"/>
          <w:highlight w:val="none"/>
          <w:lang w:val="en-US" w:eastAsia="zh-CN" w:bidi="ar-SA"/>
        </w:rPr>
        <w:t>何</w:t>
      </w:r>
      <w:r>
        <w:rPr>
          <w:rFonts w:hint="eastAsia" w:ascii="宋体" w:hAnsi="宋体" w:eastAsia="宋体" w:cs="宋体"/>
          <w:kern w:val="2"/>
          <w:sz w:val="21"/>
          <w:szCs w:val="21"/>
          <w:highlight w:val="none"/>
          <w:lang w:val="en-US" w:eastAsia="zh-CN" w:bidi="ar-SA"/>
        </w:rPr>
        <w:t>其它</w:t>
      </w:r>
      <w:r>
        <w:rPr>
          <w:rFonts w:hint="eastAsia" w:ascii="宋体" w:hAnsi="宋体" w:eastAsia="宋体" w:cs="宋体"/>
          <w:spacing w:val="-3"/>
          <w:kern w:val="2"/>
          <w:sz w:val="21"/>
          <w:szCs w:val="21"/>
          <w:highlight w:val="none"/>
          <w:lang w:val="en-US" w:eastAsia="zh-CN" w:bidi="ar-SA"/>
        </w:rPr>
        <w:t>义</w:t>
      </w:r>
      <w:r>
        <w:rPr>
          <w:rFonts w:hint="eastAsia" w:ascii="宋体" w:hAnsi="宋体" w:eastAsia="宋体" w:cs="宋体"/>
          <w:kern w:val="2"/>
          <w:sz w:val="21"/>
          <w:szCs w:val="21"/>
          <w:highlight w:val="none"/>
          <w:lang w:val="en-US" w:eastAsia="zh-CN" w:bidi="ar-SA"/>
        </w:rPr>
        <w:t>务</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细微义务除</w:t>
      </w:r>
      <w:r>
        <w:rPr>
          <w:rFonts w:hint="eastAsia" w:ascii="宋体" w:hAnsi="宋体" w:eastAsia="宋体" w:cs="宋体"/>
          <w:spacing w:val="-3"/>
          <w:kern w:val="2"/>
          <w:sz w:val="21"/>
          <w:szCs w:val="21"/>
          <w:highlight w:val="none"/>
          <w:lang w:val="en-US" w:eastAsia="zh-CN" w:bidi="ar-SA"/>
        </w:rPr>
        <w:t>外），或在</w:t>
      </w:r>
      <w:r>
        <w:rPr>
          <w:rFonts w:hint="eastAsia" w:ascii="宋体" w:hAnsi="宋体" w:eastAsia="宋体" w:cs="宋体"/>
          <w:kern w:val="2"/>
          <w:sz w:val="21"/>
          <w:szCs w:val="21"/>
          <w:highlight w:val="none"/>
          <w:lang w:val="en-US" w:eastAsia="zh-CN" w:bidi="ar-SA"/>
        </w:rPr>
        <w:t>未事先征得</w:t>
      </w:r>
      <w:r>
        <w:rPr>
          <w:rFonts w:hint="eastAsia" w:ascii="宋体" w:hAnsi="宋体" w:eastAsia="宋体" w:cs="宋体"/>
          <w:spacing w:val="-1"/>
          <w:kern w:val="2"/>
          <w:sz w:val="21"/>
          <w:szCs w:val="21"/>
          <w:highlight w:val="none"/>
          <w:lang w:val="en-US" w:eastAsia="zh-CN" w:bidi="ar-SA"/>
        </w:rPr>
        <w:t>另一方当事人同意的情况下，从事任何可能在实质上不利影响其履行合同能力的活动，经另一</w:t>
      </w:r>
      <w:r>
        <w:rPr>
          <w:rFonts w:hint="eastAsia" w:ascii="宋体" w:hAnsi="宋体" w:eastAsia="宋体" w:cs="宋体"/>
          <w:kern w:val="2"/>
          <w:sz w:val="21"/>
          <w:szCs w:val="21"/>
          <w:highlight w:val="none"/>
          <w:lang w:val="en-US" w:eastAsia="zh-CN" w:bidi="ar-SA"/>
        </w:rPr>
        <w:t>方当事人书面通知后</w:t>
      </w:r>
      <w:r>
        <w:rPr>
          <w:rFonts w:hint="eastAsia" w:ascii="宋体" w:hAnsi="宋体" w:eastAsia="宋体" w:cs="宋体"/>
          <w:spacing w:val="-60"/>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14日内或在专用合同条款约定的其他期限内未能对其行为作出补救；</w:t>
      </w:r>
    </w:p>
    <w:p w14:paraId="230C0A0B">
      <w:pPr>
        <w:widowControl w:val="0"/>
        <w:spacing w:beforeLines="0" w:after="0" w:afterLines="0" w:line="360" w:lineRule="auto"/>
        <w:ind w:left="0" w:right="0" w:firstLine="404"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4"/>
          <w:kern w:val="2"/>
          <w:sz w:val="21"/>
          <w:szCs w:val="21"/>
          <w:highlight w:val="none"/>
          <w:lang w:val="en-US" w:eastAsia="zh-CN" w:bidi="ar-SA"/>
        </w:rPr>
        <w:t>（5）合同一方当事人出现破产、清算、资不抵债、成为失信被执行人等可能丧失履约能力</w:t>
      </w:r>
      <w:r>
        <w:rPr>
          <w:rFonts w:hint="eastAsia" w:ascii="宋体" w:hAnsi="宋体" w:eastAsia="宋体" w:cs="宋体"/>
          <w:kern w:val="2"/>
          <w:sz w:val="21"/>
          <w:szCs w:val="21"/>
          <w:highlight w:val="none"/>
          <w:lang w:val="en-US" w:eastAsia="zh-CN" w:bidi="ar-SA"/>
        </w:rPr>
        <w:t>的情形，且未能提供令对方满意的履约保证金。</w:t>
      </w:r>
    </w:p>
    <w:p w14:paraId="23B6BF7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17" w:name="_Toc9601"/>
      <w:bookmarkStart w:id="618" w:name="_Toc91344956"/>
      <w:bookmarkStart w:id="619" w:name="_Toc12407"/>
      <w:bookmarkStart w:id="620" w:name="_Toc62034486"/>
      <w:bookmarkStart w:id="621" w:name="_Toc534572300"/>
      <w:bookmarkStart w:id="622" w:name="_Toc6561"/>
      <w:bookmarkStart w:id="623" w:name="_Toc18220"/>
      <w:bookmarkStart w:id="624" w:name="_Toc18897"/>
      <w:bookmarkStart w:id="625" w:name="_Toc16161"/>
      <w:bookmarkStart w:id="626" w:name="_Toc54550768"/>
      <w:r>
        <w:rPr>
          <w:rFonts w:hint="eastAsia" w:ascii="宋体" w:hAnsi="宋体" w:eastAsia="宋体" w:cs="宋体"/>
          <w:b/>
          <w:bCs/>
          <w:kern w:val="0"/>
          <w:sz w:val="21"/>
          <w:szCs w:val="21"/>
          <w:highlight w:val="none"/>
          <w:lang w:val="en-US" w:eastAsia="zh-CN" w:bidi="ar-SA"/>
        </w:rPr>
        <w:t>16.不可抗力</w:t>
      </w:r>
      <w:bookmarkEnd w:id="617"/>
      <w:bookmarkEnd w:id="618"/>
      <w:bookmarkEnd w:id="619"/>
      <w:bookmarkEnd w:id="620"/>
      <w:bookmarkEnd w:id="621"/>
      <w:bookmarkEnd w:id="622"/>
      <w:bookmarkEnd w:id="623"/>
      <w:bookmarkEnd w:id="624"/>
      <w:bookmarkEnd w:id="625"/>
      <w:bookmarkEnd w:id="626"/>
    </w:p>
    <w:p w14:paraId="2D223133">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16.1 </w:t>
      </w:r>
      <w:r>
        <w:rPr>
          <w:rFonts w:hint="eastAsia" w:ascii="宋体" w:hAnsi="宋体" w:eastAsia="宋体" w:cs="宋体"/>
          <w:spacing w:val="-3"/>
          <w:kern w:val="2"/>
          <w:sz w:val="21"/>
          <w:szCs w:val="21"/>
          <w:highlight w:val="none"/>
          <w:lang w:val="en-US" w:eastAsia="zh-CN" w:bidi="ar-SA"/>
        </w:rPr>
        <w:t>如果任何一方当事人受到不能预见、不能避免且不能克服的不可抗力事件的影响，例</w:t>
      </w:r>
      <w:r>
        <w:rPr>
          <w:rFonts w:hint="eastAsia" w:ascii="宋体" w:hAnsi="宋体" w:eastAsia="宋体" w:cs="宋体"/>
          <w:spacing w:val="-1"/>
          <w:kern w:val="2"/>
          <w:sz w:val="21"/>
          <w:szCs w:val="21"/>
          <w:highlight w:val="none"/>
          <w:lang w:val="en-US" w:eastAsia="zh-CN" w:bidi="ar-SA"/>
        </w:rPr>
        <w:t>如战争、严重的火灾、台风、地震、洪水和专用合同条款约定的其他情形，而无法履行合同项下的任何义务，则受影响的一方当事人应立即将此类事件的发生通知另一方当事人，并应在不</w:t>
      </w:r>
      <w:r>
        <w:rPr>
          <w:rFonts w:hint="eastAsia" w:ascii="宋体" w:hAnsi="宋体" w:eastAsia="宋体" w:cs="宋体"/>
          <w:kern w:val="2"/>
          <w:sz w:val="21"/>
          <w:szCs w:val="21"/>
          <w:highlight w:val="none"/>
          <w:lang w:val="en-US" w:eastAsia="zh-CN" w:bidi="ar-SA"/>
        </w:rPr>
        <w:t>可抗力事件发生后</w:t>
      </w:r>
      <w:r>
        <w:rPr>
          <w:rFonts w:hint="eastAsia" w:ascii="宋体" w:hAnsi="宋体" w:eastAsia="宋体" w:cs="宋体"/>
          <w:spacing w:val="-58"/>
          <w:kern w:val="2"/>
          <w:sz w:val="21"/>
          <w:szCs w:val="21"/>
          <w:highlight w:val="none"/>
          <w:lang w:val="en-US" w:eastAsia="zh-CN" w:bidi="ar-SA"/>
        </w:rPr>
        <w:t xml:space="preserve"> </w:t>
      </w:r>
      <w:r>
        <w:rPr>
          <w:rFonts w:hint="eastAsia" w:ascii="宋体" w:hAnsi="宋体" w:eastAsia="宋体" w:cs="宋体"/>
          <w:kern w:val="2"/>
          <w:sz w:val="21"/>
          <w:szCs w:val="21"/>
          <w:highlight w:val="none"/>
          <w:lang w:val="en-US" w:eastAsia="zh-CN" w:bidi="ar-SA"/>
        </w:rPr>
        <w:t>28日内将有关当局或机构出具的证明文件提交给另一方当事人。</w:t>
      </w:r>
    </w:p>
    <w:p w14:paraId="3DF33962">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16.2 受不可抗力事件影响的一方当事人对于不可抗力事件导致的任何合同义务的迟延履行或不能履行不承担违约责任。但该方当事人应尽快将不可抗力事件结束或消除的情况通知另一方当事人。</w:t>
      </w:r>
    </w:p>
    <w:p w14:paraId="0536BFA6">
      <w:pPr>
        <w:widowControl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16.3 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1046365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27" w:name="_bookmark141"/>
      <w:bookmarkEnd w:id="627"/>
      <w:bookmarkStart w:id="628" w:name="_Toc22336"/>
      <w:bookmarkStart w:id="629" w:name="_Toc54550769"/>
      <w:bookmarkStart w:id="630" w:name="_Toc62034487"/>
      <w:bookmarkStart w:id="631" w:name="_Toc91344957"/>
      <w:bookmarkStart w:id="632" w:name="_Toc25319"/>
      <w:bookmarkStart w:id="633" w:name="_Toc15616"/>
      <w:bookmarkStart w:id="634" w:name="_Toc1100"/>
      <w:bookmarkStart w:id="635" w:name="_Toc28181"/>
      <w:bookmarkStart w:id="636" w:name="_Toc534572301"/>
      <w:bookmarkStart w:id="637" w:name="_Toc9213"/>
      <w:r>
        <w:rPr>
          <w:rFonts w:hint="eastAsia" w:ascii="宋体" w:hAnsi="宋体" w:eastAsia="宋体" w:cs="宋体"/>
          <w:b/>
          <w:bCs/>
          <w:kern w:val="0"/>
          <w:sz w:val="21"/>
          <w:szCs w:val="21"/>
          <w:highlight w:val="none"/>
          <w:lang w:val="en-US" w:eastAsia="zh-CN" w:bidi="ar-SA"/>
        </w:rPr>
        <w:t>17.争议的解决</w:t>
      </w:r>
      <w:bookmarkEnd w:id="628"/>
      <w:bookmarkEnd w:id="629"/>
      <w:bookmarkEnd w:id="630"/>
      <w:bookmarkEnd w:id="631"/>
      <w:bookmarkEnd w:id="632"/>
      <w:bookmarkEnd w:id="633"/>
      <w:bookmarkEnd w:id="634"/>
      <w:bookmarkEnd w:id="635"/>
      <w:bookmarkEnd w:id="636"/>
      <w:bookmarkEnd w:id="637"/>
    </w:p>
    <w:p w14:paraId="2B044393">
      <w:pPr>
        <w:widowControl w:val="0"/>
        <w:spacing w:beforeLines="0" w:after="0" w:afterLines="0" w:line="360" w:lineRule="auto"/>
        <w:ind w:firstLine="412"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2"/>
          <w:kern w:val="2"/>
          <w:sz w:val="21"/>
          <w:szCs w:val="21"/>
          <w:highlight w:val="none"/>
          <w:lang w:val="en-US" w:eastAsia="zh-CN" w:bidi="ar-SA"/>
        </w:rPr>
        <w:t>因本合同引起的或与本合同有关的任何争议，双方可通过友好协商解决。友好协商解决不成</w:t>
      </w:r>
      <w:r>
        <w:rPr>
          <w:rFonts w:hint="eastAsia" w:ascii="宋体" w:hAnsi="宋体" w:eastAsia="宋体" w:cs="宋体"/>
          <w:kern w:val="2"/>
          <w:sz w:val="21"/>
          <w:szCs w:val="21"/>
          <w:highlight w:val="none"/>
          <w:lang w:val="en-US" w:eastAsia="zh-CN" w:bidi="ar-SA"/>
        </w:rPr>
        <w:t>的，可在专用合同条款中约定下列一种方式解决：</w:t>
      </w:r>
    </w:p>
    <w:p w14:paraId="61C5254D">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（1）向约定的仲裁委员会申请仲裁；</w:t>
      </w:r>
    </w:p>
    <w:p w14:paraId="6F3EB782">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（2）向有管辖权的人民法院提起诉讼。</w:t>
      </w:r>
    </w:p>
    <w:p w14:paraId="5FCB5E96">
      <w:pPr>
        <w:widowControl/>
        <w:adjustRightInd w:val="0"/>
        <w:snapToGrid w:val="0"/>
        <w:spacing w:before="0" w:beforeLines="0" w:after="0"/>
        <w:ind w:firstLineChars="200"/>
        <w:jc w:val="center"/>
        <w:outlineLvl w:val="9"/>
        <w:rPr>
          <w:rFonts w:hint="eastAsia" w:ascii="宋体" w:hAnsi="宋体" w:eastAsia="宋体" w:cs="宋体"/>
          <w:b/>
          <w:szCs w:val="22"/>
          <w:highlight w:val="none"/>
        </w:rPr>
      </w:pPr>
      <w:bookmarkStart w:id="638" w:name="_Toc229305386"/>
      <w:bookmarkStart w:id="639" w:name="_Toc221948340"/>
      <w:bookmarkStart w:id="640" w:name="_Toc222032695"/>
      <w:bookmarkStart w:id="641" w:name="_Toc222033877"/>
      <w:bookmarkStart w:id="642" w:name="_Toc222031028"/>
      <w:bookmarkStart w:id="643" w:name="_Toc222029526"/>
      <w:bookmarkStart w:id="644" w:name="_Toc221951110"/>
      <w:bookmarkStart w:id="645" w:name="_Toc350347466"/>
      <w:r>
        <w:rPr>
          <w:rFonts w:hint="eastAsia" w:ascii="宋体" w:hAnsi="宋体" w:eastAsia="宋体" w:cs="宋体"/>
          <w:szCs w:val="22"/>
          <w:highlight w:val="none"/>
        </w:rPr>
        <w:br w:type="page"/>
      </w:r>
      <w:bookmarkStart w:id="646" w:name="_Toc91344958"/>
      <w:bookmarkStart w:id="647" w:name="_Toc62034488"/>
      <w:bookmarkStart w:id="648" w:name="_Toc15479"/>
      <w:bookmarkStart w:id="649" w:name="_Toc27082"/>
      <w:r>
        <w:rPr>
          <w:rFonts w:hint="eastAsia" w:ascii="宋体" w:hAnsi="宋体" w:eastAsia="宋体" w:cs="宋体"/>
          <w:b/>
          <w:sz w:val="24"/>
          <w:szCs w:val="24"/>
          <w:highlight w:val="none"/>
        </w:rPr>
        <w:t>第二节 专用合同条款</w:t>
      </w:r>
      <w:bookmarkEnd w:id="638"/>
      <w:bookmarkEnd w:id="639"/>
      <w:bookmarkEnd w:id="640"/>
      <w:bookmarkEnd w:id="641"/>
      <w:bookmarkEnd w:id="642"/>
      <w:bookmarkEnd w:id="643"/>
      <w:bookmarkEnd w:id="644"/>
      <w:bookmarkEnd w:id="645"/>
      <w:bookmarkEnd w:id="646"/>
      <w:bookmarkEnd w:id="647"/>
      <w:bookmarkEnd w:id="648"/>
      <w:bookmarkEnd w:id="649"/>
    </w:p>
    <w:p w14:paraId="28337B13">
      <w:pPr>
        <w:widowControl w:val="0"/>
        <w:adjustRightInd w:val="0"/>
        <w:snapToGrid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650" w:name="_Toc62034489"/>
      <w:bookmarkStart w:id="651" w:name="_Toc54550771"/>
      <w:bookmarkStart w:id="652" w:name="_Toc28512"/>
      <w:bookmarkStart w:id="653" w:name="_Toc20100"/>
      <w:bookmarkStart w:id="654" w:name="_Toc24932"/>
      <w:bookmarkStart w:id="655" w:name="_Toc91344959"/>
      <w:bookmarkStart w:id="656" w:name="_Toc4029"/>
      <w:bookmarkStart w:id="657" w:name="_Toc534572303"/>
      <w:bookmarkStart w:id="658" w:name="_Toc168476293"/>
      <w:bookmarkStart w:id="659" w:name="_Toc168475890"/>
      <w:bookmarkStart w:id="660" w:name="_Toc144974834"/>
      <w:r>
        <w:rPr>
          <w:rFonts w:hint="eastAsia" w:ascii="宋体" w:hAnsi="宋体" w:eastAsia="宋体" w:cs="宋体"/>
          <w:b/>
          <w:bCs/>
          <w:kern w:val="0"/>
          <w:sz w:val="21"/>
          <w:szCs w:val="21"/>
          <w:highlight w:val="none"/>
          <w:lang w:val="en-US" w:eastAsia="zh-CN" w:bidi="ar-SA"/>
        </w:rPr>
        <w:t>1.一般约定</w:t>
      </w:r>
      <w:bookmarkEnd w:id="650"/>
      <w:bookmarkEnd w:id="651"/>
      <w:bookmarkEnd w:id="652"/>
      <w:bookmarkEnd w:id="653"/>
      <w:bookmarkEnd w:id="654"/>
      <w:bookmarkEnd w:id="655"/>
      <w:bookmarkEnd w:id="656"/>
      <w:bookmarkEnd w:id="657"/>
    </w:p>
    <w:p w14:paraId="52A3A913">
      <w:pPr>
        <w:widowControl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661" w:name="_Toc22907"/>
      <w:r>
        <w:rPr>
          <w:rFonts w:hint="eastAsia" w:ascii="宋体" w:hAnsi="宋体" w:eastAsia="宋体" w:cs="宋体"/>
          <w:bCs/>
          <w:kern w:val="0"/>
          <w:sz w:val="21"/>
          <w:szCs w:val="21"/>
          <w:highlight w:val="none"/>
          <w:lang w:val="en-US" w:eastAsia="zh-CN" w:bidi="ar-SA"/>
        </w:rPr>
        <w:t>1.1  词语定义</w:t>
      </w:r>
      <w:bookmarkEnd w:id="661"/>
    </w:p>
    <w:p w14:paraId="1946B72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1.1.13.1 工程：驻马店市薄山水库除险加固工程（一期）（二次）</w:t>
      </w:r>
    </w:p>
    <w:p w14:paraId="25141D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1.1.13.2 施工现场：</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4C4EBF6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1.1.9 验收：</w:t>
      </w:r>
    </w:p>
    <w:p w14:paraId="6E1680C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现场安装调试验收：指合同产品（设备）通过规定的验收试验和试运行合格并对设备进行检查符合合同要求后，买方组织相关单位对各设备分别签发“现场安装调试验收证书”。</w:t>
      </w:r>
    </w:p>
    <w:p w14:paraId="73C37F1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最终验收：按合同规定的产品质量保证期满时，经合同双方按合同文件对产品进行全面检查合格后，由买方组织相关单位对该产品签发“最终验收证书”。</w:t>
      </w:r>
    </w:p>
    <w:p w14:paraId="469C8CF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1.1.11 质量保证期：合同工程验收证书签发之日</w:t>
      </w:r>
      <w:r>
        <w:rPr>
          <w:rFonts w:hint="eastAsia" w:ascii="宋体" w:hAnsi="宋体" w:eastAsia="宋体" w:cs="宋体"/>
          <w:bCs/>
          <w:color w:val="auto"/>
          <w:kern w:val="2"/>
          <w:sz w:val="21"/>
          <w:szCs w:val="21"/>
          <w:highlight w:val="none"/>
          <w:lang w:val="en-US" w:eastAsia="zh-CN" w:bidi="ar-SA"/>
        </w:rPr>
        <w:t>起的2年为设备质量保证期（设备中有明确要求的除外</w:t>
      </w:r>
      <w:r>
        <w:rPr>
          <w:rFonts w:hint="eastAsia" w:ascii="宋体" w:hAnsi="宋体" w:eastAsia="宋体" w:cs="宋体"/>
          <w:color w:val="auto"/>
          <w:kern w:val="2"/>
          <w:sz w:val="21"/>
          <w:szCs w:val="21"/>
          <w:highlight w:val="none"/>
          <w:lang w:val="en-US" w:eastAsia="zh-CN" w:bidi="ar-SA"/>
        </w:rPr>
        <w:t>），若在保证期内发现重大缺陷，则卖方需按合同规定修复，并重新开始计算保证期。</w:t>
      </w:r>
    </w:p>
    <w:p w14:paraId="7EB16925">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u w:val="single"/>
          <w:lang w:val="en-US" w:eastAsia="zh-CN" w:bidi="ar-SA"/>
        </w:rPr>
      </w:pPr>
      <w:r>
        <w:rPr>
          <w:rFonts w:hint="eastAsia" w:ascii="宋体" w:hAnsi="宋体" w:eastAsia="宋体" w:cs="宋体"/>
          <w:kern w:val="2"/>
          <w:sz w:val="21"/>
          <w:szCs w:val="21"/>
          <w:highlight w:val="none"/>
          <w:lang w:val="en-US" w:eastAsia="zh-CN" w:bidi="ar-SA"/>
        </w:rPr>
        <w:t>1.1.17 监理单位：</w:t>
      </w:r>
      <w:r>
        <w:rPr>
          <w:rFonts w:hint="eastAsia" w:ascii="宋体" w:hAnsi="宋体" w:eastAsia="宋体" w:cs="宋体"/>
          <w:kern w:val="2"/>
          <w:sz w:val="21"/>
          <w:szCs w:val="21"/>
          <w:highlight w:val="none"/>
          <w:u w:val="single"/>
          <w:lang w:val="en-US" w:eastAsia="zh-CN" w:bidi="ar-SA"/>
        </w:rPr>
        <w:t xml:space="preserve">                     </w:t>
      </w:r>
    </w:p>
    <w:p w14:paraId="7A171A56">
      <w:pPr>
        <w:widowControl w:val="0"/>
        <w:adjustRightInd w:val="0"/>
        <w:snapToGrid w:val="0"/>
        <w:spacing w:beforeLines="0" w:afterLines="0" w:line="360" w:lineRule="auto"/>
        <w:ind w:left="0" w:right="0" w:firstLine="420" w:firstLineChars="200"/>
        <w:outlineLvl w:val="9"/>
        <w:rPr>
          <w:rFonts w:hint="eastAsia" w:ascii="宋体" w:hAnsi="宋体" w:eastAsia="宋体" w:cs="宋体"/>
          <w:bCs/>
          <w:kern w:val="0"/>
          <w:sz w:val="21"/>
          <w:szCs w:val="21"/>
          <w:highlight w:val="none"/>
          <w:lang w:val="en-US" w:eastAsia="zh-CN" w:bidi="ar-SA"/>
        </w:rPr>
      </w:pPr>
      <w:bookmarkStart w:id="662" w:name="_Toc28321"/>
      <w:bookmarkStart w:id="663" w:name="_Toc62034490"/>
      <w:bookmarkStart w:id="664" w:name="_Toc28982"/>
      <w:bookmarkStart w:id="665" w:name="_Toc18659"/>
      <w:bookmarkStart w:id="666" w:name="_Toc23713"/>
      <w:bookmarkStart w:id="667" w:name="_Toc54550772"/>
      <w:bookmarkStart w:id="668" w:name="_Toc31783"/>
      <w:r>
        <w:rPr>
          <w:rFonts w:hint="eastAsia" w:ascii="宋体" w:hAnsi="宋体" w:eastAsia="宋体" w:cs="宋体"/>
          <w:bCs/>
          <w:kern w:val="0"/>
          <w:sz w:val="21"/>
          <w:szCs w:val="21"/>
          <w:highlight w:val="none"/>
          <w:lang w:val="en-US" w:eastAsia="zh-CN" w:bidi="ar-SA"/>
        </w:rPr>
        <w:t>1.5  联络</w:t>
      </w:r>
      <w:bookmarkEnd w:id="662"/>
      <w:bookmarkEnd w:id="663"/>
      <w:bookmarkEnd w:id="664"/>
      <w:bookmarkEnd w:id="665"/>
      <w:bookmarkEnd w:id="666"/>
      <w:bookmarkEnd w:id="667"/>
      <w:bookmarkEnd w:id="668"/>
    </w:p>
    <w:p w14:paraId="3EEC2454">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1.5.1（1）买方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1BA591E4">
      <w:pPr>
        <w:widowControl w:val="0"/>
        <w:adjustRightInd w:val="0"/>
        <w:snapToGrid w:val="0"/>
        <w:spacing w:beforeLines="0" w:after="0" w:afterLines="0" w:line="360" w:lineRule="auto"/>
        <w:ind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（2）卖方</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联系电话：</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w:t>
      </w:r>
    </w:p>
    <w:p w14:paraId="20717D4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1.5.3设计联络会</w:t>
      </w:r>
    </w:p>
    <w:p w14:paraId="1574141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（1）确定联络人合同签署时，双方应各自明确并提交经法定代表人授权的联络人名单，以后联络人的变动必须以书面形式通知对方。</w:t>
      </w:r>
    </w:p>
    <w:p w14:paraId="5E455161">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联络会是为解决合同产品在设计、生产、运输、安装过程中出现的问题而建立的会商、处理机制。由双方、监理人、工程设计单位、施工方参加，第一次联络会应在合同产品生产前进行设计交底和审查卖方提供的产品设计图纸，包括审查产品设计图及制造的工艺流程及技术措施、产品制造的质量控制、详细的制造进度安排及产品技术接口、分工与衔接，并组织买方等与会者对制造厂的参观，检查卖方在投标时的承诺和产品制造的质量保证。</w:t>
      </w:r>
    </w:p>
    <w:p w14:paraId="157938A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（3）联络会议应形成会议纪要，如对合同条款做修改时，必须由双方联络人签字，并履行合同修改要求的程序才能有效。会议纪要作为合同的补充文件，对双方具有约束作用，双方必须严格遵守。</w:t>
      </w:r>
    </w:p>
    <w:p w14:paraId="2D603C6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（4）召开时间、地点由买方确定并通知相关各方。</w:t>
      </w:r>
    </w:p>
    <w:p w14:paraId="7C4EEE8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设计联络会要做好记录并编写会议纪要。记录和纪要由卖方负责，并经过买方同意。纪要应包括讨论的项目、内容和得出的结论，由有关各方首席代表签字确认后生效，与合同具有同等效力。纪要发给与会者。</w:t>
      </w:r>
    </w:p>
    <w:p w14:paraId="614AA96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（6）参加人员应包括买方、监理人、施工单位和工程设计单位的代表等。参加会议所发生的场地费、资料费等与之相关的费用均由卖方承担。</w:t>
      </w:r>
    </w:p>
    <w:p w14:paraId="5E8AEDCF">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kern w:val="0"/>
          <w:sz w:val="21"/>
          <w:szCs w:val="21"/>
          <w:highlight w:val="none"/>
          <w:lang w:val="en-US" w:eastAsia="zh-CN" w:bidi="ar-SA"/>
        </w:rPr>
      </w:pPr>
      <w:bookmarkStart w:id="669" w:name="_Toc62034491"/>
      <w:bookmarkStart w:id="670" w:name="_Toc12922"/>
      <w:bookmarkStart w:id="671" w:name="_Toc21955"/>
      <w:bookmarkStart w:id="672" w:name="_Toc21724"/>
      <w:bookmarkStart w:id="673" w:name="_Toc54550773"/>
      <w:bookmarkStart w:id="674" w:name="_Toc3886"/>
      <w:bookmarkStart w:id="675" w:name="_Toc7794"/>
      <w:r>
        <w:rPr>
          <w:rFonts w:hint="eastAsia" w:ascii="宋体" w:hAnsi="宋体" w:eastAsia="宋体" w:cs="宋体"/>
          <w:kern w:val="0"/>
          <w:sz w:val="21"/>
          <w:szCs w:val="21"/>
          <w:highlight w:val="none"/>
          <w:lang w:val="en-US" w:eastAsia="zh-CN" w:bidi="ar-SA"/>
        </w:rPr>
        <w:t>3.1  合同价格</w:t>
      </w:r>
      <w:bookmarkEnd w:id="669"/>
      <w:bookmarkEnd w:id="670"/>
      <w:bookmarkEnd w:id="671"/>
      <w:bookmarkEnd w:id="672"/>
      <w:bookmarkEnd w:id="673"/>
      <w:bookmarkEnd w:id="674"/>
    </w:p>
    <w:p w14:paraId="27FFCF6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3.1.2 本合同为固定单价合同，单价不予调整。</w:t>
      </w:r>
    </w:p>
    <w:bookmarkEnd w:id="675"/>
    <w:p w14:paraId="5EBE3DB7">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676" w:name="_Toc6029"/>
      <w:bookmarkStart w:id="677" w:name="_Toc54550775"/>
      <w:bookmarkStart w:id="678" w:name="_Toc62034493"/>
      <w:bookmarkStart w:id="679" w:name="_Toc29791"/>
      <w:r>
        <w:rPr>
          <w:rFonts w:hint="eastAsia" w:ascii="宋体" w:hAnsi="宋体" w:eastAsia="宋体" w:cs="宋体"/>
          <w:bCs/>
          <w:kern w:val="0"/>
          <w:sz w:val="21"/>
          <w:szCs w:val="21"/>
          <w:highlight w:val="none"/>
          <w:lang w:val="en-US" w:eastAsia="zh-CN" w:bidi="ar-SA"/>
        </w:rPr>
        <w:t>3.2  合同价款的支付</w:t>
      </w:r>
      <w:bookmarkEnd w:id="676"/>
    </w:p>
    <w:p w14:paraId="5F0ED374">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0" w:name="_Toc26354"/>
      <w:r>
        <w:rPr>
          <w:rFonts w:hint="eastAsia" w:ascii="宋体" w:hAnsi="宋体" w:eastAsia="宋体" w:cs="宋体"/>
          <w:bCs/>
          <w:color w:val="auto"/>
          <w:kern w:val="0"/>
          <w:sz w:val="21"/>
          <w:szCs w:val="21"/>
          <w:highlight w:val="none"/>
          <w:lang w:val="en-US" w:eastAsia="zh-CN" w:bidi="ar-SA"/>
        </w:rPr>
        <w:t>3.2.1预付款</w:t>
      </w:r>
      <w:bookmarkEnd w:id="680"/>
    </w:p>
    <w:p w14:paraId="6BFF2C6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1" w:name="_Toc4616"/>
      <w:r>
        <w:rPr>
          <w:rFonts w:hint="eastAsia" w:ascii="宋体" w:hAnsi="宋体" w:eastAsia="宋体" w:cs="宋体"/>
          <w:bCs/>
          <w:color w:val="auto"/>
          <w:kern w:val="0"/>
          <w:sz w:val="21"/>
          <w:szCs w:val="21"/>
          <w:highlight w:val="none"/>
          <w:lang w:val="en-US" w:eastAsia="zh-CN" w:bidi="ar-SA"/>
        </w:rPr>
        <w:t>买方应通过以下方式和比例向卖方支付预付款：</w:t>
      </w:r>
      <w:bookmarkEnd w:id="681"/>
    </w:p>
    <w:p w14:paraId="7CE9A72D">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2" w:name="_Toc4649"/>
      <w:r>
        <w:rPr>
          <w:rFonts w:hint="default" w:ascii="宋体" w:hAnsi="宋体" w:eastAsia="宋体" w:cs="宋体"/>
          <w:bCs/>
          <w:color w:val="auto"/>
          <w:kern w:val="0"/>
          <w:sz w:val="21"/>
          <w:szCs w:val="21"/>
          <w:highlight w:val="none"/>
          <w:lang w:val="en-US" w:eastAsia="zh-CN" w:bidi="ar-SA"/>
        </w:rPr>
        <w:t>签订</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合同一个月内支付</w:t>
      </w:r>
      <w:r>
        <w:rPr>
          <w:rFonts w:hint="eastAsia" w:ascii="宋体" w:hAnsi="宋体" w:eastAsia="宋体" w:cs="宋体"/>
          <w:bCs/>
          <w:color w:val="auto"/>
          <w:kern w:val="0"/>
          <w:sz w:val="21"/>
          <w:szCs w:val="21"/>
          <w:highlight w:val="none"/>
          <w:lang w:val="en-US" w:eastAsia="zh-CN" w:bidi="ar-SA"/>
        </w:rPr>
        <w:t>购置</w:t>
      </w:r>
      <w:r>
        <w:rPr>
          <w:rFonts w:hint="default" w:ascii="宋体" w:hAnsi="宋体" w:eastAsia="宋体" w:cs="宋体"/>
          <w:bCs/>
          <w:color w:val="auto"/>
          <w:kern w:val="0"/>
          <w:sz w:val="21"/>
          <w:szCs w:val="21"/>
          <w:highlight w:val="none"/>
          <w:lang w:val="en-US" w:eastAsia="zh-CN" w:bidi="ar-SA"/>
        </w:rPr>
        <w:t>合同额的20%；并经监理出具付款证书报送发包人批准后，发包人14天内办理支付手续。</w:t>
      </w:r>
    </w:p>
    <w:p w14:paraId="2B3943D0">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F01B8B6">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卖方</w:t>
      </w:r>
      <w:r>
        <w:rPr>
          <w:rFonts w:hint="default" w:ascii="宋体" w:hAnsi="宋体" w:eastAsia="宋体" w:cs="宋体"/>
          <w:bCs/>
          <w:color w:val="auto"/>
          <w:kern w:val="0"/>
          <w:sz w:val="21"/>
          <w:szCs w:val="21"/>
          <w:highlight w:val="none"/>
          <w:lang w:val="en-US" w:eastAsia="zh-CN" w:bidi="ar-SA"/>
        </w:rPr>
        <w:t>应提供真实有效的发票。</w:t>
      </w:r>
    </w:p>
    <w:p w14:paraId="62F38D7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3.2.2交货款</w:t>
      </w:r>
      <w:bookmarkEnd w:id="682"/>
    </w:p>
    <w:p w14:paraId="586C940A">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3" w:name="_Toc26307"/>
      <w:r>
        <w:rPr>
          <w:rFonts w:hint="eastAsia" w:ascii="宋体" w:hAnsi="宋体" w:eastAsia="宋体" w:cs="宋体"/>
          <w:bCs/>
          <w:color w:val="auto"/>
          <w:kern w:val="0"/>
          <w:sz w:val="21"/>
          <w:szCs w:val="21"/>
          <w:highlight w:val="none"/>
          <w:lang w:val="en-US" w:eastAsia="zh-CN" w:bidi="ar-SA"/>
        </w:rPr>
        <w:t>买方应通过以下方式和比例向卖方支付合同交货款价款：</w:t>
      </w:r>
      <w:bookmarkEnd w:id="683"/>
    </w:p>
    <w:p w14:paraId="1E6CC4A1">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4" w:name="_Toc10729"/>
      <w:r>
        <w:rPr>
          <w:rFonts w:hint="eastAsia" w:ascii="宋体" w:hAnsi="宋体" w:eastAsia="宋体" w:cs="宋体"/>
          <w:bCs/>
          <w:color w:val="auto"/>
          <w:kern w:val="0"/>
          <w:sz w:val="21"/>
          <w:szCs w:val="21"/>
          <w:highlight w:val="none"/>
          <w:lang w:val="en-US" w:eastAsia="zh-CN" w:bidi="ar-SA"/>
        </w:rPr>
        <w:t>经监理人和买方、施工方、设计单位施工现场开箱</w:t>
      </w:r>
      <w:r>
        <w:rPr>
          <w:rFonts w:hint="eastAsia" w:ascii="宋体" w:hAnsi="宋体" w:eastAsia="宋体" w:cs="宋体"/>
          <w:color w:val="auto"/>
          <w:kern w:val="0"/>
          <w:sz w:val="21"/>
          <w:szCs w:val="21"/>
          <w:highlight w:val="none"/>
          <w:lang w:val="en-US" w:eastAsia="zh-CN" w:bidi="ar-SA"/>
        </w:rPr>
        <w:t>验收</w:t>
      </w:r>
      <w:r>
        <w:rPr>
          <w:rFonts w:hint="eastAsia" w:ascii="宋体" w:hAnsi="宋体" w:eastAsia="宋体" w:cs="宋体"/>
          <w:bCs/>
          <w:color w:val="auto"/>
          <w:kern w:val="0"/>
          <w:sz w:val="21"/>
          <w:szCs w:val="21"/>
          <w:highlight w:val="none"/>
          <w:lang w:val="en-US" w:eastAsia="zh-CN" w:bidi="ar-SA"/>
        </w:rPr>
        <w:t>合格，由监理人出具支付证书14天内，支付至该批货物合同额的80%（包含预付款），</w:t>
      </w:r>
      <w:bookmarkEnd w:id="684"/>
      <w:r>
        <w:rPr>
          <w:rFonts w:hint="default" w:ascii="宋体" w:hAnsi="宋体" w:eastAsia="宋体" w:cs="宋体"/>
          <w:bCs/>
          <w:color w:val="auto"/>
          <w:kern w:val="0"/>
          <w:sz w:val="21"/>
          <w:szCs w:val="21"/>
          <w:highlight w:val="none"/>
          <w:lang w:val="en-US" w:eastAsia="zh-CN" w:bidi="ar-SA"/>
        </w:rPr>
        <w:t>发包人14天内办理支付手续。</w:t>
      </w:r>
    </w:p>
    <w:p w14:paraId="665047CA">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r>
        <w:rPr>
          <w:rFonts w:hint="default" w:ascii="宋体" w:hAnsi="宋体" w:eastAsia="宋体" w:cs="宋体"/>
          <w:bCs/>
          <w:color w:val="auto"/>
          <w:kern w:val="0"/>
          <w:sz w:val="21"/>
          <w:szCs w:val="21"/>
          <w:highlight w:val="none"/>
          <w:lang w:val="en-US" w:eastAsia="zh-CN" w:bidi="ar-SA"/>
        </w:rPr>
        <w:t>发包人必须及时按上述约定支付承包人工程款，但因财政拨付原因导致支付逾期的情形除外。</w:t>
      </w:r>
    </w:p>
    <w:p w14:paraId="45A20864">
      <w:pPr>
        <w:widowControl w:val="0"/>
        <w:adjustRightInd w:val="0"/>
        <w:snapToGrid w:val="0"/>
        <w:spacing w:beforeLines="0" w:afterLines="0" w:line="360" w:lineRule="auto"/>
        <w:ind w:left="237" w:right="0"/>
        <w:jc w:val="both"/>
        <w:outlineLvl w:val="9"/>
        <w:rPr>
          <w:rFonts w:hint="eastAsia" w:ascii="宋体" w:hAnsi="宋体" w:eastAsia="宋体" w:cs="宋体"/>
          <w:bCs/>
          <w:color w:val="auto"/>
          <w:kern w:val="0"/>
          <w:sz w:val="21"/>
          <w:szCs w:val="21"/>
          <w:highlight w:val="none"/>
          <w:lang w:val="en-US" w:eastAsia="zh-CN" w:bidi="ar-SA"/>
        </w:rPr>
      </w:pPr>
      <w:bookmarkStart w:id="685" w:name="_Toc11339"/>
      <w:r>
        <w:rPr>
          <w:rFonts w:hint="eastAsia" w:ascii="宋体" w:hAnsi="宋体" w:eastAsia="宋体" w:cs="宋体"/>
          <w:bCs/>
          <w:color w:val="auto"/>
          <w:kern w:val="0"/>
          <w:sz w:val="21"/>
          <w:szCs w:val="21"/>
          <w:highlight w:val="none"/>
          <w:lang w:val="en-US" w:eastAsia="zh-CN" w:bidi="ar-SA"/>
        </w:rPr>
        <w:t>3.2.3 验收款</w:t>
      </w:r>
      <w:bookmarkEnd w:id="685"/>
    </w:p>
    <w:p w14:paraId="390073A1">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6" w:name="_Toc21912"/>
      <w:r>
        <w:rPr>
          <w:rFonts w:hint="eastAsia" w:ascii="宋体" w:hAnsi="宋体" w:eastAsia="宋体" w:cs="宋体"/>
          <w:bCs/>
          <w:color w:val="auto"/>
          <w:kern w:val="0"/>
          <w:sz w:val="21"/>
          <w:szCs w:val="21"/>
          <w:highlight w:val="none"/>
          <w:lang w:val="en-US" w:eastAsia="zh-CN" w:bidi="ar-SA"/>
        </w:rPr>
        <w:t>买方应通过以下方式和比例向卖方支付合同验收款价款：</w:t>
      </w:r>
      <w:bookmarkEnd w:id="686"/>
    </w:p>
    <w:p w14:paraId="34732FCF">
      <w:pPr>
        <w:widowControl w:val="0"/>
        <w:adjustRightInd w:val="0"/>
        <w:snapToGrid w:val="0"/>
        <w:spacing w:beforeLines="0" w:afterLines="0" w:line="360" w:lineRule="auto"/>
        <w:ind w:left="0" w:right="0" w:firstLine="420" w:firstLineChars="200"/>
        <w:jc w:val="both"/>
        <w:outlineLvl w:val="9"/>
        <w:rPr>
          <w:rFonts w:hint="default" w:ascii="宋体" w:hAnsi="宋体" w:eastAsia="宋体" w:cs="宋体"/>
          <w:bCs/>
          <w:color w:val="auto"/>
          <w:kern w:val="0"/>
          <w:sz w:val="21"/>
          <w:szCs w:val="21"/>
          <w:highlight w:val="none"/>
          <w:lang w:val="en-US" w:eastAsia="zh-CN" w:bidi="ar-SA"/>
        </w:rPr>
      </w:pPr>
      <w:bookmarkStart w:id="687" w:name="_Toc19591"/>
      <w:r>
        <w:rPr>
          <w:rFonts w:hint="eastAsia" w:ascii="宋体" w:hAnsi="宋体" w:eastAsia="宋体" w:cs="宋体"/>
          <w:bCs/>
          <w:color w:val="auto"/>
          <w:kern w:val="0"/>
          <w:sz w:val="21"/>
          <w:szCs w:val="21"/>
          <w:highlight w:val="none"/>
          <w:lang w:val="en-US" w:eastAsia="zh-CN" w:bidi="ar-SA"/>
        </w:rPr>
        <w:t>设备安装验收合格并经联合调试验收合格后支付剩余合同额，</w:t>
      </w:r>
      <w:r>
        <w:rPr>
          <w:rFonts w:hint="default" w:ascii="宋体" w:hAnsi="宋体" w:eastAsia="宋体" w:cs="宋体"/>
          <w:bCs/>
          <w:color w:val="auto"/>
          <w:kern w:val="0"/>
          <w:sz w:val="21"/>
          <w:szCs w:val="21"/>
          <w:highlight w:val="none"/>
          <w:lang w:val="en-US" w:eastAsia="zh-CN" w:bidi="ar-SA"/>
        </w:rPr>
        <w:t>并经监理出具付款证书报送发包人批准后</w:t>
      </w:r>
      <w:r>
        <w:rPr>
          <w:rFonts w:hint="eastAsia" w:ascii="宋体" w:hAnsi="宋体" w:eastAsia="宋体" w:cs="宋体"/>
          <w:bCs/>
          <w:color w:val="auto"/>
          <w:kern w:val="0"/>
          <w:sz w:val="21"/>
          <w:szCs w:val="21"/>
          <w:highlight w:val="none"/>
          <w:lang w:val="en-US" w:eastAsia="zh-CN" w:bidi="ar-SA"/>
        </w:rPr>
        <w:t>，</w:t>
      </w:r>
      <w:r>
        <w:rPr>
          <w:rFonts w:hint="default" w:ascii="宋体" w:hAnsi="宋体" w:eastAsia="宋体" w:cs="宋体"/>
          <w:bCs/>
          <w:color w:val="auto"/>
          <w:kern w:val="0"/>
          <w:sz w:val="21"/>
          <w:szCs w:val="21"/>
          <w:highlight w:val="none"/>
          <w:lang w:val="en-US" w:eastAsia="zh-CN" w:bidi="ar-SA"/>
        </w:rPr>
        <w:t>发包人14天内办理支付手续。</w:t>
      </w:r>
    </w:p>
    <w:p w14:paraId="0A00527D">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r>
        <w:rPr>
          <w:rFonts w:hint="eastAsia" w:ascii="宋体" w:hAnsi="宋体" w:eastAsia="宋体" w:cs="宋体"/>
          <w:bCs/>
          <w:color w:val="auto"/>
          <w:kern w:val="0"/>
          <w:sz w:val="21"/>
          <w:szCs w:val="21"/>
          <w:highlight w:val="none"/>
          <w:lang w:val="en-US" w:eastAsia="zh-CN" w:bidi="ar-SA"/>
        </w:rPr>
        <w:t>在履约保函期限结束前需向发包人递交总价款3%的银行出具的见索即付质量保证金保函。</w:t>
      </w:r>
      <w:bookmarkEnd w:id="687"/>
    </w:p>
    <w:p w14:paraId="0CAC5275">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auto"/>
          <w:kern w:val="0"/>
          <w:sz w:val="21"/>
          <w:szCs w:val="21"/>
          <w:highlight w:val="none"/>
          <w:lang w:val="en-US" w:eastAsia="zh-CN" w:bidi="ar-SA"/>
        </w:rPr>
      </w:pPr>
      <w:bookmarkStart w:id="688" w:name="_Toc17064"/>
      <w:r>
        <w:rPr>
          <w:rFonts w:hint="eastAsia" w:ascii="宋体" w:hAnsi="宋体" w:eastAsia="宋体" w:cs="宋体"/>
          <w:bCs/>
          <w:color w:val="auto"/>
          <w:kern w:val="0"/>
          <w:sz w:val="21"/>
          <w:szCs w:val="21"/>
          <w:highlight w:val="none"/>
          <w:lang w:val="en-US" w:eastAsia="zh-CN" w:bidi="ar-SA"/>
        </w:rPr>
        <w:t>注：每次付款前卖方需提供真实有效的发票。</w:t>
      </w:r>
      <w:bookmarkEnd w:id="688"/>
    </w:p>
    <w:p w14:paraId="2BA82772">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689" w:name="_Toc9117"/>
      <w:bookmarkStart w:id="690" w:name="_Toc511"/>
      <w:bookmarkStart w:id="691" w:name="_Toc9878"/>
      <w:bookmarkStart w:id="692" w:name="_Toc8690"/>
      <w:r>
        <w:rPr>
          <w:rFonts w:hint="eastAsia" w:ascii="宋体" w:hAnsi="宋体" w:eastAsia="宋体" w:cs="宋体"/>
          <w:bCs/>
          <w:color w:val="000000"/>
          <w:kern w:val="0"/>
          <w:sz w:val="21"/>
          <w:szCs w:val="21"/>
          <w:highlight w:val="none"/>
          <w:lang w:val="en-US" w:eastAsia="zh-CN" w:bidi="ar-SA"/>
        </w:rPr>
        <w:t>4.2  交货前检验</w:t>
      </w:r>
      <w:bookmarkEnd w:id="677"/>
      <w:bookmarkEnd w:id="678"/>
      <w:bookmarkEnd w:id="679"/>
      <w:bookmarkEnd w:id="689"/>
      <w:bookmarkEnd w:id="690"/>
      <w:bookmarkEnd w:id="691"/>
      <w:bookmarkEnd w:id="692"/>
    </w:p>
    <w:p w14:paraId="659BEF3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双方应按本款约定履行交货前检验。</w:t>
      </w:r>
    </w:p>
    <w:p w14:paraId="6A62E8B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（1）交货前检验由买方组织。卖方应在交货前15天向买方或监理人提交验收大纲；</w:t>
      </w:r>
    </w:p>
    <w:p w14:paraId="657BF9B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（2）产品出厂前，卖方应按7.5提交出厂资料；</w:t>
      </w:r>
    </w:p>
    <w:p w14:paraId="59C1E3FF">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（3）出厂资料应提前15天提交监理人，作为交货前检验时使用。上述资料，除产品合格证应用原件外，外购件合格证采用原件，其余资料均可用复印件。卖方应在所有资料上盖单位公章；</w:t>
      </w:r>
    </w:p>
    <w:p w14:paraId="4284CFCA">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（4）交货前检验时，产品（设备）应处于组装状态或可测试状态；</w:t>
      </w:r>
    </w:p>
    <w:p w14:paraId="44EE92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（5）交货前检验经监理人签字后，并不免除卖方对产品（设备）承担的全部合同责任；</w:t>
      </w:r>
    </w:p>
    <w:p w14:paraId="35853F2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（6）交货前检验的准备、组织和交货前检验的所有费用均包括在合同价格中。</w:t>
      </w:r>
    </w:p>
    <w:p w14:paraId="4E16971E">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693" w:name="_Toc15720"/>
      <w:bookmarkStart w:id="694" w:name="_Toc534572304"/>
      <w:bookmarkStart w:id="695" w:name="_Toc22256"/>
      <w:bookmarkStart w:id="696" w:name="_Toc62034494"/>
      <w:bookmarkStart w:id="697" w:name="_Toc15953"/>
      <w:bookmarkStart w:id="698" w:name="_Toc54550776"/>
      <w:bookmarkStart w:id="699" w:name="_Toc15856"/>
      <w:bookmarkStart w:id="700" w:name="_Toc26876"/>
      <w:r>
        <w:rPr>
          <w:rFonts w:hint="eastAsia" w:ascii="宋体" w:hAnsi="宋体" w:eastAsia="宋体" w:cs="宋体"/>
          <w:bCs/>
          <w:color w:val="000000"/>
          <w:kern w:val="0"/>
          <w:sz w:val="21"/>
          <w:szCs w:val="21"/>
          <w:highlight w:val="none"/>
          <w:lang w:val="en-US" w:eastAsia="zh-CN" w:bidi="ar-SA"/>
        </w:rPr>
        <w:t>5.4  交付</w:t>
      </w:r>
      <w:bookmarkEnd w:id="693"/>
      <w:bookmarkEnd w:id="694"/>
      <w:bookmarkEnd w:id="695"/>
      <w:bookmarkEnd w:id="696"/>
      <w:bookmarkEnd w:id="697"/>
      <w:bookmarkEnd w:id="698"/>
      <w:bookmarkEnd w:id="699"/>
      <w:bookmarkEnd w:id="700"/>
    </w:p>
    <w:p w14:paraId="259EEB0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5.4.1 供货期（服务期）：</w:t>
      </w:r>
      <w:r>
        <w:rPr>
          <w:rFonts w:hint="eastAsia" w:ascii="宋体" w:hAnsi="宋体" w:eastAsia="宋体" w:cs="宋体"/>
          <w:b/>
          <w:bCs/>
          <w:kern w:val="2"/>
          <w:sz w:val="21"/>
          <w:szCs w:val="21"/>
          <w:highlight w:val="none"/>
          <w:lang w:val="en-US" w:eastAsia="zh-CN" w:bidi="ar-SA"/>
        </w:rPr>
        <w:t>自合同签订之日起至竣工验收通过之日止</w:t>
      </w:r>
      <w:r>
        <w:rPr>
          <w:rFonts w:hint="eastAsia" w:ascii="宋体" w:hAnsi="宋体" w:eastAsia="宋体" w:cs="宋体"/>
          <w:strike w:val="0"/>
          <w:dstrike w:val="0"/>
          <w:kern w:val="2"/>
          <w:sz w:val="21"/>
          <w:szCs w:val="21"/>
          <w:highlight w:val="none"/>
          <w:lang w:val="en-US" w:eastAsia="zh-CN" w:bidi="ar-SA"/>
        </w:rPr>
        <w:t>（供货期按照监理人批准的供货计划实施）</w:t>
      </w:r>
    </w:p>
    <w:p w14:paraId="14C348D0">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交货方式：卖方按买方要求交货，并验收合格。</w:t>
      </w:r>
    </w:p>
    <w:p w14:paraId="2DF0449B">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交货地点：</w:t>
      </w:r>
      <w:r>
        <w:rPr>
          <w:rFonts w:hint="eastAsia" w:ascii="宋体" w:hAnsi="宋体" w:eastAsia="宋体" w:cs="宋体"/>
          <w:strike w:val="0"/>
          <w:dstrike w:val="0"/>
          <w:kern w:val="2"/>
          <w:sz w:val="21"/>
          <w:szCs w:val="21"/>
          <w:highlight w:val="none"/>
          <w:lang w:val="en-US" w:eastAsia="zh-CN" w:bidi="ar-SA"/>
        </w:rPr>
        <w:t>以买方通知的运达地点为准</w:t>
      </w:r>
      <w:r>
        <w:rPr>
          <w:rFonts w:hint="eastAsia" w:ascii="宋体" w:hAnsi="宋体" w:eastAsia="宋体" w:cs="宋体"/>
          <w:kern w:val="2"/>
          <w:sz w:val="21"/>
          <w:szCs w:val="21"/>
          <w:highlight w:val="none"/>
          <w:lang w:val="en-US" w:eastAsia="zh-CN" w:bidi="ar-SA"/>
        </w:rPr>
        <w:t>。</w:t>
      </w:r>
    </w:p>
    <w:p w14:paraId="0149D9AC">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701" w:name="_Toc91344960"/>
      <w:bookmarkStart w:id="702" w:name="_Toc54550777"/>
      <w:bookmarkStart w:id="703" w:name="_Toc534572305"/>
      <w:bookmarkStart w:id="704" w:name="_Toc260"/>
      <w:bookmarkStart w:id="705" w:name="_Toc24220"/>
      <w:bookmarkStart w:id="706" w:name="_Toc27919"/>
      <w:bookmarkStart w:id="707" w:name="_Toc62034495"/>
      <w:bookmarkStart w:id="708" w:name="_Toc31078"/>
      <w:r>
        <w:rPr>
          <w:rFonts w:hint="eastAsia" w:ascii="宋体" w:hAnsi="宋体" w:eastAsia="宋体" w:cs="宋体"/>
          <w:b/>
          <w:bCs/>
          <w:kern w:val="0"/>
          <w:sz w:val="21"/>
          <w:szCs w:val="21"/>
          <w:highlight w:val="none"/>
          <w:lang w:val="en-US" w:eastAsia="zh-CN" w:bidi="ar-SA"/>
        </w:rPr>
        <w:t>6. 开箱检验、安装、调试、考核、验收</w:t>
      </w:r>
      <w:bookmarkEnd w:id="701"/>
      <w:bookmarkEnd w:id="702"/>
      <w:bookmarkEnd w:id="703"/>
      <w:bookmarkEnd w:id="704"/>
      <w:bookmarkEnd w:id="705"/>
      <w:bookmarkEnd w:id="706"/>
      <w:bookmarkEnd w:id="707"/>
      <w:bookmarkEnd w:id="708"/>
    </w:p>
    <w:p w14:paraId="7466B4D8">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color w:val="000000"/>
          <w:kern w:val="0"/>
          <w:sz w:val="21"/>
          <w:szCs w:val="21"/>
          <w:highlight w:val="none"/>
          <w:lang w:val="en-US" w:eastAsia="zh-CN" w:bidi="ar-SA"/>
        </w:rPr>
      </w:pPr>
      <w:bookmarkStart w:id="709" w:name="_Toc54550778"/>
      <w:bookmarkStart w:id="710" w:name="_Toc62034496"/>
      <w:bookmarkStart w:id="711" w:name="_Toc18714"/>
      <w:r>
        <w:rPr>
          <w:rFonts w:hint="eastAsia" w:ascii="宋体" w:hAnsi="宋体" w:eastAsia="宋体" w:cs="宋体"/>
          <w:bCs/>
          <w:color w:val="000000"/>
          <w:kern w:val="0"/>
          <w:sz w:val="21"/>
          <w:szCs w:val="21"/>
          <w:highlight w:val="none"/>
          <w:lang w:val="en-US" w:eastAsia="zh-CN" w:bidi="ar-SA"/>
        </w:rPr>
        <w:t>6.1  开箱检验</w:t>
      </w:r>
      <w:bookmarkEnd w:id="709"/>
      <w:bookmarkEnd w:id="710"/>
      <w:bookmarkEnd w:id="711"/>
    </w:p>
    <w:p w14:paraId="1CF7081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6.1.1 合同设备交付后应进行开箱检验，即合同设备数量及外观检验。开箱检验在下列（2）时间进行：</w:t>
      </w:r>
    </w:p>
    <w:p w14:paraId="2B3AA63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（1）合同设备交付时；</w:t>
      </w:r>
    </w:p>
    <w:p w14:paraId="3E9D585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（2）合同设备交付后的一定期限内。如开箱检验不在合同设备交付时进行，买方应在开箱检验 3 日前将开箱检验的时间和地点通知卖方。</w:t>
      </w:r>
    </w:p>
    <w:p w14:paraId="54E76E8B">
      <w:pPr>
        <w:widowControl w:val="0"/>
        <w:adjustRightInd w:val="0"/>
        <w:snapToGrid w:val="0"/>
        <w:spacing w:beforeLines="0" w:afterLines="0" w:line="360" w:lineRule="auto"/>
        <w:ind w:left="0" w:right="0" w:firstLine="420" w:firstLineChars="200"/>
        <w:jc w:val="both"/>
        <w:outlineLvl w:val="9"/>
        <w:rPr>
          <w:rFonts w:hint="eastAsia" w:ascii="宋体" w:hAnsi="宋体" w:eastAsia="宋体" w:cs="宋体"/>
          <w:bCs/>
          <w:kern w:val="0"/>
          <w:sz w:val="21"/>
          <w:szCs w:val="21"/>
          <w:highlight w:val="none"/>
          <w:lang w:val="en-US" w:eastAsia="zh-CN" w:bidi="ar-SA"/>
        </w:rPr>
      </w:pPr>
      <w:bookmarkStart w:id="712" w:name="_Toc13335"/>
      <w:bookmarkStart w:id="713" w:name="_Toc54550779"/>
      <w:bookmarkStart w:id="714" w:name="_Toc62034497"/>
      <w:r>
        <w:rPr>
          <w:rFonts w:hint="eastAsia" w:ascii="宋体" w:hAnsi="宋体" w:eastAsia="宋体" w:cs="宋体"/>
          <w:bCs/>
          <w:kern w:val="0"/>
          <w:sz w:val="21"/>
          <w:szCs w:val="21"/>
          <w:highlight w:val="none"/>
          <w:lang w:val="en-US" w:eastAsia="zh-CN" w:bidi="ar-SA"/>
        </w:rPr>
        <w:t>6.2  安装、调试</w:t>
      </w:r>
      <w:bookmarkEnd w:id="712"/>
      <w:bookmarkEnd w:id="713"/>
      <w:bookmarkEnd w:id="714"/>
    </w:p>
    <w:p w14:paraId="65712FC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6.2.1 开箱检验完成后，双方应对合同设备进行安装、调试，以使其具备考核的状态。安装、调试应按照下列（2）方式进行：</w:t>
      </w:r>
    </w:p>
    <w:p w14:paraId="55F4A8B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（1）卖方按照合同约定完成合同设备的安装、调试工作；</w:t>
      </w:r>
    </w:p>
    <w:p w14:paraId="454C527B">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（2）买方安排施工单位负责合同设备的安装、调试工作，卖方提供安装和调试指导、技术服务等。</w:t>
      </w:r>
    </w:p>
    <w:p w14:paraId="5474887A">
      <w:pPr>
        <w:widowControl w:val="0"/>
        <w:adjustRightInd w:val="0"/>
        <w:snapToGrid w:val="0"/>
        <w:spacing w:beforeLines="0" w:afterLines="0" w:line="360" w:lineRule="auto"/>
        <w:ind w:left="0" w:right="0" w:firstLine="422" w:firstLineChars="200"/>
        <w:jc w:val="both"/>
        <w:outlineLvl w:val="9"/>
        <w:rPr>
          <w:rFonts w:hint="eastAsia" w:ascii="宋体" w:hAnsi="宋体" w:eastAsia="宋体" w:cs="宋体"/>
          <w:b/>
          <w:bCs/>
          <w:kern w:val="0"/>
          <w:sz w:val="21"/>
          <w:szCs w:val="21"/>
          <w:highlight w:val="none"/>
          <w:lang w:val="en-US" w:eastAsia="zh-CN" w:bidi="ar-SA"/>
        </w:rPr>
      </w:pPr>
      <w:bookmarkStart w:id="715" w:name="_Toc91344961"/>
      <w:bookmarkStart w:id="716" w:name="_Toc62034498"/>
      <w:bookmarkStart w:id="717" w:name="_Toc24854"/>
      <w:bookmarkStart w:id="718" w:name="_Toc26203"/>
      <w:bookmarkStart w:id="719" w:name="_Toc534572306"/>
      <w:bookmarkStart w:id="720" w:name="_Toc54550780"/>
      <w:bookmarkStart w:id="721" w:name="_Toc3589"/>
      <w:r>
        <w:rPr>
          <w:rFonts w:hint="eastAsia" w:ascii="宋体" w:hAnsi="宋体" w:eastAsia="宋体" w:cs="宋体"/>
          <w:b/>
          <w:bCs/>
          <w:kern w:val="0"/>
          <w:sz w:val="21"/>
          <w:szCs w:val="21"/>
          <w:highlight w:val="none"/>
          <w:lang w:val="en-US" w:eastAsia="zh-CN" w:bidi="ar-SA"/>
        </w:rPr>
        <w:t>7.技术服务</w:t>
      </w:r>
      <w:bookmarkEnd w:id="715"/>
      <w:bookmarkEnd w:id="716"/>
      <w:bookmarkEnd w:id="717"/>
      <w:bookmarkEnd w:id="718"/>
      <w:bookmarkEnd w:id="719"/>
      <w:bookmarkEnd w:id="720"/>
      <w:bookmarkEnd w:id="721"/>
    </w:p>
    <w:p w14:paraId="55B5B7F9">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本款补充以下内容：</w:t>
      </w:r>
    </w:p>
    <w:p w14:paraId="224FF33F">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7.5合同产品交货前检验前，卖方应向买方提供如下资料。</w:t>
      </w:r>
    </w:p>
    <w:p w14:paraId="585E883E">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2" w:name="_Toc29688"/>
      <w:r>
        <w:rPr>
          <w:rFonts w:hint="eastAsia" w:ascii="宋体" w:hAnsi="宋体" w:eastAsia="宋体" w:cs="宋体"/>
          <w:kern w:val="2"/>
          <w:sz w:val="21"/>
          <w:szCs w:val="21"/>
          <w:highlight w:val="none"/>
          <w:lang w:val="en-US" w:eastAsia="zh-CN" w:bidi="ar-SA"/>
        </w:rPr>
        <w:t>1)产品出厂合格证书12套；</w:t>
      </w:r>
      <w:bookmarkEnd w:id="722"/>
    </w:p>
    <w:p w14:paraId="3774C13B">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2)安装使用说明书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31D7AFE9">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3)产品安装说明书</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46241E0F">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4)主要部件的试验报告</w:t>
      </w:r>
      <w:r>
        <w:rPr>
          <w:rFonts w:hint="eastAsia" w:ascii="宋体" w:hAnsi="宋体" w:eastAsia="宋体" w:cs="宋体"/>
          <w:spacing w:val="-72"/>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12B6DD30">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5)重大缺陷处理记录和有关资料</w:t>
      </w:r>
      <w:r>
        <w:rPr>
          <w:rFonts w:hint="eastAsia" w:ascii="宋体" w:hAnsi="宋体" w:eastAsia="宋体" w:cs="宋体"/>
          <w:spacing w:val="-75"/>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76"/>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70140A0D">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6)设计修改通知单</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kern w:val="2"/>
          <w:sz w:val="21"/>
          <w:szCs w:val="21"/>
          <w:highlight w:val="none"/>
          <w:lang w:val="en-US" w:eastAsia="zh-CN" w:bidi="ar-SA"/>
        </w:rPr>
        <w:t>套；</w:t>
      </w:r>
    </w:p>
    <w:p w14:paraId="5554B06D">
      <w:pPr>
        <w:widowControl w:val="0"/>
        <w:kinsoku w:val="0"/>
        <w:overflowPunct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7)外购件有关出厂资料、合格证等资料 </w:t>
      </w:r>
      <w:r>
        <w:rPr>
          <w:rFonts w:hint="eastAsia" w:ascii="宋体" w:hAnsi="宋体" w:eastAsia="宋体" w:cs="宋体"/>
          <w:kern w:val="2"/>
          <w:sz w:val="21"/>
          <w:szCs w:val="21"/>
          <w:highlight w:val="none"/>
          <w:u w:val="single"/>
          <w:lang w:val="en-US" w:eastAsia="zh-CN" w:bidi="ar-SA"/>
        </w:rPr>
        <w:t>12</w:t>
      </w:r>
      <w:r>
        <w:rPr>
          <w:rFonts w:hint="eastAsia" w:ascii="宋体" w:hAnsi="宋体" w:eastAsia="宋体" w:cs="宋体"/>
          <w:spacing w:val="-80"/>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套；</w:t>
      </w:r>
    </w:p>
    <w:p w14:paraId="78F1EC5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8)卖方向买方提供 10 套图纸及技术文件。</w:t>
      </w:r>
    </w:p>
    <w:p w14:paraId="365BB9E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7.6买方应向卖方提供产品设计图样及资料如下：</w:t>
      </w:r>
    </w:p>
    <w:p w14:paraId="58FF767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（1）本招标文件中的招标图样，供卖方投标时使用；是产品设计的依据，不得做为备料、加工及制作的依据。</w:t>
      </w:r>
    </w:p>
    <w:p w14:paraId="146CFE2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（2）买方向卖方免费提供系统图样一式8份。卖方收到买方图样后，应仔细清点，认真审阅，如发现遗漏、差错和模糊之处，应在收到之日起21天内通知工程设计单位复校，工程设计单位将在14天内作出书面答复。</w:t>
      </w:r>
    </w:p>
    <w:p w14:paraId="1EB9EACC">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7.7 卖方应向买方提供产品设计图纸及资料如下：</w:t>
      </w:r>
    </w:p>
    <w:p w14:paraId="2ED73747">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（1）卖方应根据买方提供的技术资料进行产品设计。</w:t>
      </w:r>
    </w:p>
    <w:p w14:paraId="3616A40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（2）合同标的的产品设计（包括：主要计算、图纸和外购件清单）应得到买方组织的工程设计、监理单位参加的审查批准后方有效。</w:t>
      </w:r>
    </w:p>
    <w:p w14:paraId="3F3D060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（3）卖方如未能按规定时间递交应报审的图纸和文件，由此而造成卖方自身损失，由卖方自己负责。</w:t>
      </w:r>
    </w:p>
    <w:p w14:paraId="6CF6C4A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（4）卖方应对制造的产品质量负责，不得以图纸或文件已经审核为由而推卸应承担的责任或提出其他要求。</w:t>
      </w:r>
    </w:p>
    <w:p w14:paraId="431F0492">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3" w:name="_Toc62034499"/>
      <w:bookmarkStart w:id="724" w:name="_Toc54550781"/>
      <w:bookmarkStart w:id="725" w:name="_Toc22937"/>
      <w:r>
        <w:rPr>
          <w:rFonts w:hint="eastAsia" w:ascii="宋体" w:hAnsi="宋体" w:eastAsia="宋体" w:cs="宋体"/>
          <w:kern w:val="2"/>
          <w:sz w:val="21"/>
          <w:szCs w:val="21"/>
          <w:highlight w:val="none"/>
          <w:lang w:val="en-US" w:eastAsia="zh-CN" w:bidi="ar-SA"/>
        </w:rPr>
        <w:t>7.8出厂竣工资料</w:t>
      </w:r>
      <w:bookmarkEnd w:id="723"/>
      <w:bookmarkEnd w:id="724"/>
      <w:bookmarkEnd w:id="725"/>
    </w:p>
    <w:p w14:paraId="45474573">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（1）出厂竣工资料必须完整、准确、清晰。出厂竣工图采用标准的图幅，并按分册装订。</w:t>
      </w:r>
    </w:p>
    <w:p w14:paraId="51A6C970">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出厂竣工资料应包括设备系统图样所对应的全套图纸和目录、设备制造过程中图片、声像资料、试验检测资料及相关设备安装、使用维护指导要求的文件和竣工图纸。出厂竣工资料还应随附必要的说明文件及电子文档。(图纸格式为不低于AUTO-CAD2004版dwg格式)。</w:t>
      </w:r>
    </w:p>
    <w:p w14:paraId="094B8BCD">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（3）在设备出厂时，卖方应向买方、工程设计单位、监理人各提供 8 套、2 套、2套。</w:t>
      </w:r>
    </w:p>
    <w:p w14:paraId="61104908">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bookmarkStart w:id="726" w:name="_Toc19002"/>
      <w:bookmarkStart w:id="727" w:name="_Toc62034500"/>
      <w:bookmarkStart w:id="728" w:name="_Toc54550782"/>
      <w:r>
        <w:rPr>
          <w:rFonts w:hint="eastAsia" w:ascii="宋体" w:hAnsi="宋体" w:eastAsia="宋体" w:cs="宋体"/>
          <w:kern w:val="2"/>
          <w:sz w:val="21"/>
          <w:szCs w:val="21"/>
          <w:highlight w:val="none"/>
          <w:lang w:val="en-US" w:eastAsia="zh-CN" w:bidi="ar-SA"/>
        </w:rPr>
        <w:t>7.9技术服务培训</w:t>
      </w:r>
      <w:bookmarkEnd w:id="726"/>
      <w:bookmarkEnd w:id="727"/>
      <w:bookmarkEnd w:id="728"/>
    </w:p>
    <w:p w14:paraId="658DD284">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由于本工程运行管理及维护人员暂不能确定，培训分二步进行。首批对买方现有有关技术人员进行培训，使其达到正确使用及维护的目标，待运行管理及维护人员正式确定后，再进行第二次培训。</w:t>
      </w:r>
    </w:p>
    <w:p w14:paraId="71468309">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29" w:name="_Toc27620"/>
      <w:bookmarkStart w:id="730" w:name="_Toc25503"/>
      <w:bookmarkStart w:id="731" w:name="_Toc54550783"/>
      <w:bookmarkStart w:id="732" w:name="_Toc91344962"/>
      <w:bookmarkStart w:id="733" w:name="_Toc20892"/>
      <w:bookmarkStart w:id="734" w:name="_Toc6689"/>
      <w:bookmarkStart w:id="735" w:name="_Toc534572307"/>
      <w:bookmarkStart w:id="736" w:name="_Toc30900"/>
      <w:bookmarkStart w:id="737" w:name="_Toc15473"/>
      <w:bookmarkStart w:id="738" w:name="_Toc7162"/>
      <w:bookmarkStart w:id="739" w:name="_Toc62034501"/>
      <w:bookmarkStart w:id="740" w:name="_Toc16690"/>
      <w:r>
        <w:rPr>
          <w:rFonts w:hint="eastAsia" w:ascii="宋体" w:hAnsi="宋体" w:eastAsia="宋体" w:cs="宋体"/>
          <w:b/>
          <w:bCs/>
          <w:kern w:val="0"/>
          <w:sz w:val="21"/>
          <w:szCs w:val="21"/>
          <w:highlight w:val="none"/>
          <w:lang w:val="en-US" w:eastAsia="zh-CN" w:bidi="ar-SA"/>
        </w:rPr>
        <w:t>8.质量保证期</w:t>
      </w:r>
      <w:bookmarkEnd w:id="729"/>
      <w:bookmarkEnd w:id="730"/>
      <w:bookmarkEnd w:id="731"/>
      <w:bookmarkEnd w:id="732"/>
      <w:bookmarkEnd w:id="733"/>
      <w:bookmarkEnd w:id="734"/>
      <w:bookmarkEnd w:id="735"/>
      <w:bookmarkEnd w:id="736"/>
      <w:bookmarkEnd w:id="737"/>
      <w:bookmarkEnd w:id="738"/>
      <w:bookmarkEnd w:id="739"/>
      <w:bookmarkEnd w:id="740"/>
    </w:p>
    <w:p w14:paraId="5D999153">
      <w:pPr>
        <w:widowControl w:val="0"/>
        <w:overflowPunct w:val="0"/>
        <w:spacing w:beforeLines="0" w:afterLines="0" w:line="360" w:lineRule="auto"/>
        <w:ind w:firstLine="420" w:firstLineChars="200"/>
        <w:jc w:val="left"/>
        <w:outlineLvl w:val="9"/>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rPr>
        <w:t>8.1</w:t>
      </w:r>
      <w:r>
        <w:rPr>
          <w:rFonts w:hint="eastAsia" w:ascii="宋体" w:hAnsi="宋体" w:eastAsia="宋体" w:cs="宋体"/>
          <w:bCs/>
          <w:sz w:val="21"/>
          <w:szCs w:val="21"/>
          <w:highlight w:val="none"/>
        </w:rPr>
        <w:t>质量保证期：</w:t>
      </w:r>
      <w:r>
        <w:rPr>
          <w:rFonts w:hint="eastAsia" w:ascii="宋体" w:hAnsi="宋体" w:eastAsia="宋体" w:cs="宋体"/>
          <w:sz w:val="21"/>
          <w:szCs w:val="21"/>
          <w:highlight w:val="none"/>
          <w:lang w:val="en-US" w:eastAsia="zh-CN"/>
        </w:rPr>
        <w:t>合同工程验收证书签发之日</w:t>
      </w:r>
      <w:r>
        <w:rPr>
          <w:rFonts w:hint="eastAsia" w:ascii="宋体" w:hAnsi="宋体" w:eastAsia="宋体" w:cs="宋体"/>
          <w:bCs/>
          <w:color w:val="000000"/>
          <w:sz w:val="21"/>
          <w:szCs w:val="21"/>
          <w:highlight w:val="none"/>
        </w:rPr>
        <w:t>起的</w:t>
      </w:r>
      <w:r>
        <w:rPr>
          <w:rFonts w:hint="eastAsia" w:ascii="宋体" w:hAnsi="宋体" w:eastAsia="宋体" w:cs="宋体"/>
          <w:bCs/>
          <w:color w:val="000000"/>
          <w:sz w:val="21"/>
          <w:szCs w:val="21"/>
          <w:highlight w:val="none"/>
          <w:lang w:val="en-US" w:eastAsia="zh-CN"/>
        </w:rPr>
        <w:t>2年</w:t>
      </w:r>
      <w:r>
        <w:rPr>
          <w:rFonts w:hint="eastAsia" w:ascii="宋体" w:hAnsi="宋体" w:eastAsia="宋体" w:cs="宋体"/>
          <w:bCs/>
          <w:color w:val="000000"/>
          <w:sz w:val="21"/>
          <w:szCs w:val="21"/>
          <w:highlight w:val="none"/>
        </w:rPr>
        <w:t>为设备质量保证期（设备中有明确要求的除外</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但不得低于上述期限</w:t>
      </w:r>
      <w:r>
        <w:rPr>
          <w:rFonts w:hint="eastAsia" w:ascii="宋体" w:hAnsi="宋体" w:eastAsia="宋体" w:cs="宋体"/>
          <w:bCs/>
          <w:color w:val="000000"/>
          <w:sz w:val="21"/>
          <w:szCs w:val="21"/>
          <w:highlight w:val="none"/>
        </w:rPr>
        <w:t>）。</w:t>
      </w:r>
    </w:p>
    <w:p w14:paraId="22FD257B">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41" w:name="_Toc23410"/>
      <w:bookmarkStart w:id="742" w:name="_Toc20089"/>
      <w:bookmarkStart w:id="743" w:name="_Toc91344963"/>
      <w:bookmarkStart w:id="744" w:name="_Toc62034502"/>
      <w:bookmarkStart w:id="745" w:name="_Toc24576"/>
      <w:bookmarkStart w:id="746" w:name="_Toc534572308"/>
      <w:bookmarkStart w:id="747" w:name="_Toc54550784"/>
      <w:bookmarkStart w:id="748" w:name="_Toc25408"/>
      <w:bookmarkStart w:id="749" w:name="_Toc25461"/>
      <w:bookmarkStart w:id="750" w:name="_Toc6538"/>
      <w:bookmarkStart w:id="751" w:name="_Toc31987"/>
      <w:r>
        <w:rPr>
          <w:rFonts w:hint="eastAsia" w:ascii="宋体" w:hAnsi="宋体" w:eastAsia="宋体" w:cs="宋体"/>
          <w:b/>
          <w:bCs/>
          <w:kern w:val="0"/>
          <w:sz w:val="21"/>
          <w:szCs w:val="21"/>
          <w:highlight w:val="none"/>
          <w:lang w:val="en-US" w:eastAsia="zh-CN" w:bidi="ar-SA"/>
        </w:rPr>
        <w:t>9.质保期服务</w:t>
      </w:r>
      <w:bookmarkEnd w:id="741"/>
      <w:bookmarkEnd w:id="742"/>
      <w:bookmarkEnd w:id="743"/>
      <w:bookmarkEnd w:id="744"/>
      <w:bookmarkEnd w:id="745"/>
      <w:bookmarkEnd w:id="746"/>
      <w:bookmarkEnd w:id="747"/>
      <w:bookmarkEnd w:id="748"/>
      <w:bookmarkEnd w:id="749"/>
      <w:bookmarkEnd w:id="750"/>
      <w:bookmarkEnd w:id="751"/>
    </w:p>
    <w:p w14:paraId="26CCF7F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9.1卖方应为质量保证期服务配备充足的技术人员、工具和备件并保证提供的联系方式畅通。卖方应在收到买方通知后24小时内做出响应，如需卖方到合同设备现场，卖方应在收到买方通知后48小时内到达，并在到达后3日内解决合同设备的故障（重大故障除外）。如果卖方未在上述时间内作出响应，则买方有权自行或委托他人解决相关问题或查找和解决合同设备的故障，卖方应承担由此发生的全部费用。</w:t>
      </w:r>
    </w:p>
    <w:p w14:paraId="61EFB39F">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52" w:name="_Toc62034503"/>
      <w:bookmarkStart w:id="753" w:name="_Toc25340"/>
      <w:bookmarkStart w:id="754" w:name="_Toc534572309"/>
      <w:bookmarkStart w:id="755" w:name="_Toc1740"/>
      <w:bookmarkStart w:id="756" w:name="_Toc27647"/>
      <w:bookmarkStart w:id="757" w:name="_Toc14328"/>
      <w:bookmarkStart w:id="758" w:name="_Toc8586"/>
      <w:bookmarkStart w:id="759" w:name="_Toc91344964"/>
      <w:bookmarkStart w:id="760" w:name="_Toc29462"/>
      <w:bookmarkStart w:id="761" w:name="_Toc54550785"/>
      <w:bookmarkStart w:id="762" w:name="_Toc31022"/>
      <w:r>
        <w:rPr>
          <w:rFonts w:hint="eastAsia" w:ascii="宋体" w:hAnsi="宋体" w:eastAsia="宋体" w:cs="宋体"/>
          <w:b/>
          <w:bCs/>
          <w:kern w:val="0"/>
          <w:sz w:val="21"/>
          <w:szCs w:val="21"/>
          <w:highlight w:val="none"/>
          <w:lang w:val="en-US" w:eastAsia="zh-CN" w:bidi="ar-SA"/>
        </w:rPr>
        <w:t>10.履约保证金</w:t>
      </w:r>
      <w:bookmarkEnd w:id="752"/>
      <w:bookmarkEnd w:id="753"/>
      <w:bookmarkEnd w:id="754"/>
      <w:bookmarkEnd w:id="755"/>
      <w:bookmarkEnd w:id="756"/>
      <w:bookmarkEnd w:id="757"/>
      <w:bookmarkEnd w:id="758"/>
      <w:bookmarkEnd w:id="759"/>
      <w:bookmarkEnd w:id="760"/>
      <w:bookmarkEnd w:id="761"/>
      <w:bookmarkEnd w:id="762"/>
    </w:p>
    <w:p w14:paraId="78EB497B">
      <w:pPr>
        <w:widowControl w:val="0"/>
        <w:overflowPunct w:val="0"/>
        <w:spacing w:beforeLines="0" w:afterLines="0" w:line="360" w:lineRule="auto"/>
        <w:ind w:firstLine="420" w:firstLineChars="200"/>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卖方交纳合同总额</w:t>
      </w:r>
      <w:r>
        <w:rPr>
          <w:rFonts w:hint="eastAsia" w:ascii="宋体" w:hAnsi="宋体" w:eastAsia="宋体" w:cs="宋体"/>
          <w:bCs/>
          <w:sz w:val="21"/>
          <w:szCs w:val="21"/>
          <w:highlight w:val="none"/>
          <w:lang w:val="en-US" w:eastAsia="zh-CN"/>
        </w:rPr>
        <w:t>8</w:t>
      </w:r>
      <w:r>
        <w:rPr>
          <w:rFonts w:hint="eastAsia" w:ascii="宋体" w:hAnsi="宋体" w:eastAsia="宋体" w:cs="宋体"/>
          <w:bCs/>
          <w:sz w:val="21"/>
          <w:szCs w:val="21"/>
          <w:highlight w:val="none"/>
        </w:rPr>
        <w:t>%的履约保证金。</w:t>
      </w:r>
    </w:p>
    <w:p w14:paraId="76A8BFE6">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履约保证金的形式：银行出具的见索即付履约保函，卖方应在签订合同前向买方提交。</w:t>
      </w:r>
    </w:p>
    <w:p w14:paraId="33F563E9">
      <w:pPr>
        <w:widowControl w:val="0"/>
        <w:adjustRightInd w:val="0"/>
        <w:snapToGrid w:val="0"/>
        <w:spacing w:after="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履约保函自合同生效之日起生效，在</w:t>
      </w:r>
      <w:r>
        <w:rPr>
          <w:rFonts w:hint="eastAsia" w:ascii="宋体" w:hAnsi="宋体" w:eastAsia="宋体" w:cs="宋体"/>
          <w:color w:val="000000"/>
          <w:kern w:val="2"/>
          <w:sz w:val="21"/>
          <w:szCs w:val="21"/>
          <w:highlight w:val="none"/>
          <w:lang w:val="en-US" w:eastAsia="zh-CN" w:bidi="ar-SA"/>
        </w:rPr>
        <w:t>设备安装验收合格并经联合调试验收合格</w:t>
      </w:r>
      <w:r>
        <w:rPr>
          <w:rFonts w:hint="eastAsia" w:ascii="宋体" w:hAnsi="宋体" w:eastAsia="宋体" w:cs="宋体"/>
          <w:kern w:val="2"/>
          <w:sz w:val="21"/>
          <w:szCs w:val="21"/>
          <w:highlight w:val="none"/>
          <w:lang w:val="en-US" w:eastAsia="zh-CN" w:bidi="ar-SA"/>
        </w:rPr>
        <w:t>之日起28日后失效。</w:t>
      </w:r>
    </w:p>
    <w:p w14:paraId="3259751A">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63" w:name="_Toc6648"/>
      <w:bookmarkStart w:id="764" w:name="_Toc3400"/>
      <w:bookmarkStart w:id="765" w:name="_Toc534572310"/>
      <w:bookmarkStart w:id="766" w:name="_Toc16230"/>
      <w:bookmarkStart w:id="767" w:name="_Toc62034504"/>
      <w:bookmarkStart w:id="768" w:name="_Toc2786"/>
      <w:bookmarkStart w:id="769" w:name="_Toc91344965"/>
      <w:bookmarkStart w:id="770" w:name="_Toc10041"/>
      <w:bookmarkStart w:id="771" w:name="_Toc54550786"/>
      <w:bookmarkStart w:id="772" w:name="_Toc25972"/>
      <w:bookmarkStart w:id="773" w:name="_Toc17023"/>
      <w:r>
        <w:rPr>
          <w:rFonts w:hint="eastAsia" w:ascii="宋体" w:hAnsi="宋体" w:eastAsia="宋体" w:cs="宋体"/>
          <w:b/>
          <w:bCs/>
          <w:kern w:val="0"/>
          <w:sz w:val="21"/>
          <w:szCs w:val="21"/>
          <w:highlight w:val="none"/>
          <w:lang w:val="en-US" w:eastAsia="zh-CN" w:bidi="ar-SA"/>
        </w:rPr>
        <w:t>12.知识产权</w:t>
      </w:r>
      <w:bookmarkEnd w:id="763"/>
      <w:bookmarkEnd w:id="764"/>
      <w:bookmarkEnd w:id="765"/>
      <w:bookmarkEnd w:id="766"/>
      <w:bookmarkEnd w:id="767"/>
      <w:bookmarkEnd w:id="768"/>
      <w:bookmarkEnd w:id="769"/>
      <w:bookmarkEnd w:id="770"/>
      <w:bookmarkEnd w:id="771"/>
      <w:bookmarkEnd w:id="772"/>
      <w:bookmarkEnd w:id="773"/>
    </w:p>
    <w:p w14:paraId="13F91B05">
      <w:pPr>
        <w:widowControl w:val="0"/>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卖方保证所交付的合同设备的所有权完全属于卖方且无任何抵押、查封等产权瑕疵。</w:t>
      </w:r>
    </w:p>
    <w:p w14:paraId="79A53378">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74" w:name="_Toc91344966"/>
      <w:bookmarkStart w:id="775" w:name="_Toc32536"/>
      <w:bookmarkStart w:id="776" w:name="_Toc5850"/>
      <w:bookmarkStart w:id="777" w:name="_Toc14496"/>
      <w:bookmarkStart w:id="778" w:name="_Toc32695"/>
      <w:r>
        <w:rPr>
          <w:rFonts w:hint="eastAsia" w:ascii="宋体" w:hAnsi="宋体" w:eastAsia="宋体" w:cs="宋体"/>
          <w:b/>
          <w:bCs/>
          <w:kern w:val="0"/>
          <w:sz w:val="21"/>
          <w:szCs w:val="21"/>
          <w:highlight w:val="none"/>
          <w:lang w:val="en-US" w:eastAsia="zh-CN" w:bidi="ar-SA"/>
        </w:rPr>
        <w:t>14.违约责任</w:t>
      </w:r>
      <w:bookmarkEnd w:id="774"/>
      <w:bookmarkEnd w:id="775"/>
      <w:bookmarkEnd w:id="776"/>
      <w:bookmarkEnd w:id="777"/>
      <w:bookmarkEnd w:id="778"/>
    </w:p>
    <w:p w14:paraId="3CA00C2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14.2迟延交付违约金的计算方法调整为：</w:t>
      </w:r>
    </w:p>
    <w:p w14:paraId="4F8001E2">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（1）从迟交的第一周到第四周，每周迟延交付违约金为迟交设备价款的5%；</w:t>
      </w:r>
    </w:p>
    <w:p w14:paraId="002B58E7">
      <w:pPr>
        <w:widowControl w:val="0"/>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（2）从迟交的第五周起，每周迟延交付违约金为迟交设备价款的10%；</w:t>
      </w:r>
    </w:p>
    <w:p w14:paraId="74C48CA4">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3）在计算迟延交付违约金时，迟交不足一周的按一周计算。迟延交付违约金的总额不得超过合同价格的10%。迟延交付违约金的支付不能免除卖方继续交付相关合同设备的义务，但如迟延交付必然导致合同设备安装、调试、考核、验收工作推迟的，相关工作应相应顺延。</w:t>
      </w:r>
    </w:p>
    <w:p w14:paraId="53BC5346">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（4）违约金将在支付交货款时一次性扣除。</w:t>
      </w:r>
    </w:p>
    <w:p w14:paraId="413D0872">
      <w:pPr>
        <w:widowControl w:val="0"/>
        <w:spacing w:beforeLines="0" w:afterLines="0" w:line="360" w:lineRule="auto"/>
        <w:ind w:left="0" w:right="0" w:firstLine="422" w:firstLineChars="200"/>
        <w:outlineLvl w:val="9"/>
        <w:rPr>
          <w:rFonts w:hint="eastAsia" w:ascii="宋体" w:hAnsi="宋体" w:eastAsia="宋体" w:cs="宋体"/>
          <w:b/>
          <w:bCs/>
          <w:kern w:val="0"/>
          <w:sz w:val="21"/>
          <w:szCs w:val="21"/>
          <w:highlight w:val="none"/>
          <w:lang w:val="en-US" w:eastAsia="zh-CN" w:bidi="ar-SA"/>
        </w:rPr>
      </w:pPr>
      <w:bookmarkStart w:id="779" w:name="_Toc54550787"/>
      <w:bookmarkStart w:id="780" w:name="_Toc62034505"/>
      <w:bookmarkStart w:id="781" w:name="_Toc28773"/>
      <w:bookmarkStart w:id="782" w:name="_Toc16825"/>
      <w:bookmarkStart w:id="783" w:name="_Toc180"/>
      <w:bookmarkStart w:id="784" w:name="_Toc91344967"/>
      <w:bookmarkStart w:id="785" w:name="_Toc534572311"/>
      <w:bookmarkStart w:id="786" w:name="_Toc10027"/>
      <w:bookmarkStart w:id="787" w:name="_Toc17689"/>
      <w:bookmarkStart w:id="788" w:name="_Toc18338"/>
      <w:bookmarkStart w:id="789" w:name="_Toc28010"/>
      <w:bookmarkStart w:id="790" w:name="_Toc4492"/>
      <w:r>
        <w:rPr>
          <w:rFonts w:hint="eastAsia" w:ascii="宋体" w:hAnsi="宋体" w:eastAsia="宋体" w:cs="宋体"/>
          <w:b/>
          <w:bCs/>
          <w:kern w:val="0"/>
          <w:sz w:val="21"/>
          <w:szCs w:val="21"/>
          <w:highlight w:val="none"/>
          <w:lang w:val="en-US" w:eastAsia="zh-CN" w:bidi="ar-SA"/>
        </w:rPr>
        <w:t>17.争议的解决</w:t>
      </w:r>
      <w:bookmarkEnd w:id="779"/>
      <w:bookmarkEnd w:id="780"/>
      <w:bookmarkEnd w:id="781"/>
      <w:bookmarkEnd w:id="782"/>
      <w:bookmarkEnd w:id="783"/>
      <w:bookmarkEnd w:id="784"/>
      <w:bookmarkEnd w:id="785"/>
      <w:bookmarkEnd w:id="786"/>
      <w:bookmarkEnd w:id="787"/>
      <w:bookmarkEnd w:id="788"/>
      <w:bookmarkEnd w:id="789"/>
      <w:bookmarkEnd w:id="790"/>
    </w:p>
    <w:p w14:paraId="1FD0430A">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bookmarkStart w:id="791" w:name="_Toc229305402"/>
      <w:bookmarkStart w:id="792" w:name="_Toc168476286"/>
      <w:bookmarkStart w:id="793" w:name="_Toc144974826"/>
      <w:bookmarkStart w:id="794" w:name="_Toc168475883"/>
      <w:r>
        <w:rPr>
          <w:rFonts w:hint="eastAsia" w:ascii="宋体" w:hAnsi="宋体" w:eastAsia="宋体" w:cs="宋体"/>
          <w:kern w:val="2"/>
          <w:sz w:val="21"/>
          <w:szCs w:val="21"/>
          <w:highlight w:val="none"/>
          <w:lang w:val="en-US" w:eastAsia="zh-CN" w:bidi="ar-SA"/>
        </w:rPr>
        <w:t>一、争议调解机构为：无。</w:t>
      </w:r>
    </w:p>
    <w:p w14:paraId="38623A2B">
      <w:pPr>
        <w:widowControl w:val="0"/>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二、仲裁机构为：无。</w:t>
      </w:r>
    </w:p>
    <w:p w14:paraId="24DD1BC5">
      <w:pPr>
        <w:widowControl w:val="0"/>
        <w:spacing w:beforeLines="0" w:after="0" w:afterLines="0" w:line="360" w:lineRule="auto"/>
        <w:ind w:right="0" w:firstLine="420" w:firstLineChars="200"/>
        <w:jc w:val="center"/>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存在争议时，买卖双方友好协商，协商不成时，可向</w:t>
      </w:r>
      <w:r>
        <w:rPr>
          <w:rFonts w:hint="eastAsia" w:ascii="宋体" w:hAnsi="宋体" w:eastAsia="宋体" w:cs="宋体"/>
          <w:color w:val="auto"/>
          <w:kern w:val="2"/>
          <w:sz w:val="21"/>
          <w:szCs w:val="21"/>
          <w:highlight w:val="none"/>
          <w:lang w:val="en-US" w:eastAsia="zh-CN" w:bidi="ar-SA"/>
        </w:rPr>
        <w:t>项目法人所在地</w:t>
      </w:r>
      <w:r>
        <w:rPr>
          <w:rFonts w:hint="eastAsia" w:ascii="宋体" w:hAnsi="宋体" w:eastAsia="宋体" w:cs="宋体"/>
          <w:kern w:val="2"/>
          <w:sz w:val="21"/>
          <w:szCs w:val="21"/>
          <w:highlight w:val="none"/>
          <w:lang w:val="en-US" w:eastAsia="zh-CN" w:bidi="ar-SA"/>
        </w:rPr>
        <w:t>人民法院起诉。</w:t>
      </w:r>
      <w:r>
        <w:rPr>
          <w:rFonts w:hint="eastAsia" w:ascii="宋体" w:hAnsi="宋体" w:eastAsia="宋体" w:cs="宋体"/>
          <w:kern w:val="2"/>
          <w:sz w:val="21"/>
          <w:szCs w:val="21"/>
          <w:highlight w:val="none"/>
          <w:lang w:val="en-US" w:eastAsia="zh-CN" w:bidi="ar-SA"/>
        </w:rPr>
        <w:br w:type="page"/>
      </w:r>
      <w:bookmarkStart w:id="795" w:name="_Toc91344968"/>
      <w:bookmarkStart w:id="796" w:name="_Toc62034506"/>
      <w:r>
        <w:rPr>
          <w:rFonts w:hint="eastAsia" w:ascii="宋体" w:hAnsi="宋体" w:eastAsia="宋体" w:cs="宋体"/>
          <w:b/>
          <w:kern w:val="2"/>
          <w:sz w:val="24"/>
          <w:szCs w:val="24"/>
          <w:highlight w:val="none"/>
          <w:lang w:val="en-US" w:eastAsia="zh-CN" w:bidi="ar-SA"/>
        </w:rPr>
        <w:t>第三节  合同附件格式</w:t>
      </w:r>
      <w:bookmarkEnd w:id="791"/>
      <w:bookmarkEnd w:id="795"/>
      <w:bookmarkEnd w:id="796"/>
    </w:p>
    <w:bookmarkEnd w:id="792"/>
    <w:bookmarkEnd w:id="793"/>
    <w:bookmarkEnd w:id="794"/>
    <w:p w14:paraId="3E289D2C">
      <w:pPr>
        <w:widowControl/>
        <w:spacing w:before="0" w:after="0"/>
        <w:ind w:firstLineChars="200"/>
        <w:jc w:val="left"/>
        <w:outlineLvl w:val="9"/>
        <w:rPr>
          <w:rFonts w:hint="eastAsia" w:ascii="宋体" w:hAnsi="宋体" w:eastAsia="宋体" w:cs="宋体"/>
          <w:spacing w:val="0"/>
          <w:sz w:val="21"/>
          <w:szCs w:val="21"/>
          <w:highlight w:val="none"/>
        </w:rPr>
      </w:pPr>
      <w:bookmarkStart w:id="797" w:name="_Toc168475884"/>
      <w:bookmarkStart w:id="798" w:name="_Toc144974827"/>
      <w:bookmarkStart w:id="799" w:name="_Toc168476287"/>
      <w:bookmarkStart w:id="800" w:name="_Toc91344969"/>
      <w:bookmarkStart w:id="801" w:name="_Toc271870495"/>
      <w:bookmarkStart w:id="802" w:name="_Toc516255327"/>
      <w:bookmarkStart w:id="803" w:name="_Toc32278"/>
      <w:bookmarkStart w:id="804" w:name="_Toc266885982"/>
      <w:bookmarkStart w:id="805" w:name="_Toc62034507"/>
      <w:bookmarkStart w:id="806" w:name="_Toc534572313"/>
      <w:bookmarkStart w:id="807" w:name="_Toc27546"/>
      <w:bookmarkStart w:id="808" w:name="_Toc516759505"/>
      <w:bookmarkStart w:id="809" w:name="_Toc54550789"/>
      <w:bookmarkStart w:id="810" w:name="_Toc332378920"/>
      <w:bookmarkStart w:id="811" w:name="_Toc516255586"/>
      <w:bookmarkStart w:id="812" w:name="_Toc266859678"/>
      <w:r>
        <w:rPr>
          <w:rFonts w:hint="eastAsia" w:ascii="宋体" w:hAnsi="宋体" w:eastAsia="宋体" w:cs="宋体"/>
          <w:spacing w:val="0"/>
          <w:sz w:val="21"/>
          <w:szCs w:val="21"/>
          <w:highlight w:val="none"/>
        </w:rPr>
        <w:t>附件一：合同协议书</w:t>
      </w:r>
      <w:bookmarkEnd w:id="797"/>
      <w:bookmarkEnd w:id="798"/>
      <w:bookmarkEnd w:id="799"/>
      <w:r>
        <w:rPr>
          <w:rFonts w:hint="eastAsia" w:ascii="宋体" w:hAnsi="宋体" w:eastAsia="宋体" w:cs="宋体"/>
          <w:spacing w:val="0"/>
          <w:sz w:val="21"/>
          <w:szCs w:val="21"/>
          <w:highlight w:val="none"/>
        </w:rPr>
        <w:t>（格式）</w:t>
      </w:r>
      <w:bookmarkEnd w:id="800"/>
      <w:bookmarkEnd w:id="801"/>
      <w:bookmarkEnd w:id="802"/>
      <w:bookmarkEnd w:id="803"/>
      <w:bookmarkEnd w:id="804"/>
      <w:bookmarkEnd w:id="805"/>
      <w:bookmarkEnd w:id="806"/>
      <w:bookmarkEnd w:id="807"/>
      <w:bookmarkEnd w:id="808"/>
      <w:bookmarkEnd w:id="809"/>
      <w:bookmarkEnd w:id="810"/>
      <w:bookmarkEnd w:id="811"/>
      <w:bookmarkEnd w:id="812"/>
    </w:p>
    <w:p w14:paraId="23464F76">
      <w:pPr>
        <w:tabs>
          <w:tab w:val="left" w:pos="2457"/>
          <w:tab w:val="left" w:pos="6019"/>
          <w:tab w:val="left" w:pos="7483"/>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（买方名称，以下简称</w:t>
      </w:r>
      <w:r>
        <w:rPr>
          <w:rFonts w:hint="eastAsia" w:ascii="宋体" w:hAnsi="宋体" w:eastAsia="宋体" w:cs="宋体"/>
          <w:i/>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买方</w:t>
      </w:r>
      <w:r>
        <w:rPr>
          <w:rFonts w:hint="eastAsia" w:ascii="宋体" w:hAnsi="宋体" w:eastAsia="宋体" w:cs="宋体"/>
          <w:i/>
          <w:spacing w:val="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）为获得</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w:t>
      </w:r>
      <w:r>
        <w:rPr>
          <w:rFonts w:hint="eastAsia" w:ascii="宋体" w:hAnsi="宋体" w:eastAsia="宋体" w:cs="宋体"/>
          <w:spacing w:val="0"/>
          <w:kern w:val="2"/>
          <w:sz w:val="21"/>
          <w:szCs w:val="21"/>
          <w:highlight w:val="none"/>
          <w:lang w:val="en-US" w:eastAsia="zh-CN" w:bidi="ar-SA"/>
        </w:rPr>
        <w:t>项目名称）合同设备、技术服务和质量保证期服务，已接受</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u w:val="single"/>
          <w:lang w:val="en-US" w:eastAsia="zh-CN" w:bidi="ar-SA"/>
        </w:rPr>
        <w:t>（</w:t>
      </w:r>
      <w:r>
        <w:rPr>
          <w:rFonts w:hint="eastAsia" w:ascii="宋体" w:hAnsi="宋体" w:eastAsia="宋体" w:cs="宋体"/>
          <w:spacing w:val="0"/>
          <w:kern w:val="2"/>
          <w:sz w:val="21"/>
          <w:szCs w:val="21"/>
          <w:highlight w:val="none"/>
          <w:lang w:val="en-US" w:eastAsia="zh-CN" w:bidi="ar-SA"/>
        </w:rPr>
        <w:t>卖方名称，以下简称</w:t>
      </w:r>
      <w:r>
        <w:rPr>
          <w:rFonts w:hint="eastAsia" w:ascii="宋体" w:hAnsi="宋体" w:eastAsia="宋体" w:cs="宋体"/>
          <w:i/>
          <w:spacing w:val="0"/>
          <w:w w:val="8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卖方</w:t>
      </w:r>
      <w:r>
        <w:rPr>
          <w:rFonts w:hint="eastAsia" w:ascii="宋体" w:hAnsi="宋体" w:eastAsia="宋体" w:cs="宋体"/>
          <w:i/>
          <w:spacing w:val="0"/>
          <w:w w:val="80"/>
          <w:kern w:val="2"/>
          <w:sz w:val="21"/>
          <w:szCs w:val="21"/>
          <w:highlight w:val="none"/>
          <w:lang w:val="en-US" w:eastAsia="zh-CN" w:bidi="ar-SA"/>
        </w:rPr>
        <w:t>”</w:t>
      </w:r>
      <w:r>
        <w:rPr>
          <w:rFonts w:hint="eastAsia" w:ascii="宋体" w:hAnsi="宋体" w:eastAsia="宋体" w:cs="宋体"/>
          <w:spacing w:val="0"/>
          <w:kern w:val="2"/>
          <w:sz w:val="21"/>
          <w:szCs w:val="21"/>
          <w:highlight w:val="none"/>
          <w:lang w:val="en-US" w:eastAsia="zh-CN" w:bidi="ar-SA"/>
        </w:rPr>
        <w:t>）为提供上述合同设备和技术服务和质量保证期服务所作的投标，买方和卖方共同达成如下协议：</w:t>
      </w:r>
    </w:p>
    <w:p w14:paraId="561063AE">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 本协议书与下列文件一起构成合同文件：</w:t>
      </w:r>
    </w:p>
    <w:p w14:paraId="1C09252A">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（1）中标通知书；</w:t>
      </w:r>
    </w:p>
    <w:p w14:paraId="2F40496B">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（2）投标函；</w:t>
      </w:r>
    </w:p>
    <w:p w14:paraId="0A32783F">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（3）技术偏差表；</w:t>
      </w:r>
    </w:p>
    <w:p w14:paraId="5BF2FEFC">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（4）专用合同条款；</w:t>
      </w:r>
    </w:p>
    <w:p w14:paraId="01E26C2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（5）通用合同条款；</w:t>
      </w:r>
    </w:p>
    <w:p w14:paraId="005B1A16">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（6）供货要求；</w:t>
      </w:r>
    </w:p>
    <w:p w14:paraId="1CAD9B7C">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（7）分项报价表；</w:t>
      </w:r>
    </w:p>
    <w:p w14:paraId="0317F6D6">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（8）技术资料；</w:t>
      </w:r>
    </w:p>
    <w:p w14:paraId="38872B5A">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（9）其他合同文件。</w:t>
      </w:r>
    </w:p>
    <w:p w14:paraId="4A910E9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2.上述合同文件互相补充和解释。如果合同文件之间存在矛盾或不一致之处，以上述文件的排列顺序在先者为准。</w:t>
      </w:r>
    </w:p>
    <w:p w14:paraId="36CBA30E">
      <w:pPr>
        <w:tabs>
          <w:tab w:val="left" w:pos="4984"/>
          <w:tab w:val="left" w:pos="6768"/>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3. 签约合同价：人民币（大写）</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w:t>
      </w:r>
    </w:p>
    <w:p w14:paraId="263A31C2">
      <w:pPr>
        <w:tabs>
          <w:tab w:val="left" w:pos="4984"/>
          <w:tab w:val="left" w:pos="6768"/>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4. 供货期（服务期）：</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 。</w:t>
      </w:r>
    </w:p>
    <w:p w14:paraId="099DA7D3">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5. 卖方承诺保证完全按照合同约定提供合同设备和技术服务和质量保证期服务并修补缺陷。</w:t>
      </w:r>
    </w:p>
    <w:p w14:paraId="416BF847">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6. 买方承诺保证按照合同约定的条件、时间和方式向卖方支付合同价款。</w:t>
      </w:r>
    </w:p>
    <w:p w14:paraId="6926D867">
      <w:pPr>
        <w:tabs>
          <w:tab w:val="left" w:pos="3199"/>
          <w:tab w:val="left" w:pos="5614"/>
        </w:tabs>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7. 本合同协议书一式</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份，合同双方各执</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u w:val="single"/>
          <w:lang w:val="en-US" w:eastAsia="zh-CN" w:bidi="ar-SA"/>
        </w:rPr>
        <w:tab/>
      </w:r>
      <w:r>
        <w:rPr>
          <w:rFonts w:hint="eastAsia" w:ascii="宋体" w:hAnsi="宋体" w:eastAsia="宋体" w:cs="宋体"/>
          <w:spacing w:val="0"/>
          <w:kern w:val="2"/>
          <w:sz w:val="21"/>
          <w:szCs w:val="21"/>
          <w:highlight w:val="none"/>
          <w:lang w:val="en-US" w:eastAsia="zh-CN" w:bidi="ar-SA"/>
        </w:rPr>
        <w:t>份。</w:t>
      </w:r>
    </w:p>
    <w:p w14:paraId="582DC472">
      <w:pPr>
        <w:adjustRightInd w:val="0"/>
        <w:snapToGrid w:val="0"/>
        <w:spacing w:beforeLines="0" w:after="0" w:afterLines="0" w:line="360" w:lineRule="auto"/>
        <w:ind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8. 合同未尽事宜，双方另行签订补充协议，补充协议是合同的组成部分。</w:t>
      </w:r>
    </w:p>
    <w:p w14:paraId="30C5CAFF">
      <w:pPr>
        <w:spacing w:beforeLines="0" w:after="0" w:afterLines="0" w:line="360" w:lineRule="auto"/>
        <w:ind w:right="0" w:firstLine="420" w:firstLineChars="200"/>
        <w:jc w:val="both"/>
        <w:rPr>
          <w:rFonts w:hint="eastAsia" w:ascii="宋体" w:hAnsi="宋体" w:eastAsia="宋体" w:cs="宋体"/>
          <w:spacing w:val="0"/>
          <w:kern w:val="2"/>
          <w:sz w:val="21"/>
          <w:szCs w:val="21"/>
          <w:highlight w:val="none"/>
          <w:lang w:val="en-US" w:eastAsia="zh-CN" w:bidi="ar-SA"/>
        </w:rPr>
      </w:pPr>
    </w:p>
    <w:p w14:paraId="7401870A">
      <w:pPr>
        <w:spacing w:beforeLines="0" w:after="0" w:afterLines="0" w:line="360" w:lineRule="auto"/>
        <w:ind w:right="0" w:firstLine="420" w:firstLineChars="200"/>
        <w:jc w:val="both"/>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买方：</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（盖单位章）</w:t>
      </w:r>
    </w:p>
    <w:p w14:paraId="70A77101">
      <w:pPr>
        <w:widowControl/>
        <w:spacing w:beforeLines="0" w:afterLines="0" w:line="360" w:lineRule="auto"/>
        <w:ind w:firstLine="420" w:firstLineChars="200"/>
        <w:jc w:val="lef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法定代表人（单位负责人）或其委托代理人：</w:t>
      </w:r>
      <w:r>
        <w:rPr>
          <w:rFonts w:hint="eastAsia" w:ascii="宋体" w:hAnsi="宋体" w:eastAsia="宋体" w:cs="宋体"/>
          <w:spacing w:val="0"/>
          <w:sz w:val="21"/>
          <w:szCs w:val="21"/>
          <w:highlight w:val="none"/>
          <w:u w:val="single"/>
        </w:rPr>
        <w:t xml:space="preserve">    </w:t>
      </w:r>
      <w:r>
        <w:rPr>
          <w:rFonts w:hint="eastAsia" w:ascii="宋体" w:hAnsi="宋体" w:eastAsia="宋体" w:cs="宋体"/>
          <w:spacing w:val="0"/>
          <w:sz w:val="21"/>
          <w:szCs w:val="21"/>
          <w:highlight w:val="none"/>
        </w:rPr>
        <w:t>（签字）</w:t>
      </w:r>
    </w:p>
    <w:p w14:paraId="4B75981D">
      <w:pPr>
        <w:tabs>
          <w:tab w:val="left" w:pos="7605"/>
        </w:tabs>
        <w:spacing w:beforeLines="0" w:after="0" w:afterLines="0" w:line="360" w:lineRule="auto"/>
        <w:ind w:left="0" w:leftChars="0"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年</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月</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日 </w:t>
      </w:r>
    </w:p>
    <w:p w14:paraId="4D977FE3">
      <w:pPr>
        <w:tabs>
          <w:tab w:val="left" w:pos="7185"/>
        </w:tabs>
        <w:spacing w:beforeLines="0" w:after="0" w:afterLines="0" w:line="360" w:lineRule="auto"/>
        <w:ind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卖方：</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（盖单位章）</w:t>
      </w:r>
    </w:p>
    <w:p w14:paraId="7B587CBC">
      <w:pPr>
        <w:tabs>
          <w:tab w:val="left" w:pos="7605"/>
        </w:tabs>
        <w:spacing w:beforeLines="0" w:after="0" w:afterLines="0" w:line="360" w:lineRule="auto"/>
        <w:ind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lang w:val="en-US" w:eastAsia="zh-CN" w:bidi="ar-SA"/>
        </w:rPr>
        <w:t>法定代表人（单位负责人）或其委托代理人：</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（签字）</w:t>
      </w:r>
    </w:p>
    <w:p w14:paraId="2E1D18A8">
      <w:pPr>
        <w:tabs>
          <w:tab w:val="left" w:pos="7605"/>
        </w:tabs>
        <w:spacing w:beforeLines="0" w:after="0" w:afterLines="0" w:line="360" w:lineRule="auto"/>
        <w:ind w:left="0" w:leftChars="0" w:firstLine="420" w:firstLineChars="200"/>
        <w:rPr>
          <w:rFonts w:hint="eastAsia" w:ascii="宋体" w:hAnsi="宋体" w:eastAsia="宋体" w:cs="宋体"/>
          <w:spacing w:val="0"/>
          <w:kern w:val="2"/>
          <w:sz w:val="21"/>
          <w:szCs w:val="21"/>
          <w:highlight w:val="none"/>
          <w:lang w:val="en-US" w:eastAsia="zh-CN" w:bidi="ar-SA"/>
        </w:rPr>
      </w:pP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年</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月</w:t>
      </w:r>
      <w:r>
        <w:rPr>
          <w:rFonts w:hint="eastAsia" w:ascii="宋体" w:hAnsi="宋体" w:eastAsia="宋体" w:cs="宋体"/>
          <w:spacing w:val="0"/>
          <w:kern w:val="2"/>
          <w:sz w:val="21"/>
          <w:szCs w:val="21"/>
          <w:highlight w:val="none"/>
          <w:u w:val="single"/>
          <w:lang w:val="en-US" w:eastAsia="zh-CN" w:bidi="ar-SA"/>
        </w:rPr>
        <w:t xml:space="preserve">     </w:t>
      </w:r>
      <w:r>
        <w:rPr>
          <w:rFonts w:hint="eastAsia" w:ascii="宋体" w:hAnsi="宋体" w:eastAsia="宋体" w:cs="宋体"/>
          <w:spacing w:val="0"/>
          <w:kern w:val="2"/>
          <w:sz w:val="21"/>
          <w:szCs w:val="21"/>
          <w:highlight w:val="none"/>
          <w:lang w:val="en-US" w:eastAsia="zh-CN" w:bidi="ar-SA"/>
        </w:rPr>
        <w:t xml:space="preserve">日 </w:t>
      </w:r>
    </w:p>
    <w:p w14:paraId="046E33FF">
      <w:pPr>
        <w:widowControl/>
        <w:spacing w:beforeLines="0" w:afterLines="0" w:line="240" w:lineRule="auto"/>
        <w:jc w:val="left"/>
        <w:rPr>
          <w:rFonts w:hint="eastAsia" w:ascii="宋体" w:hAnsi="宋体" w:eastAsia="宋体" w:cs="宋体"/>
          <w:spacing w:val="-3"/>
          <w:sz w:val="24"/>
          <w:szCs w:val="24"/>
          <w:highlight w:val="none"/>
          <w:u w:val="single"/>
        </w:rPr>
      </w:pPr>
      <w:bookmarkStart w:id="813" w:name="_Toc168475888"/>
      <w:bookmarkStart w:id="814" w:name="_Toc271870496"/>
      <w:bookmarkStart w:id="815" w:name="_Toc144974831"/>
      <w:bookmarkStart w:id="816" w:name="_Toc332378921"/>
      <w:bookmarkStart w:id="817" w:name="_Toc401150202"/>
      <w:bookmarkStart w:id="818" w:name="_Toc266885984"/>
      <w:bookmarkStart w:id="819" w:name="_Toc168476291"/>
    </w:p>
    <w:p w14:paraId="34EDFADC">
      <w:pPr>
        <w:widowControl/>
        <w:jc w:val="left"/>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br w:type="page"/>
      </w:r>
    </w:p>
    <w:p w14:paraId="29FF66C8">
      <w:pPr>
        <w:widowControl/>
        <w:spacing w:beforeLines="0" w:afterLines="0" w:line="240" w:lineRule="auto"/>
        <w:jc w:val="left"/>
        <w:rPr>
          <w:rFonts w:hint="eastAsia" w:ascii="宋体" w:hAnsi="宋体" w:eastAsia="宋体" w:cs="宋体"/>
          <w:spacing w:val="-3"/>
          <w:sz w:val="24"/>
          <w:szCs w:val="24"/>
          <w:highlight w:val="none"/>
          <w:u w:val="single"/>
        </w:rPr>
      </w:pPr>
    </w:p>
    <w:p w14:paraId="2AED8B84">
      <w:pPr>
        <w:widowControl/>
        <w:spacing w:beforeLines="0" w:afterLines="0" w:line="240" w:lineRule="auto"/>
        <w:jc w:val="left"/>
        <w:rPr>
          <w:rFonts w:hint="eastAsia" w:ascii="宋体" w:hAnsi="宋体" w:eastAsia="宋体" w:cs="宋体"/>
          <w:spacing w:val="-3"/>
          <w:sz w:val="24"/>
          <w:szCs w:val="24"/>
          <w:highlight w:val="none"/>
          <w:u w:val="single"/>
        </w:rPr>
      </w:pPr>
    </w:p>
    <w:p w14:paraId="1CC93EE7">
      <w:pPr>
        <w:widowControl/>
        <w:spacing w:beforeLines="0" w:afterLines="0" w:line="240" w:lineRule="auto"/>
        <w:jc w:val="left"/>
        <w:rPr>
          <w:rFonts w:hint="eastAsia" w:ascii="宋体" w:hAnsi="宋体" w:eastAsia="宋体" w:cs="宋体"/>
          <w:spacing w:val="-3"/>
          <w:sz w:val="24"/>
          <w:szCs w:val="24"/>
          <w:highlight w:val="none"/>
          <w:u w:val="single"/>
        </w:rPr>
      </w:pPr>
    </w:p>
    <w:p w14:paraId="314EAE67">
      <w:pPr>
        <w:widowControl/>
        <w:spacing w:beforeLines="0" w:afterLines="0" w:line="240" w:lineRule="auto"/>
        <w:jc w:val="left"/>
        <w:rPr>
          <w:rFonts w:hint="eastAsia" w:ascii="宋体" w:hAnsi="宋体" w:eastAsia="宋体" w:cs="宋体"/>
          <w:spacing w:val="-3"/>
          <w:sz w:val="24"/>
          <w:szCs w:val="24"/>
          <w:highlight w:val="none"/>
          <w:u w:val="single"/>
        </w:rPr>
      </w:pPr>
    </w:p>
    <w:p w14:paraId="6D3BAA73">
      <w:pPr>
        <w:widowControl/>
        <w:spacing w:beforeLines="0" w:afterLines="0" w:line="240" w:lineRule="auto"/>
        <w:jc w:val="left"/>
        <w:rPr>
          <w:rFonts w:hint="eastAsia" w:ascii="宋体" w:hAnsi="宋体" w:eastAsia="宋体" w:cs="宋体"/>
          <w:spacing w:val="-3"/>
          <w:sz w:val="24"/>
          <w:szCs w:val="24"/>
          <w:highlight w:val="none"/>
          <w:u w:val="single"/>
        </w:rPr>
      </w:pPr>
    </w:p>
    <w:p w14:paraId="68DACAE4">
      <w:pPr>
        <w:spacing w:beforeLines="0" w:after="0" w:afterLines="0" w:line="240" w:lineRule="auto"/>
        <w:rPr>
          <w:rFonts w:hint="eastAsia" w:ascii="宋体" w:hAnsi="宋体" w:eastAsia="宋体" w:cs="宋体"/>
          <w:kern w:val="2"/>
          <w:sz w:val="21"/>
          <w:szCs w:val="22"/>
          <w:highlight w:val="none"/>
          <w:lang w:val="en-US" w:eastAsia="zh-CN" w:bidi="ar-SA"/>
        </w:rPr>
      </w:pPr>
      <w:bookmarkStart w:id="820" w:name="_Toc11056"/>
    </w:p>
    <w:p w14:paraId="6B394D3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16F859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67EA7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68832B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A636C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62CF53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DD07F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4AB25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9A23EA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F7F1BE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D7C310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081A781">
      <w:pPr>
        <w:keepNext/>
        <w:keepLines/>
        <w:adjustRightInd w:val="0"/>
        <w:snapToGrid w:val="0"/>
        <w:spacing w:before="0" w:beforeLines="0" w:after="0" w:afterLines="0" w:line="240" w:lineRule="auto"/>
        <w:jc w:val="center"/>
        <w:outlineLvl w:val="0"/>
        <w:rPr>
          <w:rFonts w:hint="eastAsia" w:ascii="宋体" w:hAnsi="宋体" w:eastAsia="宋体" w:cs="宋体"/>
          <w:b/>
          <w:bCs/>
          <w:kern w:val="44"/>
          <w:sz w:val="52"/>
          <w:szCs w:val="52"/>
          <w:highlight w:val="none"/>
          <w:lang w:val="en-US" w:eastAsia="zh-CN" w:bidi="ar-SA"/>
        </w:rPr>
      </w:pPr>
      <w:bookmarkStart w:id="821" w:name="_Toc4843"/>
      <w:bookmarkStart w:id="822" w:name="_Toc8660"/>
      <w:bookmarkStart w:id="823" w:name="_Toc91344972"/>
      <w:bookmarkStart w:id="824" w:name="_Toc62034510"/>
      <w:bookmarkStart w:id="825" w:name="_Toc24636"/>
      <w:bookmarkStart w:id="826" w:name="_Toc3301"/>
      <w:bookmarkStart w:id="827" w:name="_Toc28857"/>
      <w:bookmarkStart w:id="828" w:name="_Toc4759"/>
      <w:r>
        <w:rPr>
          <w:rFonts w:hint="eastAsia" w:ascii="宋体" w:hAnsi="宋体" w:eastAsia="宋体" w:cs="宋体"/>
          <w:b/>
          <w:bCs/>
          <w:kern w:val="44"/>
          <w:sz w:val="52"/>
          <w:szCs w:val="52"/>
          <w:highlight w:val="none"/>
          <w:lang w:val="en-US" w:eastAsia="zh-CN" w:bidi="ar-SA"/>
        </w:rPr>
        <w:t>第二卷</w:t>
      </w:r>
      <w:bookmarkEnd w:id="820"/>
      <w:bookmarkEnd w:id="821"/>
      <w:bookmarkEnd w:id="822"/>
      <w:bookmarkEnd w:id="823"/>
      <w:bookmarkEnd w:id="824"/>
      <w:bookmarkEnd w:id="825"/>
      <w:bookmarkEnd w:id="826"/>
      <w:bookmarkEnd w:id="827"/>
      <w:bookmarkEnd w:id="828"/>
    </w:p>
    <w:bookmarkEnd w:id="658"/>
    <w:bookmarkEnd w:id="659"/>
    <w:bookmarkEnd w:id="660"/>
    <w:bookmarkEnd w:id="813"/>
    <w:bookmarkEnd w:id="814"/>
    <w:bookmarkEnd w:id="815"/>
    <w:bookmarkEnd w:id="816"/>
    <w:bookmarkEnd w:id="817"/>
    <w:bookmarkEnd w:id="818"/>
    <w:bookmarkEnd w:id="819"/>
    <w:p w14:paraId="397575D6">
      <w:pPr>
        <w:widowControl/>
        <w:adjustRightInd w:val="0"/>
        <w:snapToGrid w:val="0"/>
        <w:spacing w:before="0" w:beforeLines="0" w:after="0" w:afterLines="0"/>
        <w:jc w:val="center"/>
        <w:rPr>
          <w:rFonts w:hint="eastAsia" w:ascii="宋体" w:hAnsi="宋体" w:eastAsia="宋体" w:cs="宋体"/>
          <w:sz w:val="52"/>
          <w:szCs w:val="52"/>
          <w:highlight w:val="none"/>
        </w:rPr>
      </w:pPr>
      <w:bookmarkStart w:id="829" w:name="_Toc11191"/>
      <w:bookmarkStart w:id="830" w:name="_Toc9892"/>
      <w:bookmarkStart w:id="831" w:name="_Toc91344973"/>
      <w:bookmarkStart w:id="832" w:name="_Toc62034511"/>
      <w:r>
        <w:rPr>
          <w:rFonts w:hint="eastAsia" w:ascii="宋体" w:hAnsi="宋体" w:eastAsia="宋体" w:cs="宋体"/>
          <w:sz w:val="52"/>
          <w:szCs w:val="52"/>
          <w:highlight w:val="none"/>
        </w:rPr>
        <w:br w:type="page"/>
      </w:r>
    </w:p>
    <w:bookmarkEnd w:id="829"/>
    <w:bookmarkEnd w:id="830"/>
    <w:bookmarkEnd w:id="831"/>
    <w:bookmarkEnd w:id="832"/>
    <w:p w14:paraId="6CEE8B81">
      <w:pPr>
        <w:spacing w:beforeLines="0" w:after="0" w:afterLines="0" w:line="240" w:lineRule="auto"/>
        <w:jc w:val="center"/>
        <w:outlineLvl w:val="0"/>
        <w:rPr>
          <w:rFonts w:hint="default" w:ascii="宋体" w:hAnsi="宋体" w:eastAsia="宋体" w:cs="宋体"/>
          <w:b/>
          <w:bCs/>
          <w:kern w:val="2"/>
          <w:sz w:val="32"/>
          <w:szCs w:val="32"/>
          <w:highlight w:val="none"/>
          <w:lang w:val="en-US" w:eastAsia="zh-CN" w:bidi="ar-SA"/>
        </w:rPr>
      </w:pPr>
      <w:bookmarkStart w:id="833" w:name="_Toc29627"/>
      <w:bookmarkStart w:id="834" w:name="_Toc12381"/>
      <w:bookmarkStart w:id="835" w:name="_Toc17528"/>
      <w:bookmarkStart w:id="836" w:name="_Toc3129"/>
      <w:bookmarkStart w:id="837" w:name="_Toc20090"/>
      <w:bookmarkStart w:id="838" w:name="_Toc91345070"/>
      <w:bookmarkStart w:id="839" w:name="_Toc62034582"/>
      <w:bookmarkStart w:id="840" w:name="_Toc19345"/>
      <w:bookmarkStart w:id="841" w:name="_Toc7033"/>
      <w:r>
        <w:rPr>
          <w:rFonts w:hint="eastAsia" w:ascii="宋体" w:hAnsi="宋体" w:eastAsia="宋体" w:cs="宋体"/>
          <w:b/>
          <w:bCs/>
          <w:kern w:val="2"/>
          <w:sz w:val="32"/>
          <w:szCs w:val="32"/>
          <w:highlight w:val="none"/>
          <w:lang w:val="en-US" w:eastAsia="zh-CN" w:bidi="ar-SA"/>
        </w:rPr>
        <w:t xml:space="preserve">第五章 </w:t>
      </w:r>
      <w:bookmarkEnd w:id="833"/>
      <w:bookmarkEnd w:id="834"/>
      <w:bookmarkEnd w:id="835"/>
      <w:bookmarkEnd w:id="836"/>
      <w:r>
        <w:rPr>
          <w:rFonts w:hint="eastAsia" w:ascii="宋体" w:hAnsi="宋体" w:eastAsia="宋体" w:cs="宋体"/>
          <w:b/>
          <w:bCs/>
          <w:kern w:val="2"/>
          <w:sz w:val="32"/>
          <w:szCs w:val="32"/>
          <w:highlight w:val="none"/>
          <w:lang w:val="en-US" w:eastAsia="zh-CN" w:bidi="ar-SA"/>
        </w:rPr>
        <w:t>工程量清单及图纸</w:t>
      </w:r>
    </w:p>
    <w:p w14:paraId="6AF36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8F109C">
      <w:pPr>
        <w:widowControl/>
        <w:spacing w:beforeLines="0" w:afterLines="0"/>
        <w:jc w:val="center"/>
        <w:rPr>
          <w:rFonts w:hint="eastAsia" w:ascii="宋体" w:hAnsi="宋体" w:eastAsia="宋体" w:cs="宋体"/>
          <w:b/>
          <w:bCs/>
          <w:color w:val="auto"/>
          <w:sz w:val="24"/>
          <w:szCs w:val="28"/>
          <w:highlight w:val="none"/>
          <w:lang w:eastAsia="zh-CN"/>
        </w:rPr>
      </w:pPr>
      <w:r>
        <w:rPr>
          <w:rFonts w:hint="eastAsia" w:ascii="宋体" w:hAnsi="宋体" w:eastAsia="宋体" w:cs="宋体"/>
          <w:b/>
          <w:bCs/>
          <w:color w:val="auto"/>
          <w:sz w:val="24"/>
          <w:szCs w:val="28"/>
          <w:highlight w:val="none"/>
          <w:lang w:eastAsia="zh-CN"/>
        </w:rPr>
        <w:t>（</w:t>
      </w:r>
      <w:r>
        <w:rPr>
          <w:rFonts w:hint="eastAsia" w:ascii="宋体" w:hAnsi="宋体" w:eastAsia="宋体" w:cs="宋体"/>
          <w:b/>
          <w:bCs/>
          <w:color w:val="auto"/>
          <w:sz w:val="24"/>
          <w:szCs w:val="28"/>
          <w:highlight w:val="none"/>
          <w:lang w:val="en-US" w:eastAsia="zh-CN"/>
        </w:rPr>
        <w:t>另附</w:t>
      </w:r>
      <w:r>
        <w:rPr>
          <w:rFonts w:hint="eastAsia" w:ascii="宋体" w:hAnsi="宋体" w:eastAsia="宋体" w:cs="宋体"/>
          <w:b/>
          <w:bCs/>
          <w:color w:val="auto"/>
          <w:sz w:val="24"/>
          <w:szCs w:val="28"/>
          <w:highlight w:val="none"/>
          <w:lang w:eastAsia="zh-CN"/>
        </w:rPr>
        <w:t>）</w:t>
      </w:r>
    </w:p>
    <w:p w14:paraId="407E0CE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4CEEC798">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BBDD4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37F0B6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D7A5DA7">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548027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02B3822">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C76138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11F4FF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1D92E1D">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CEE760B">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692B7D7A">
      <w:pPr>
        <w:widowControl/>
        <w:adjustRightInd w:val="0"/>
        <w:snapToGrid w:val="0"/>
        <w:spacing w:before="0" w:beforeLines="0" w:after="0" w:afterLines="0" w:line="240" w:lineRule="auto"/>
        <w:jc w:val="center"/>
        <w:outlineLvl w:val="9"/>
        <w:rPr>
          <w:rFonts w:hint="eastAsia" w:ascii="宋体" w:hAnsi="宋体" w:eastAsia="宋体" w:cs="宋体"/>
          <w:sz w:val="52"/>
          <w:szCs w:val="52"/>
          <w:highlight w:val="none"/>
        </w:rPr>
      </w:pPr>
    </w:p>
    <w:p w14:paraId="4946A2A9">
      <w:pPr>
        <w:widowControl/>
        <w:adjustRightInd w:val="0"/>
        <w:snapToGrid w:val="0"/>
        <w:spacing w:before="0" w:beforeLines="0" w:after="0" w:afterLines="0"/>
        <w:jc w:val="left"/>
        <w:rPr>
          <w:rFonts w:hint="eastAsia" w:ascii="宋体" w:hAnsi="宋体" w:eastAsia="宋体" w:cs="宋体"/>
          <w:sz w:val="32"/>
          <w:szCs w:val="32"/>
          <w:highlight w:val="none"/>
        </w:rPr>
      </w:pPr>
      <w:bookmarkStart w:id="842" w:name="_Toc5842"/>
      <w:bookmarkStart w:id="843" w:name="_Toc19788"/>
      <w:bookmarkStart w:id="844" w:name="_Toc13605"/>
      <w:bookmarkStart w:id="845" w:name="_Toc16614"/>
      <w:r>
        <w:rPr>
          <w:rFonts w:hint="eastAsia" w:ascii="宋体" w:hAnsi="宋体" w:eastAsia="宋体" w:cs="宋体"/>
          <w:sz w:val="32"/>
          <w:szCs w:val="32"/>
          <w:highlight w:val="none"/>
        </w:rPr>
        <w:br w:type="page"/>
      </w:r>
    </w:p>
    <w:p w14:paraId="4A81D38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E08F79D">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50F017D">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54800CA">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1CB1301B">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929E142">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43F245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4B8B78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4DFCE844">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016CA65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6F3B433">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3DE7FD1A">
      <w:pPr>
        <w:widowControl/>
        <w:adjustRightInd w:val="0"/>
        <w:snapToGrid w:val="0"/>
        <w:spacing w:before="0" w:beforeLines="0" w:after="0" w:afterLines="0"/>
        <w:jc w:val="left"/>
        <w:outlineLvl w:val="9"/>
        <w:rPr>
          <w:rFonts w:hint="eastAsia" w:ascii="宋体" w:hAnsi="宋体" w:eastAsia="宋体" w:cs="宋体"/>
          <w:sz w:val="32"/>
          <w:szCs w:val="32"/>
          <w:highlight w:val="none"/>
        </w:rPr>
      </w:pPr>
    </w:p>
    <w:p w14:paraId="71FED030">
      <w:pPr>
        <w:widowControl/>
        <w:adjustRightInd w:val="0"/>
        <w:snapToGrid w:val="0"/>
        <w:spacing w:before="0" w:beforeLines="0" w:after="0" w:afterLines="0"/>
        <w:ind w:firstLine="3654" w:firstLineChars="700"/>
        <w:jc w:val="left"/>
        <w:outlineLvl w:val="0"/>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第三卷</w:t>
      </w:r>
      <w:bookmarkEnd w:id="837"/>
      <w:bookmarkEnd w:id="838"/>
      <w:bookmarkEnd w:id="839"/>
      <w:bookmarkEnd w:id="840"/>
      <w:bookmarkEnd w:id="841"/>
      <w:bookmarkEnd w:id="842"/>
      <w:bookmarkEnd w:id="843"/>
      <w:bookmarkEnd w:id="844"/>
      <w:bookmarkEnd w:id="845"/>
    </w:p>
    <w:p w14:paraId="17BE989E">
      <w:pPr>
        <w:widowControl/>
        <w:spacing w:beforeLines="0" w:afterLines="0" w:line="240" w:lineRule="auto"/>
        <w:jc w:val="left"/>
        <w:rPr>
          <w:rFonts w:hint="eastAsia" w:ascii="宋体" w:hAnsi="宋体" w:eastAsia="宋体" w:cs="宋体"/>
          <w:szCs w:val="22"/>
          <w:highlight w:val="none"/>
        </w:rPr>
      </w:pPr>
      <w:bookmarkStart w:id="846" w:name="_Toc22494"/>
    </w:p>
    <w:p w14:paraId="08B2939F">
      <w:pPr>
        <w:widowControl/>
        <w:spacing w:beforeLines="0" w:afterLines="0" w:line="240" w:lineRule="auto"/>
        <w:jc w:val="left"/>
        <w:rPr>
          <w:rFonts w:hint="eastAsia" w:ascii="宋体" w:hAnsi="宋体" w:eastAsia="宋体" w:cs="宋体"/>
          <w:szCs w:val="22"/>
          <w:highlight w:val="none"/>
        </w:rPr>
      </w:pPr>
    </w:p>
    <w:p w14:paraId="6C746999">
      <w:pPr>
        <w:widowControl/>
        <w:spacing w:beforeLines="0" w:afterLines="0" w:line="240" w:lineRule="auto"/>
        <w:jc w:val="left"/>
        <w:rPr>
          <w:rFonts w:hint="eastAsia" w:ascii="宋体" w:hAnsi="宋体" w:eastAsia="宋体" w:cs="宋体"/>
          <w:szCs w:val="22"/>
          <w:highlight w:val="none"/>
        </w:rPr>
      </w:pPr>
    </w:p>
    <w:p w14:paraId="36008C23">
      <w:pPr>
        <w:widowControl/>
        <w:spacing w:beforeLines="0" w:afterLines="0" w:line="240" w:lineRule="auto"/>
        <w:jc w:val="left"/>
        <w:rPr>
          <w:rFonts w:hint="eastAsia" w:ascii="宋体" w:hAnsi="宋体" w:eastAsia="宋体" w:cs="宋体"/>
          <w:szCs w:val="22"/>
          <w:highlight w:val="none"/>
        </w:rPr>
      </w:pPr>
    </w:p>
    <w:p w14:paraId="65ABAA96">
      <w:pPr>
        <w:widowControl/>
        <w:spacing w:beforeLines="0" w:afterLines="0" w:line="240" w:lineRule="auto"/>
        <w:jc w:val="left"/>
        <w:rPr>
          <w:rFonts w:hint="eastAsia" w:ascii="宋体" w:hAnsi="宋体" w:eastAsia="宋体" w:cs="宋体"/>
          <w:szCs w:val="22"/>
          <w:highlight w:val="none"/>
        </w:rPr>
      </w:pPr>
    </w:p>
    <w:p w14:paraId="569B9294">
      <w:pPr>
        <w:widowControl/>
        <w:spacing w:beforeLines="0" w:afterLines="0" w:line="240" w:lineRule="auto"/>
        <w:jc w:val="left"/>
        <w:rPr>
          <w:rFonts w:hint="eastAsia" w:ascii="宋体" w:hAnsi="宋体" w:eastAsia="宋体" w:cs="宋体"/>
          <w:szCs w:val="22"/>
          <w:highlight w:val="none"/>
        </w:rPr>
      </w:pPr>
    </w:p>
    <w:p w14:paraId="34519ADD">
      <w:pPr>
        <w:widowControl/>
        <w:spacing w:beforeLines="0" w:afterLines="0" w:line="240" w:lineRule="auto"/>
        <w:jc w:val="left"/>
        <w:rPr>
          <w:rFonts w:hint="eastAsia" w:ascii="宋体" w:hAnsi="宋体" w:eastAsia="宋体" w:cs="宋体"/>
          <w:szCs w:val="22"/>
          <w:highlight w:val="none"/>
        </w:rPr>
      </w:pPr>
    </w:p>
    <w:p w14:paraId="1E49F3E8">
      <w:pPr>
        <w:widowControl/>
        <w:spacing w:beforeLines="0" w:afterLines="0" w:line="240" w:lineRule="auto"/>
        <w:jc w:val="left"/>
        <w:rPr>
          <w:rFonts w:hint="eastAsia" w:ascii="宋体" w:hAnsi="宋体" w:eastAsia="宋体" w:cs="宋体"/>
          <w:szCs w:val="22"/>
          <w:highlight w:val="none"/>
        </w:rPr>
      </w:pPr>
    </w:p>
    <w:p w14:paraId="6FC59997">
      <w:pPr>
        <w:widowControl/>
        <w:spacing w:beforeLines="0" w:afterLines="0" w:line="240" w:lineRule="auto"/>
        <w:jc w:val="left"/>
        <w:rPr>
          <w:rFonts w:hint="eastAsia" w:ascii="宋体" w:hAnsi="宋体" w:eastAsia="宋体" w:cs="宋体"/>
          <w:szCs w:val="22"/>
          <w:highlight w:val="none"/>
        </w:rPr>
      </w:pPr>
    </w:p>
    <w:p w14:paraId="7277E9FE">
      <w:pPr>
        <w:widowControl/>
        <w:spacing w:beforeLines="0" w:afterLines="0" w:line="240" w:lineRule="auto"/>
        <w:jc w:val="left"/>
        <w:rPr>
          <w:rFonts w:hint="eastAsia" w:ascii="宋体" w:hAnsi="宋体" w:eastAsia="宋体" w:cs="宋体"/>
          <w:szCs w:val="22"/>
          <w:highlight w:val="none"/>
        </w:rPr>
      </w:pPr>
    </w:p>
    <w:p w14:paraId="521D06E0">
      <w:pPr>
        <w:widowControl/>
        <w:spacing w:beforeLines="0" w:afterLines="0" w:line="240" w:lineRule="auto"/>
        <w:jc w:val="left"/>
        <w:rPr>
          <w:rFonts w:hint="eastAsia" w:ascii="宋体" w:hAnsi="宋体" w:eastAsia="宋体" w:cs="宋体"/>
          <w:szCs w:val="22"/>
          <w:highlight w:val="none"/>
        </w:rPr>
      </w:pPr>
    </w:p>
    <w:p w14:paraId="0FAD06E0">
      <w:pPr>
        <w:widowControl/>
        <w:spacing w:beforeLines="0" w:afterLines="0" w:line="240" w:lineRule="auto"/>
        <w:jc w:val="left"/>
        <w:rPr>
          <w:rFonts w:hint="eastAsia" w:ascii="宋体" w:hAnsi="宋体" w:eastAsia="宋体" w:cs="宋体"/>
          <w:szCs w:val="22"/>
          <w:highlight w:val="none"/>
        </w:rPr>
      </w:pPr>
    </w:p>
    <w:p w14:paraId="1866494D">
      <w:pPr>
        <w:widowControl/>
        <w:spacing w:beforeLines="0" w:afterLines="0" w:line="240" w:lineRule="auto"/>
        <w:jc w:val="left"/>
        <w:rPr>
          <w:rFonts w:hint="eastAsia" w:ascii="宋体" w:hAnsi="宋体" w:eastAsia="宋体" w:cs="宋体"/>
          <w:szCs w:val="22"/>
          <w:highlight w:val="none"/>
        </w:rPr>
      </w:pPr>
    </w:p>
    <w:p w14:paraId="0B0005C5">
      <w:pPr>
        <w:widowControl/>
        <w:spacing w:beforeLines="0" w:afterLines="0" w:line="240" w:lineRule="auto"/>
        <w:jc w:val="left"/>
        <w:rPr>
          <w:rFonts w:hint="eastAsia" w:ascii="宋体" w:hAnsi="宋体" w:eastAsia="宋体" w:cs="宋体"/>
          <w:szCs w:val="22"/>
          <w:highlight w:val="none"/>
        </w:rPr>
      </w:pPr>
    </w:p>
    <w:p w14:paraId="0E0469FF">
      <w:pPr>
        <w:widowControl/>
        <w:spacing w:beforeLines="0" w:afterLines="0" w:line="240" w:lineRule="auto"/>
        <w:jc w:val="left"/>
        <w:rPr>
          <w:rFonts w:hint="eastAsia" w:ascii="宋体" w:hAnsi="宋体" w:eastAsia="宋体" w:cs="宋体"/>
          <w:szCs w:val="22"/>
          <w:highlight w:val="none"/>
        </w:rPr>
      </w:pPr>
    </w:p>
    <w:p w14:paraId="0EE56C56">
      <w:pPr>
        <w:widowControl/>
        <w:spacing w:beforeLines="0" w:afterLines="0" w:line="240" w:lineRule="auto"/>
        <w:jc w:val="left"/>
        <w:rPr>
          <w:rFonts w:hint="eastAsia" w:ascii="宋体" w:hAnsi="宋体" w:eastAsia="宋体" w:cs="宋体"/>
          <w:szCs w:val="22"/>
          <w:highlight w:val="none"/>
        </w:rPr>
      </w:pPr>
    </w:p>
    <w:p w14:paraId="52371026">
      <w:pPr>
        <w:widowControl/>
        <w:spacing w:beforeLines="0" w:afterLines="0" w:line="240" w:lineRule="auto"/>
        <w:jc w:val="left"/>
        <w:rPr>
          <w:rFonts w:hint="eastAsia" w:ascii="宋体" w:hAnsi="宋体" w:eastAsia="宋体" w:cs="宋体"/>
          <w:szCs w:val="22"/>
          <w:highlight w:val="none"/>
        </w:rPr>
      </w:pPr>
    </w:p>
    <w:p w14:paraId="0EB26441">
      <w:pPr>
        <w:widowControl/>
        <w:spacing w:beforeLines="0" w:afterLines="0" w:line="240" w:lineRule="auto"/>
        <w:jc w:val="left"/>
        <w:rPr>
          <w:rFonts w:hint="eastAsia" w:ascii="宋体" w:hAnsi="宋体" w:eastAsia="宋体" w:cs="宋体"/>
          <w:szCs w:val="22"/>
          <w:highlight w:val="none"/>
        </w:rPr>
      </w:pPr>
    </w:p>
    <w:p w14:paraId="73EDCA7E">
      <w:pPr>
        <w:widowControl/>
        <w:spacing w:beforeLines="0" w:afterLines="0" w:line="240" w:lineRule="auto"/>
        <w:jc w:val="left"/>
        <w:rPr>
          <w:rFonts w:hint="eastAsia" w:ascii="宋体" w:hAnsi="宋体" w:eastAsia="宋体" w:cs="宋体"/>
          <w:szCs w:val="22"/>
          <w:highlight w:val="none"/>
        </w:rPr>
      </w:pPr>
    </w:p>
    <w:p w14:paraId="615BDEAE">
      <w:pPr>
        <w:widowControl/>
        <w:spacing w:beforeLines="0" w:afterLines="0" w:line="240" w:lineRule="auto"/>
        <w:jc w:val="left"/>
        <w:rPr>
          <w:rFonts w:hint="eastAsia" w:ascii="宋体" w:hAnsi="宋体" w:eastAsia="宋体" w:cs="宋体"/>
          <w:szCs w:val="22"/>
          <w:highlight w:val="none"/>
        </w:rPr>
      </w:pPr>
    </w:p>
    <w:p w14:paraId="0D1B8F02">
      <w:pPr>
        <w:widowControl/>
        <w:spacing w:beforeLines="0" w:afterLines="0" w:line="240" w:lineRule="auto"/>
        <w:jc w:val="left"/>
        <w:rPr>
          <w:rFonts w:hint="eastAsia" w:ascii="宋体" w:hAnsi="宋体" w:eastAsia="宋体" w:cs="宋体"/>
          <w:szCs w:val="22"/>
          <w:highlight w:val="none"/>
        </w:rPr>
      </w:pPr>
    </w:p>
    <w:p w14:paraId="16E0A2DF">
      <w:pPr>
        <w:widowControl/>
        <w:spacing w:beforeLines="0" w:afterLines="0" w:line="240" w:lineRule="auto"/>
        <w:jc w:val="left"/>
        <w:rPr>
          <w:rFonts w:hint="eastAsia" w:ascii="宋体" w:hAnsi="宋体" w:eastAsia="宋体" w:cs="宋体"/>
          <w:szCs w:val="22"/>
          <w:highlight w:val="none"/>
        </w:rPr>
      </w:pPr>
    </w:p>
    <w:p w14:paraId="3C1CDAE9">
      <w:pPr>
        <w:widowControl/>
        <w:spacing w:beforeLines="0" w:afterLines="0" w:line="240" w:lineRule="auto"/>
        <w:jc w:val="left"/>
        <w:rPr>
          <w:rFonts w:hint="eastAsia" w:ascii="宋体" w:hAnsi="宋体" w:eastAsia="宋体" w:cs="宋体"/>
          <w:szCs w:val="22"/>
          <w:highlight w:val="none"/>
        </w:rPr>
      </w:pPr>
    </w:p>
    <w:p w14:paraId="62886FB9">
      <w:pPr>
        <w:widowControl/>
        <w:spacing w:beforeLines="0" w:afterLines="0" w:line="240" w:lineRule="auto"/>
        <w:jc w:val="left"/>
        <w:rPr>
          <w:rFonts w:hint="eastAsia" w:ascii="宋体" w:hAnsi="宋体" w:eastAsia="宋体" w:cs="宋体"/>
          <w:szCs w:val="22"/>
          <w:highlight w:val="none"/>
        </w:rPr>
      </w:pPr>
    </w:p>
    <w:p w14:paraId="5421E857">
      <w:pPr>
        <w:widowControl/>
        <w:spacing w:beforeLines="0" w:afterLines="0" w:line="240" w:lineRule="auto"/>
        <w:jc w:val="left"/>
        <w:rPr>
          <w:rFonts w:hint="eastAsia" w:ascii="宋体" w:hAnsi="宋体" w:eastAsia="宋体" w:cs="宋体"/>
          <w:szCs w:val="22"/>
          <w:highlight w:val="none"/>
        </w:rPr>
      </w:pPr>
    </w:p>
    <w:p w14:paraId="466FDD3E">
      <w:pPr>
        <w:widowControl/>
        <w:spacing w:beforeLines="0" w:afterLines="0" w:line="240" w:lineRule="auto"/>
        <w:jc w:val="left"/>
        <w:rPr>
          <w:rFonts w:hint="eastAsia" w:ascii="宋体" w:hAnsi="宋体" w:eastAsia="宋体" w:cs="宋体"/>
          <w:szCs w:val="22"/>
          <w:highlight w:val="none"/>
        </w:rPr>
      </w:pPr>
    </w:p>
    <w:p w14:paraId="3D9AF20C">
      <w:pPr>
        <w:widowControl/>
        <w:spacing w:beforeLines="0" w:afterLines="0" w:line="240" w:lineRule="auto"/>
        <w:jc w:val="left"/>
        <w:rPr>
          <w:rFonts w:hint="eastAsia" w:ascii="宋体" w:hAnsi="宋体" w:eastAsia="宋体" w:cs="宋体"/>
          <w:szCs w:val="22"/>
          <w:highlight w:val="none"/>
        </w:rPr>
      </w:pPr>
    </w:p>
    <w:p w14:paraId="3AAA3B54">
      <w:pPr>
        <w:widowControl/>
        <w:spacing w:beforeLines="0" w:afterLines="0" w:line="240" w:lineRule="auto"/>
        <w:jc w:val="left"/>
        <w:rPr>
          <w:rFonts w:hint="eastAsia" w:ascii="宋体" w:hAnsi="宋体" w:eastAsia="宋体" w:cs="宋体"/>
          <w:szCs w:val="22"/>
          <w:highlight w:val="none"/>
        </w:rPr>
      </w:pPr>
    </w:p>
    <w:p w14:paraId="6A0B19F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A658FAB">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bookmarkEnd w:id="846"/>
    <w:p w14:paraId="248F5163">
      <w:pPr>
        <w:spacing w:beforeLines="0" w:after="0" w:afterLines="0" w:line="360" w:lineRule="auto"/>
        <w:jc w:val="center"/>
        <w:outlineLvl w:val="0"/>
        <w:rPr>
          <w:rFonts w:hint="default" w:ascii="宋体" w:hAnsi="宋体" w:eastAsia="宋体" w:cs="宋体"/>
          <w:b/>
          <w:bCs/>
          <w:kern w:val="2"/>
          <w:sz w:val="32"/>
          <w:szCs w:val="32"/>
          <w:highlight w:val="none"/>
          <w:lang w:val="en-US" w:eastAsia="zh-CN" w:bidi="ar-SA"/>
        </w:rPr>
      </w:pPr>
      <w:bookmarkStart w:id="847" w:name="_Toc22878"/>
      <w:bookmarkStart w:id="848" w:name="_Toc14503"/>
      <w:bookmarkStart w:id="849" w:name="_Toc32157"/>
      <w:bookmarkStart w:id="850" w:name="_Toc17180"/>
      <w:r>
        <w:rPr>
          <w:rFonts w:hint="eastAsia" w:ascii="宋体" w:hAnsi="宋体" w:eastAsia="宋体" w:cs="宋体"/>
          <w:b/>
          <w:bCs/>
          <w:kern w:val="2"/>
          <w:sz w:val="32"/>
          <w:szCs w:val="32"/>
          <w:highlight w:val="none"/>
          <w:lang w:val="en-US" w:eastAsia="zh-CN" w:bidi="ar-SA"/>
        </w:rPr>
        <w:t>第六章 投标文件格式</w:t>
      </w:r>
      <w:bookmarkEnd w:id="847"/>
      <w:bookmarkEnd w:id="848"/>
      <w:bookmarkEnd w:id="849"/>
      <w:bookmarkEnd w:id="850"/>
    </w:p>
    <w:p w14:paraId="36B12420">
      <w:pPr>
        <w:widowControl/>
        <w:spacing w:beforeLines="-2147483648" w:afterLines="-2147483648" w:line="360" w:lineRule="auto"/>
        <w:jc w:val="left"/>
        <w:rPr>
          <w:rFonts w:hint="eastAsia" w:ascii="Times New Roman" w:hAnsi="Times New Roman" w:eastAsia="宋体" w:cs="Times New Roman"/>
          <w:szCs w:val="22"/>
        </w:rPr>
      </w:pPr>
    </w:p>
    <w:p w14:paraId="23A8B88E">
      <w:pPr>
        <w:widowControl/>
        <w:spacing w:beforeLines="0" w:afterLines="0" w:line="360" w:lineRule="auto"/>
        <w:ind w:firstLine="1600" w:firstLineChars="500"/>
        <w:jc w:val="left"/>
        <w:rPr>
          <w:rFonts w:hint="eastAsia" w:ascii="宋体" w:hAnsi="宋体" w:eastAsia="宋体" w:cs="宋体"/>
          <w:szCs w:val="22"/>
          <w:highlight w:val="none"/>
          <w:u w:val="single"/>
        </w:rPr>
      </w:pPr>
      <w:r>
        <w:rPr>
          <w:rFonts w:hint="eastAsia" w:ascii="Times New Roman" w:hAnsi="Times New Roman" w:eastAsia="宋体" w:cs="Times New Roman"/>
          <w:sz w:val="32"/>
          <w:szCs w:val="32"/>
          <w:u w:val="single"/>
          <w:lang w:eastAsia="zh-CN"/>
        </w:rPr>
        <w:t xml:space="preserve"> </w:t>
      </w:r>
      <w:r>
        <w:rPr>
          <w:rFonts w:hint="eastAsia" w:ascii="Times New Roman" w:hAnsi="Times New Roman" w:eastAsia="宋体" w:cs="Times New Roman"/>
          <w:sz w:val="32"/>
          <w:szCs w:val="32"/>
          <w:u w:val="single"/>
          <w:lang w:val="en-US" w:eastAsia="zh-CN"/>
        </w:rPr>
        <w:t xml:space="preserve">                 </w:t>
      </w:r>
      <w:r>
        <w:rPr>
          <w:rFonts w:hint="eastAsia" w:ascii="Times New Roman" w:hAnsi="Times New Roman" w:eastAsia="宋体" w:cs="Times New Roman"/>
          <w:sz w:val="32"/>
          <w:szCs w:val="32"/>
          <w:u w:val="single"/>
          <w:lang w:eastAsia="zh-CN"/>
        </w:rPr>
        <w:t>（项目</w:t>
      </w:r>
      <w:r>
        <w:rPr>
          <w:rFonts w:hint="eastAsia" w:ascii="Times New Roman" w:hAnsi="Times New Roman" w:eastAsia="宋体" w:cs="Times New Roman"/>
          <w:sz w:val="32"/>
          <w:szCs w:val="32"/>
          <w:u w:val="single"/>
          <w:lang w:val="en-US" w:eastAsia="zh-CN"/>
        </w:rPr>
        <w:t>名称</w:t>
      </w:r>
      <w:r>
        <w:rPr>
          <w:rFonts w:hint="eastAsia" w:ascii="Times New Roman" w:hAnsi="Times New Roman" w:eastAsia="宋体" w:cs="Times New Roman"/>
          <w:sz w:val="32"/>
          <w:szCs w:val="32"/>
          <w:u w:val="single"/>
          <w:lang w:eastAsia="zh-CN"/>
        </w:rPr>
        <w:t>）</w:t>
      </w:r>
      <w:r>
        <w:rPr>
          <w:rFonts w:hint="eastAsia" w:ascii="Times New Roman" w:hAnsi="Times New Roman" w:eastAsia="宋体" w:cs="Times New Roman"/>
          <w:sz w:val="32"/>
          <w:szCs w:val="32"/>
          <w:u w:val="single"/>
          <w:lang w:val="en-US" w:eastAsia="zh-CN"/>
        </w:rPr>
        <w:t xml:space="preserve">     （标段名称</w:t>
      </w:r>
      <w:r>
        <w:rPr>
          <w:rFonts w:hint="eastAsia" w:ascii="Times New Roman" w:hAnsi="Times New Roman" w:eastAsia="宋体" w:cs="Times New Roman"/>
          <w:sz w:val="32"/>
          <w:szCs w:val="32"/>
          <w:u w:val="single"/>
          <w:lang w:eastAsia="zh-CN"/>
        </w:rPr>
        <w:t>）</w:t>
      </w:r>
    </w:p>
    <w:p w14:paraId="731575CE">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BE51FDC">
      <w:pPr>
        <w:widowControl/>
        <w:spacing w:beforeLines="0" w:afterLines="0" w:line="240" w:lineRule="auto"/>
        <w:jc w:val="left"/>
        <w:rPr>
          <w:rFonts w:hint="eastAsia" w:ascii="宋体" w:hAnsi="宋体" w:eastAsia="宋体" w:cs="宋体"/>
          <w:sz w:val="20"/>
          <w:szCs w:val="20"/>
          <w:highlight w:val="none"/>
        </w:rPr>
      </w:pPr>
    </w:p>
    <w:p w14:paraId="142FB3F2">
      <w:pPr>
        <w:widowControl/>
        <w:spacing w:beforeLines="0" w:afterLines="0" w:line="240" w:lineRule="auto"/>
        <w:jc w:val="center"/>
        <w:rPr>
          <w:rFonts w:hint="eastAsia" w:ascii="宋体" w:hAnsi="宋体" w:eastAsia="宋体" w:cs="宋体"/>
          <w:sz w:val="44"/>
          <w:szCs w:val="44"/>
          <w:highlight w:val="none"/>
        </w:rPr>
      </w:pPr>
      <w:bookmarkStart w:id="851" w:name="_Toc221951911"/>
      <w:r>
        <w:rPr>
          <w:rFonts w:hint="eastAsia" w:ascii="宋体" w:hAnsi="宋体" w:eastAsia="宋体" w:cs="宋体"/>
          <w:sz w:val="44"/>
          <w:szCs w:val="44"/>
          <w:highlight w:val="none"/>
        </w:rPr>
        <w:t>投  标  文  件</w:t>
      </w:r>
      <w:bookmarkEnd w:id="851"/>
    </w:p>
    <w:p w14:paraId="2F081E3C">
      <w:pPr>
        <w:widowControl/>
        <w:spacing w:beforeLines="0" w:afterLines="0" w:line="240" w:lineRule="auto"/>
        <w:jc w:val="left"/>
        <w:rPr>
          <w:rFonts w:hint="eastAsia" w:ascii="宋体" w:hAnsi="宋体" w:eastAsia="宋体" w:cs="宋体"/>
          <w:sz w:val="28"/>
          <w:szCs w:val="28"/>
          <w:highlight w:val="none"/>
        </w:rPr>
      </w:pPr>
    </w:p>
    <w:p w14:paraId="402F8034">
      <w:pPr>
        <w:widowControl/>
        <w:spacing w:beforeLines="0" w:afterLines="0" w:line="240" w:lineRule="auto"/>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w:t>
      </w:r>
      <w:r>
        <w:rPr>
          <w:rFonts w:hint="eastAsia" w:ascii="宋体" w:hAnsi="宋体" w:eastAsia="宋体" w:cs="宋体"/>
          <w:color w:val="000000"/>
          <w:sz w:val="30"/>
          <w:szCs w:val="30"/>
          <w:highlight w:val="none"/>
          <w:lang w:val="en-US" w:eastAsia="zh-CN"/>
        </w:rPr>
        <w:t>项目</w:t>
      </w:r>
      <w:r>
        <w:rPr>
          <w:rFonts w:hint="eastAsia" w:ascii="宋体" w:hAnsi="宋体" w:eastAsia="宋体" w:cs="宋体"/>
          <w:color w:val="000000"/>
          <w:sz w:val="30"/>
          <w:szCs w:val="30"/>
          <w:highlight w:val="none"/>
        </w:rPr>
        <w:t>编号：</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rPr>
        <w:t>）</w:t>
      </w:r>
    </w:p>
    <w:p w14:paraId="240A6C08">
      <w:pPr>
        <w:widowControl/>
        <w:spacing w:beforeLines="0" w:afterLines="0" w:line="240" w:lineRule="auto"/>
        <w:jc w:val="left"/>
        <w:rPr>
          <w:rFonts w:hint="eastAsia" w:ascii="宋体" w:hAnsi="宋体" w:eastAsia="宋体" w:cs="宋体"/>
          <w:sz w:val="28"/>
          <w:szCs w:val="28"/>
          <w:highlight w:val="none"/>
        </w:rPr>
      </w:pPr>
    </w:p>
    <w:p w14:paraId="11BEA697">
      <w:pPr>
        <w:widowControl/>
        <w:spacing w:beforeLines="0" w:afterLines="0" w:line="240" w:lineRule="auto"/>
        <w:jc w:val="left"/>
        <w:rPr>
          <w:rFonts w:hint="eastAsia" w:ascii="宋体" w:hAnsi="宋体" w:eastAsia="宋体" w:cs="宋体"/>
          <w:sz w:val="28"/>
          <w:szCs w:val="28"/>
          <w:highlight w:val="none"/>
        </w:rPr>
      </w:pPr>
    </w:p>
    <w:p w14:paraId="069B0C6C">
      <w:pPr>
        <w:widowControl/>
        <w:spacing w:beforeLines="0" w:afterLines="0" w:line="240" w:lineRule="auto"/>
        <w:jc w:val="left"/>
        <w:rPr>
          <w:rFonts w:hint="eastAsia" w:ascii="宋体" w:hAnsi="宋体" w:eastAsia="宋体" w:cs="宋体"/>
          <w:sz w:val="28"/>
          <w:szCs w:val="28"/>
          <w:highlight w:val="none"/>
        </w:rPr>
      </w:pPr>
    </w:p>
    <w:p w14:paraId="774B90E9">
      <w:pPr>
        <w:widowControl/>
        <w:spacing w:beforeLines="0" w:afterLines="0" w:line="240" w:lineRule="auto"/>
        <w:jc w:val="left"/>
        <w:rPr>
          <w:rFonts w:hint="eastAsia" w:ascii="宋体" w:hAnsi="宋体" w:eastAsia="宋体" w:cs="宋体"/>
          <w:sz w:val="28"/>
          <w:szCs w:val="28"/>
          <w:highlight w:val="none"/>
        </w:rPr>
      </w:pPr>
    </w:p>
    <w:p w14:paraId="1AB0A360">
      <w:pPr>
        <w:widowControl/>
        <w:spacing w:beforeLines="0" w:afterLines="0" w:line="240" w:lineRule="auto"/>
        <w:jc w:val="left"/>
        <w:rPr>
          <w:rFonts w:hint="eastAsia" w:ascii="宋体" w:hAnsi="宋体" w:eastAsia="宋体" w:cs="宋体"/>
          <w:sz w:val="28"/>
          <w:szCs w:val="28"/>
          <w:highlight w:val="none"/>
        </w:rPr>
      </w:pPr>
    </w:p>
    <w:p w14:paraId="6FBD3489">
      <w:pPr>
        <w:widowControl/>
        <w:spacing w:beforeLines="0" w:afterLines="0" w:line="240" w:lineRule="auto"/>
        <w:jc w:val="left"/>
        <w:rPr>
          <w:rFonts w:hint="eastAsia" w:ascii="宋体" w:hAnsi="宋体" w:eastAsia="宋体" w:cs="宋体"/>
          <w:sz w:val="28"/>
          <w:szCs w:val="28"/>
          <w:highlight w:val="none"/>
        </w:rPr>
      </w:pPr>
    </w:p>
    <w:p w14:paraId="3FDFC9DC">
      <w:pPr>
        <w:widowControl/>
        <w:spacing w:beforeLines="0" w:afterLines="0" w:line="240" w:lineRule="auto"/>
        <w:jc w:val="left"/>
        <w:rPr>
          <w:rFonts w:hint="eastAsia" w:ascii="宋体" w:hAnsi="宋体" w:eastAsia="宋体" w:cs="宋体"/>
          <w:sz w:val="28"/>
          <w:szCs w:val="28"/>
          <w:highlight w:val="none"/>
        </w:rPr>
      </w:pPr>
    </w:p>
    <w:p w14:paraId="42A1784D">
      <w:pPr>
        <w:widowControl/>
        <w:spacing w:beforeLines="0" w:afterLines="0" w:line="240" w:lineRule="auto"/>
        <w:jc w:val="left"/>
        <w:rPr>
          <w:rFonts w:hint="eastAsia" w:ascii="宋体" w:hAnsi="宋体" w:eastAsia="宋体" w:cs="宋体"/>
          <w:sz w:val="28"/>
          <w:szCs w:val="28"/>
          <w:highlight w:val="none"/>
        </w:rPr>
      </w:pPr>
    </w:p>
    <w:p w14:paraId="44F9BC17">
      <w:pPr>
        <w:widowControl/>
        <w:spacing w:beforeLines="0" w:afterLines="0" w:line="240" w:lineRule="auto"/>
        <w:jc w:val="left"/>
        <w:rPr>
          <w:rFonts w:hint="eastAsia" w:ascii="宋体" w:hAnsi="宋体" w:eastAsia="宋体" w:cs="宋体"/>
          <w:sz w:val="28"/>
          <w:szCs w:val="28"/>
          <w:highlight w:val="none"/>
        </w:rPr>
      </w:pPr>
    </w:p>
    <w:p w14:paraId="6FFCEA4F">
      <w:pPr>
        <w:widowControl/>
        <w:spacing w:beforeLines="0" w:afterLines="0" w:line="240" w:lineRule="auto"/>
        <w:jc w:val="left"/>
        <w:rPr>
          <w:rFonts w:hint="eastAsia" w:ascii="宋体" w:hAnsi="宋体" w:eastAsia="宋体" w:cs="宋体"/>
          <w:sz w:val="28"/>
          <w:szCs w:val="28"/>
          <w:highlight w:val="none"/>
        </w:rPr>
      </w:pPr>
    </w:p>
    <w:p w14:paraId="10F5294C">
      <w:pPr>
        <w:widowControl/>
        <w:spacing w:beforeLines="0" w:afterLines="0" w:line="240" w:lineRule="auto"/>
        <w:jc w:val="left"/>
        <w:rPr>
          <w:rFonts w:hint="eastAsia" w:ascii="宋体" w:hAnsi="宋体" w:eastAsia="宋体" w:cs="宋体"/>
          <w:sz w:val="28"/>
          <w:szCs w:val="28"/>
          <w:highlight w:val="none"/>
        </w:rPr>
      </w:pPr>
    </w:p>
    <w:p w14:paraId="64AAA993">
      <w:pPr>
        <w:spacing w:beforeLines="0" w:after="0" w:afterLines="0" w:line="240" w:lineRule="auto"/>
        <w:rPr>
          <w:rFonts w:hint="eastAsia" w:ascii="宋体" w:hAnsi="宋体" w:eastAsia="宋体" w:cs="宋体"/>
          <w:kern w:val="2"/>
          <w:sz w:val="21"/>
          <w:szCs w:val="22"/>
          <w:highlight w:val="none"/>
          <w:lang w:val="en-US" w:eastAsia="zh-CN" w:bidi="ar-SA"/>
        </w:rPr>
      </w:pPr>
    </w:p>
    <w:p w14:paraId="1FA9AD20">
      <w:pPr>
        <w:spacing w:beforeLines="0" w:after="0" w:afterLines="0" w:line="240" w:lineRule="auto"/>
        <w:rPr>
          <w:rFonts w:hint="eastAsia" w:ascii="宋体" w:hAnsi="宋体" w:eastAsia="宋体" w:cs="宋体"/>
          <w:kern w:val="2"/>
          <w:sz w:val="21"/>
          <w:szCs w:val="22"/>
          <w:highlight w:val="none"/>
          <w:lang w:val="en-US" w:eastAsia="zh-CN" w:bidi="ar-SA"/>
        </w:rPr>
      </w:pPr>
    </w:p>
    <w:p w14:paraId="4FCE0E86">
      <w:pPr>
        <w:widowControl w:val="0"/>
        <w:ind w:left="840"/>
        <w:rPr>
          <w:rFonts w:hint="eastAsia" w:ascii="宋体" w:hAnsi="宋体" w:eastAsia="宋体" w:cs="宋体"/>
          <w:kern w:val="2"/>
          <w:sz w:val="18"/>
          <w:szCs w:val="18"/>
          <w:highlight w:val="none"/>
          <w:lang w:val="en-US" w:eastAsia="zh-CN" w:bidi="ar-SA"/>
        </w:rPr>
      </w:pPr>
    </w:p>
    <w:p w14:paraId="4A7C681A">
      <w:pPr>
        <w:widowControl/>
        <w:jc w:val="left"/>
        <w:rPr>
          <w:rFonts w:hint="eastAsia" w:ascii="宋体" w:hAnsi="宋体" w:eastAsia="宋体" w:cs="宋体"/>
          <w:szCs w:val="22"/>
          <w:highlight w:val="none"/>
        </w:rPr>
      </w:pPr>
    </w:p>
    <w:p w14:paraId="5C488131">
      <w:pPr>
        <w:widowControl/>
        <w:jc w:val="left"/>
        <w:rPr>
          <w:rFonts w:hint="eastAsia" w:ascii="宋体" w:hAnsi="宋体" w:eastAsia="宋体" w:cs="宋体"/>
          <w:szCs w:val="22"/>
          <w:highlight w:val="none"/>
        </w:rPr>
      </w:pPr>
    </w:p>
    <w:p w14:paraId="4AB109E7">
      <w:pPr>
        <w:widowControl/>
        <w:jc w:val="left"/>
        <w:rPr>
          <w:rFonts w:hint="eastAsia" w:ascii="宋体" w:hAnsi="宋体" w:eastAsia="宋体" w:cs="宋体"/>
          <w:szCs w:val="22"/>
          <w:highlight w:val="none"/>
        </w:rPr>
      </w:pPr>
    </w:p>
    <w:p w14:paraId="3CDD7A54">
      <w:pPr>
        <w:widowControl/>
        <w:jc w:val="left"/>
        <w:rPr>
          <w:rFonts w:hint="eastAsia" w:ascii="宋体" w:hAnsi="宋体" w:eastAsia="宋体" w:cs="宋体"/>
          <w:szCs w:val="22"/>
          <w:highlight w:val="none"/>
        </w:rPr>
      </w:pPr>
    </w:p>
    <w:p w14:paraId="06AD9551">
      <w:pPr>
        <w:widowControl/>
        <w:jc w:val="left"/>
        <w:rPr>
          <w:rFonts w:hint="eastAsia" w:ascii="宋体" w:hAnsi="宋体" w:eastAsia="宋体" w:cs="宋体"/>
          <w:szCs w:val="22"/>
          <w:highlight w:val="none"/>
        </w:rPr>
      </w:pPr>
    </w:p>
    <w:p w14:paraId="2458B31C">
      <w:pPr>
        <w:widowControl/>
        <w:jc w:val="left"/>
        <w:rPr>
          <w:rFonts w:hint="eastAsia" w:ascii="宋体" w:hAnsi="宋体" w:eastAsia="宋体" w:cs="宋体"/>
          <w:szCs w:val="22"/>
          <w:highlight w:val="none"/>
        </w:rPr>
      </w:pPr>
    </w:p>
    <w:p w14:paraId="31519A98">
      <w:pPr>
        <w:widowControl/>
        <w:spacing w:beforeLines="0" w:afterLines="0" w:line="240" w:lineRule="auto"/>
        <w:jc w:val="left"/>
        <w:rPr>
          <w:rFonts w:hint="eastAsia" w:ascii="宋体" w:hAnsi="宋体" w:eastAsia="宋体" w:cs="宋体"/>
          <w:sz w:val="28"/>
          <w:szCs w:val="28"/>
          <w:highlight w:val="none"/>
        </w:rPr>
      </w:pPr>
    </w:p>
    <w:p w14:paraId="4164D69E">
      <w:pPr>
        <w:spacing w:beforeLines="0" w:after="0" w:afterLines="0" w:line="240" w:lineRule="auto"/>
        <w:rPr>
          <w:rFonts w:hint="eastAsia" w:ascii="宋体" w:hAnsi="宋体" w:eastAsia="宋体" w:cs="宋体"/>
          <w:kern w:val="2"/>
          <w:sz w:val="21"/>
          <w:szCs w:val="22"/>
          <w:highlight w:val="none"/>
          <w:lang w:val="en-US" w:eastAsia="zh-CN" w:bidi="ar-SA"/>
        </w:rPr>
      </w:pPr>
    </w:p>
    <w:p w14:paraId="7C4AD1D9">
      <w:pPr>
        <w:widowControl/>
        <w:spacing w:beforeLines="0" w:afterLines="0" w:line="360" w:lineRule="auto"/>
        <w:jc w:val="center"/>
        <w:rPr>
          <w:rFonts w:hint="eastAsia" w:ascii="宋体" w:hAnsi="宋体" w:eastAsia="宋体" w:cs="宋体"/>
          <w:sz w:val="28"/>
          <w:szCs w:val="28"/>
          <w:highlight w:val="none"/>
        </w:rPr>
      </w:pPr>
      <w:bookmarkStart w:id="852" w:name="_Toc221951912"/>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盖单位章</w:t>
      </w:r>
      <w:r>
        <w:rPr>
          <w:rFonts w:hint="eastAsia" w:ascii="宋体" w:hAnsi="宋体" w:eastAsia="宋体" w:cs="宋体"/>
          <w:sz w:val="28"/>
          <w:szCs w:val="28"/>
          <w:highlight w:val="none"/>
        </w:rPr>
        <w:t>）</w:t>
      </w:r>
    </w:p>
    <w:p w14:paraId="769FE472">
      <w:pPr>
        <w:widowControl/>
        <w:spacing w:beforeLines="0" w:afterLines="0" w:line="360" w:lineRule="auto"/>
        <w:ind w:firstLine="840" w:firstLineChars="300"/>
        <w:jc w:val="left"/>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法定代表人或其委托代理人：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签字或盖章</w:t>
      </w:r>
      <w:r>
        <w:rPr>
          <w:rFonts w:hint="eastAsia" w:ascii="宋体" w:hAnsi="宋体" w:eastAsia="宋体" w:cs="宋体"/>
          <w:sz w:val="28"/>
          <w:szCs w:val="28"/>
          <w:highlight w:val="none"/>
        </w:rPr>
        <w:t xml:space="preserve">） </w:t>
      </w:r>
      <w:bookmarkEnd w:id="852"/>
    </w:p>
    <w:p w14:paraId="63ACBB45">
      <w:pPr>
        <w:widowControl/>
        <w:spacing w:beforeLines="0" w:afterLines="0" w:line="360" w:lineRule="auto"/>
        <w:ind w:firstLine="2520" w:firstLineChars="900"/>
        <w:jc w:val="left"/>
        <w:rPr>
          <w:rFonts w:hint="eastAsia" w:ascii="宋体" w:hAnsi="宋体" w:eastAsia="宋体" w:cs="宋体"/>
          <w:szCs w:val="22"/>
          <w:highlight w:val="none"/>
        </w:rPr>
      </w:pPr>
      <w:r>
        <w:rPr>
          <w:rFonts w:hint="eastAsia" w:ascii="宋体" w:hAnsi="宋体" w:eastAsia="宋体" w:cs="宋体"/>
          <w:sz w:val="28"/>
          <w:szCs w:val="28"/>
          <w:highlight w:val="none"/>
          <w:u w:val="single"/>
        </w:rPr>
        <w:t xml:space="preserve">        </w:t>
      </w:r>
      <w:bookmarkStart w:id="853" w:name="_Toc221951914"/>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bookmarkEnd w:id="853"/>
    </w:p>
    <w:p w14:paraId="432D5B6F">
      <w:pPr>
        <w:widowControl/>
        <w:spacing w:beforeLines="0" w:afterLines="0" w:line="240" w:lineRule="auto"/>
        <w:jc w:val="left"/>
        <w:rPr>
          <w:rFonts w:hint="eastAsia" w:ascii="宋体" w:hAnsi="宋体" w:eastAsia="宋体" w:cs="宋体"/>
          <w:szCs w:val="22"/>
          <w:highlight w:val="none"/>
        </w:rPr>
      </w:pPr>
    </w:p>
    <w:p w14:paraId="304DA252">
      <w:pPr>
        <w:widowControl/>
        <w:spacing w:beforeLines="0" w:afterLines="0" w:line="240" w:lineRule="auto"/>
        <w:jc w:val="left"/>
        <w:rPr>
          <w:rFonts w:hint="eastAsia" w:ascii="宋体" w:hAnsi="宋体" w:eastAsia="宋体" w:cs="宋体"/>
          <w:szCs w:val="22"/>
          <w:highlight w:val="none"/>
        </w:rPr>
      </w:pPr>
    </w:p>
    <w:p w14:paraId="642B1B37">
      <w:pPr>
        <w:widowControl/>
        <w:spacing w:beforeLines="-2147483648" w:afterLines="-2147483648" w:line="240" w:lineRule="auto"/>
        <w:jc w:val="left"/>
        <w:rPr>
          <w:rFonts w:hint="eastAsia" w:ascii="宋体" w:hAnsi="宋体" w:eastAsia="宋体" w:cs="宋体"/>
          <w:b/>
          <w:bCs/>
          <w:sz w:val="32"/>
          <w:szCs w:val="32"/>
          <w:highlight w:val="none"/>
        </w:rPr>
      </w:pPr>
      <w:bookmarkStart w:id="854" w:name="_Toc266886256"/>
      <w:bookmarkStart w:id="855" w:name="_Toc229305419"/>
      <w:bookmarkStart w:id="856" w:name="_Toc3964"/>
      <w:bookmarkStart w:id="857" w:name="_Toc54550866"/>
      <w:bookmarkStart w:id="858" w:name="_Toc10292"/>
      <w:bookmarkStart w:id="859" w:name="_Toc256079633"/>
      <w:bookmarkStart w:id="860" w:name="_Toc62034584"/>
      <w:r>
        <w:rPr>
          <w:rFonts w:hint="eastAsia" w:ascii="宋体" w:hAnsi="宋体" w:eastAsia="宋体" w:cs="宋体"/>
          <w:b/>
          <w:bCs/>
          <w:sz w:val="32"/>
          <w:szCs w:val="32"/>
          <w:highlight w:val="none"/>
        </w:rPr>
        <w:br w:type="page"/>
      </w:r>
    </w:p>
    <w:p w14:paraId="543EC9F8">
      <w:pPr>
        <w:widowControl/>
        <w:spacing w:beforeLines="0" w:afterLines="0" w:line="24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目    录</w:t>
      </w:r>
      <w:bookmarkEnd w:id="854"/>
      <w:bookmarkEnd w:id="855"/>
      <w:bookmarkEnd w:id="856"/>
      <w:bookmarkEnd w:id="857"/>
      <w:bookmarkEnd w:id="858"/>
      <w:bookmarkEnd w:id="859"/>
      <w:bookmarkEnd w:id="860"/>
    </w:p>
    <w:p w14:paraId="01B38259">
      <w:pPr>
        <w:tabs>
          <w:tab w:val="right" w:leader="dot" w:pos="9070"/>
        </w:tabs>
        <w:adjustRightInd w:val="0"/>
        <w:snapToGrid w:val="0"/>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51A35FDA">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_Toc16941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一、投标函及投标函附录</w:t>
      </w:r>
      <w:r>
        <w:rPr>
          <w:rFonts w:hint="eastAsia" w:ascii="宋体" w:hAnsi="宋体" w:eastAsia="宋体" w:cs="宋体"/>
          <w:smallCaps/>
          <w:kern w:val="2"/>
          <w:sz w:val="21"/>
          <w:szCs w:val="21"/>
          <w:highlight w:val="none"/>
          <w:lang w:val="en-US" w:eastAsia="zh-CN" w:bidi="ar-SA"/>
        </w:rPr>
        <w:fldChar w:fldCharType="end"/>
      </w:r>
    </w:p>
    <w:p w14:paraId="58ECF0A5">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_Toc11953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二、法定代表人（单位负责人）身份证明</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（适用于无委托代理人的情况）</w:t>
      </w:r>
    </w:p>
    <w:p w14:paraId="22E7DAF5">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_Toc16233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二、授权委托书</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（适用于有委托代理人的情况）</w:t>
      </w:r>
    </w:p>
    <w:p w14:paraId="4D1C6C56">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_Toc17448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三、投标保证金</w:t>
      </w:r>
      <w:r>
        <w:rPr>
          <w:rFonts w:hint="eastAsia" w:ascii="宋体" w:hAnsi="宋体" w:eastAsia="宋体" w:cs="宋体"/>
          <w:smallCaps/>
          <w:kern w:val="2"/>
          <w:sz w:val="21"/>
          <w:szCs w:val="21"/>
          <w:highlight w:val="none"/>
          <w:lang w:val="en-US" w:eastAsia="zh-CN" w:bidi="ar-SA"/>
        </w:rPr>
        <w:fldChar w:fldCharType="end"/>
      </w:r>
    </w:p>
    <w:p w14:paraId="320FEDB1">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_Toc9251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四、技术偏差表</w:t>
      </w:r>
      <w:r>
        <w:rPr>
          <w:rFonts w:hint="eastAsia" w:ascii="宋体" w:hAnsi="宋体" w:eastAsia="宋体" w:cs="宋体"/>
          <w:smallCaps/>
          <w:kern w:val="2"/>
          <w:sz w:val="21"/>
          <w:szCs w:val="21"/>
          <w:highlight w:val="none"/>
          <w:lang w:val="en-US" w:eastAsia="zh-CN" w:bidi="ar-SA"/>
        </w:rPr>
        <w:fldChar w:fldCharType="end"/>
      </w:r>
    </w:p>
    <w:p w14:paraId="2C6E3279">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_Toc16571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五、分项报价表</w:t>
      </w:r>
      <w:r>
        <w:rPr>
          <w:rFonts w:hint="eastAsia" w:ascii="宋体" w:hAnsi="宋体" w:eastAsia="宋体" w:cs="宋体"/>
          <w:smallCaps/>
          <w:kern w:val="2"/>
          <w:sz w:val="21"/>
          <w:szCs w:val="21"/>
          <w:highlight w:val="none"/>
          <w:lang w:val="en-US" w:eastAsia="zh-CN" w:bidi="ar-SA"/>
        </w:rPr>
        <w:fldChar w:fldCharType="end"/>
      </w:r>
    </w:p>
    <w:p w14:paraId="0CFB7B08">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_Toc24522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六、资格审查资料</w:t>
      </w:r>
      <w:r>
        <w:rPr>
          <w:rFonts w:hint="eastAsia" w:ascii="宋体" w:hAnsi="宋体" w:eastAsia="宋体" w:cs="宋体"/>
          <w:smallCaps/>
          <w:kern w:val="2"/>
          <w:sz w:val="21"/>
          <w:szCs w:val="21"/>
          <w:highlight w:val="none"/>
          <w:lang w:val="en-US" w:eastAsia="zh-CN" w:bidi="ar-SA"/>
        </w:rPr>
        <w:fldChar w:fldCharType="end"/>
      </w:r>
    </w:p>
    <w:p w14:paraId="150A8654">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_Toc25797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七、技术资料</w:t>
      </w:r>
      <w:r>
        <w:rPr>
          <w:rFonts w:hint="eastAsia" w:ascii="宋体" w:hAnsi="宋体" w:eastAsia="宋体" w:cs="宋体"/>
          <w:smallCaps/>
          <w:kern w:val="2"/>
          <w:sz w:val="21"/>
          <w:szCs w:val="21"/>
          <w:highlight w:val="none"/>
          <w:lang w:val="en-US" w:eastAsia="zh-CN" w:bidi="ar-SA"/>
        </w:rPr>
        <w:fldChar w:fldCharType="end"/>
      </w:r>
    </w:p>
    <w:p w14:paraId="33A0BC58">
      <w:pPr>
        <w:tabs>
          <w:tab w:val="right" w:leader="dot" w:pos="9070"/>
        </w:tabs>
        <w:adjustRightInd/>
        <w:snapToGrid/>
        <w:spacing w:beforeLines="0" w:afterLines="0" w:line="360" w:lineRule="auto"/>
        <w:ind w:left="0" w:firstLine="0" w:firstLineChars="0"/>
        <w:jc w:val="both"/>
        <w:rPr>
          <w:rFonts w:hint="eastAsia" w:ascii="宋体" w:hAnsi="宋体" w:eastAsia="宋体" w:cs="宋体"/>
          <w:smallCaps/>
          <w:kern w:val="2"/>
          <w:sz w:val="21"/>
          <w:szCs w:val="21"/>
          <w:highlight w:val="none"/>
          <w:lang w:val="en-US" w:eastAsia="zh-CN" w:bidi="ar-SA"/>
        </w:rPr>
      </w:pPr>
      <w:r>
        <w:rPr>
          <w:rFonts w:hint="eastAsia" w:ascii="宋体" w:hAnsi="宋体" w:eastAsia="宋体" w:cs="宋体"/>
          <w:smallCaps/>
          <w:kern w:val="2"/>
          <w:sz w:val="21"/>
          <w:szCs w:val="21"/>
          <w:highlight w:val="none"/>
          <w:lang w:val="en-US" w:eastAsia="zh-CN" w:bidi="ar-SA"/>
        </w:rPr>
        <w:fldChar w:fldCharType="begin"/>
      </w:r>
      <w:r>
        <w:rPr>
          <w:rFonts w:hint="eastAsia" w:ascii="宋体" w:hAnsi="宋体" w:eastAsia="宋体" w:cs="宋体"/>
          <w:smallCaps/>
          <w:kern w:val="2"/>
          <w:sz w:val="21"/>
          <w:szCs w:val="21"/>
          <w:highlight w:val="none"/>
          <w:lang w:val="en-US" w:eastAsia="zh-CN" w:bidi="ar-SA"/>
        </w:rPr>
        <w:instrText xml:space="preserve"> HYPERLINK \l _Toc11599 </w:instrText>
      </w:r>
      <w:r>
        <w:rPr>
          <w:rFonts w:hint="eastAsia" w:ascii="宋体" w:hAnsi="宋体" w:eastAsia="宋体" w:cs="宋体"/>
          <w:smallCaps/>
          <w:kern w:val="2"/>
          <w:sz w:val="21"/>
          <w:szCs w:val="21"/>
          <w:highlight w:val="none"/>
          <w:lang w:val="en-US" w:eastAsia="zh-CN" w:bidi="ar-SA"/>
        </w:rPr>
        <w:fldChar w:fldCharType="separate"/>
      </w:r>
      <w:r>
        <w:rPr>
          <w:rFonts w:hint="eastAsia" w:ascii="宋体" w:hAnsi="宋体" w:eastAsia="宋体" w:cs="宋体"/>
          <w:smallCaps/>
          <w:kern w:val="2"/>
          <w:sz w:val="21"/>
          <w:szCs w:val="21"/>
          <w:highlight w:val="none"/>
          <w:lang w:val="en-US" w:eastAsia="zh-CN" w:bidi="ar-SA"/>
        </w:rPr>
        <w:t>八、</w:t>
      </w:r>
      <w:r>
        <w:rPr>
          <w:rFonts w:hint="eastAsia" w:ascii="宋体" w:hAnsi="宋体" w:eastAsia="宋体" w:cs="宋体"/>
          <w:smallCaps/>
          <w:kern w:val="2"/>
          <w:sz w:val="21"/>
          <w:szCs w:val="21"/>
          <w:highlight w:val="none"/>
          <w:lang w:val="en-US" w:eastAsia="zh-CN" w:bidi="ar-SA"/>
        </w:rPr>
        <w:fldChar w:fldCharType="end"/>
      </w:r>
      <w:r>
        <w:rPr>
          <w:rFonts w:hint="eastAsia" w:ascii="宋体" w:hAnsi="宋体" w:eastAsia="宋体" w:cs="宋体"/>
          <w:smallCaps/>
          <w:kern w:val="2"/>
          <w:sz w:val="21"/>
          <w:szCs w:val="21"/>
          <w:highlight w:val="none"/>
          <w:lang w:val="en-US" w:eastAsia="zh-CN" w:bidi="ar-SA"/>
        </w:rPr>
        <w:t>其他资料</w:t>
      </w:r>
    </w:p>
    <w:p w14:paraId="2BCE60BB">
      <w:pPr>
        <w:tabs>
          <w:tab w:val="right" w:leader="dot" w:pos="9070"/>
        </w:tabs>
        <w:adjustRightInd/>
        <w:snapToGrid/>
        <w:spacing w:beforeLines="0" w:afterLines="0" w:line="240" w:lineRule="auto"/>
        <w:ind w:left="0" w:firstLine="0" w:firstLineChars="0"/>
        <w:jc w:val="both"/>
        <w:rPr>
          <w:rFonts w:hint="eastAsia" w:ascii="宋体" w:hAnsi="宋体" w:eastAsia="宋体" w:cs="宋体"/>
          <w:smallCaps/>
          <w:kern w:val="2"/>
          <w:sz w:val="24"/>
          <w:szCs w:val="24"/>
          <w:highlight w:val="none"/>
          <w:lang w:val="en-US" w:eastAsia="zh-CN" w:bidi="ar-SA"/>
        </w:rPr>
      </w:pPr>
    </w:p>
    <w:p w14:paraId="34CF43F1">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4B33C8E">
      <w:pPr>
        <w:widowControl/>
        <w:spacing w:beforeLines="0" w:afterLines="0" w:line="240" w:lineRule="auto"/>
        <w:ind w:firstLine="0" w:firstLineChars="0"/>
        <w:jc w:val="left"/>
        <w:rPr>
          <w:rFonts w:hint="eastAsia" w:ascii="宋体" w:hAnsi="宋体" w:eastAsia="宋体" w:cs="宋体"/>
          <w:b/>
          <w:bCs/>
          <w:sz w:val="24"/>
          <w:szCs w:val="22"/>
          <w:highlight w:val="none"/>
        </w:rPr>
      </w:pPr>
    </w:p>
    <w:p w14:paraId="06216F8D">
      <w:pPr>
        <w:widowControl/>
        <w:tabs>
          <w:tab w:val="left" w:pos="1277"/>
        </w:tabs>
        <w:spacing w:beforeLines="0" w:afterLines="0" w:line="240" w:lineRule="auto"/>
        <w:ind w:firstLine="0" w:firstLineChars="0"/>
        <w:jc w:val="left"/>
        <w:rPr>
          <w:rFonts w:hint="eastAsia" w:ascii="宋体" w:hAnsi="宋体" w:eastAsia="宋体" w:cs="宋体"/>
          <w:bCs/>
          <w:kern w:val="44"/>
          <w:szCs w:val="21"/>
          <w:highlight w:val="none"/>
        </w:rPr>
      </w:pPr>
      <w:r>
        <w:rPr>
          <w:rFonts w:hint="eastAsia" w:ascii="宋体" w:hAnsi="宋体" w:eastAsia="宋体" w:cs="宋体"/>
          <w:bCs/>
          <w:kern w:val="44"/>
          <w:szCs w:val="21"/>
          <w:highlight w:val="none"/>
        </w:rPr>
        <w:t>注：投标人可设置分级标题，编制目录和页码。</w:t>
      </w:r>
    </w:p>
    <w:p w14:paraId="57D93393">
      <w:pPr>
        <w:widowControl w:val="0"/>
        <w:adjustRightInd w:val="0"/>
        <w:snapToGrid w:val="0"/>
        <w:spacing w:before="0" w:beforeLines="0" w:after="0" w:afterLines="0" w:line="360" w:lineRule="auto"/>
        <w:ind w:firstLine="482" w:firstLineChars="200"/>
        <w:jc w:val="center"/>
        <w:outlineLvl w:val="1"/>
        <w:rPr>
          <w:rFonts w:hint="eastAsia" w:ascii="宋体" w:hAnsi="宋体" w:eastAsia="宋体" w:cs="宋体"/>
          <w:sz w:val="28"/>
          <w:szCs w:val="28"/>
          <w:highlight w:val="none"/>
        </w:rPr>
      </w:pPr>
      <w:bookmarkStart w:id="861" w:name="_Toc516254810"/>
      <w:bookmarkStart w:id="862" w:name="_Toc21417"/>
      <w:bookmarkStart w:id="863" w:name="_Toc516149291"/>
      <w:r>
        <w:rPr>
          <w:rFonts w:hint="eastAsia" w:ascii="宋体" w:hAnsi="宋体" w:eastAsia="宋体" w:cs="宋体"/>
          <w:b/>
          <w:sz w:val="24"/>
          <w:szCs w:val="24"/>
          <w:highlight w:val="none"/>
        </w:rPr>
        <w:br w:type="page"/>
      </w:r>
      <w:bookmarkStart w:id="864" w:name="_Toc32153"/>
      <w:bookmarkStart w:id="865" w:name="_Toc62034585"/>
      <w:bookmarkStart w:id="866" w:name="_Toc8680"/>
      <w:bookmarkStart w:id="867" w:name="_Toc11879"/>
      <w:bookmarkStart w:id="868" w:name="_Toc26513"/>
      <w:bookmarkStart w:id="869" w:name="_Toc91345072"/>
      <w:r>
        <w:rPr>
          <w:rFonts w:hint="eastAsia" w:ascii="宋体" w:hAnsi="宋体" w:eastAsia="宋体" w:cs="宋体"/>
          <w:b/>
          <w:sz w:val="24"/>
          <w:szCs w:val="24"/>
          <w:highlight w:val="none"/>
        </w:rPr>
        <w:t>一、投标函及投标函附录</w:t>
      </w:r>
      <w:bookmarkEnd w:id="861"/>
      <w:bookmarkEnd w:id="864"/>
      <w:bookmarkEnd w:id="865"/>
      <w:bookmarkEnd w:id="866"/>
      <w:bookmarkEnd w:id="867"/>
      <w:bookmarkEnd w:id="868"/>
      <w:bookmarkEnd w:id="869"/>
    </w:p>
    <w:p w14:paraId="5CDEF83B">
      <w:pPr>
        <w:keepNext/>
        <w:keepLines/>
        <w:adjustRightInd w:val="0"/>
        <w:snapToGrid w:val="0"/>
        <w:spacing w:before="0" w:beforeLines="0" w:beforeAutospacing="0" w:after="0" w:afterLines="0" w:afterAutospacing="0" w:line="413" w:lineRule="auto"/>
        <w:ind w:firstLine="4096" w:firstLineChars="1700"/>
        <w:outlineLvl w:val="2"/>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（一）投标函</w:t>
      </w:r>
    </w:p>
    <w:bookmarkEnd w:id="862"/>
    <w:bookmarkEnd w:id="863"/>
    <w:p w14:paraId="52B3945D">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（招标人名称） </w:t>
      </w:r>
    </w:p>
    <w:p w14:paraId="78844385">
      <w:pPr>
        <w:widowControl/>
        <w:spacing w:before="0"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1、我方已仔细研究了</w:t>
      </w:r>
      <w:r>
        <w:rPr>
          <w:rFonts w:hint="eastAsia" w:ascii="宋体" w:hAnsi="宋体" w:eastAsia="宋体" w:cs="宋体"/>
          <w:color w:val="auto"/>
          <w:sz w:val="21"/>
          <w:szCs w:val="21"/>
          <w:highlight w:val="none"/>
          <w:u w:val="single"/>
          <w:lang w:val="en-US" w:eastAsia="zh-CN"/>
        </w:rPr>
        <w:t xml:space="preserve">                      （项目名称）        （标段名称）</w:t>
      </w:r>
      <w:r>
        <w:rPr>
          <w:rFonts w:hint="eastAsia" w:ascii="宋体" w:hAnsi="宋体" w:eastAsia="宋体" w:cs="宋体"/>
          <w:sz w:val="21"/>
          <w:szCs w:val="21"/>
          <w:highlight w:val="none"/>
        </w:rPr>
        <w:t>招标文件的全部内容，愿按照招标文件中规定的条款和要求，完成本项目。投标总报价为（大写）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元</w:t>
      </w:r>
      <w:r>
        <w:rPr>
          <w:rFonts w:hint="eastAsia" w:ascii="宋体" w:hAnsi="宋体" w:eastAsia="宋体" w:cs="宋体"/>
          <w:sz w:val="21"/>
          <w:szCs w:val="21"/>
          <w:highlight w:val="none"/>
        </w:rPr>
        <w:t>），供货期（服务期）：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质量标准</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1309B66A">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2、我方承诺在投标有效期内不修改、撤销投标文件。 </w:t>
      </w:r>
    </w:p>
    <w:p w14:paraId="49F1F3E6">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3、投标保证金已按招标文件规定提交，金额为人民币（大写）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466FA82F">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4、如我方中标： </w:t>
      </w:r>
    </w:p>
    <w:p w14:paraId="45093778">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（1）我方承诺在收到中标通知书后，在中标通知书规定的期限内与你方签订合同。 </w:t>
      </w:r>
    </w:p>
    <w:p w14:paraId="4E2DE733">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（2）随同本投标函递交的投标函附录属于合同文件的组成部分。 </w:t>
      </w:r>
    </w:p>
    <w:p w14:paraId="69752BD4">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（3）我方承诺按照招标文件规定向你方递交履约担保。 </w:t>
      </w:r>
    </w:p>
    <w:p w14:paraId="725FB340">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（4）我方承诺在合同约定的期限内完成本项目。 </w:t>
      </w:r>
    </w:p>
    <w:p w14:paraId="1EE689D9">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5、我方在此声明，所递交的投标文件及有关资料内容完整、真实和准确, 且不存在第二章“投标人须知”第1.4.3项规定的任何一种情形。 </w:t>
      </w:r>
    </w:p>
    <w:p w14:paraId="207CFE05">
      <w:pPr>
        <w:widowControl/>
        <w:spacing w:beforeLines="0" w:afterLines="0" w:line="360" w:lineRule="auto"/>
        <w:ind w:firstLine="420" w:firstLineChars="20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1E037589">
      <w:pPr>
        <w:widowControl/>
        <w:spacing w:beforeLines="0" w:afterLines="0" w:line="360" w:lineRule="auto"/>
        <w:ind w:firstLine="420" w:firstLineChars="200"/>
        <w:jc w:val="left"/>
        <w:rPr>
          <w:rFonts w:hint="eastAsia" w:ascii="宋体" w:hAnsi="宋体" w:eastAsia="宋体" w:cs="宋体"/>
          <w:sz w:val="21"/>
          <w:szCs w:val="21"/>
          <w:highlight w:val="none"/>
        </w:rPr>
      </w:pPr>
    </w:p>
    <w:p w14:paraId="4841CBBA">
      <w:pPr>
        <w:widowControl/>
        <w:spacing w:beforeLines="0" w:afterLines="0" w:line="360" w:lineRule="auto"/>
        <w:ind w:firstLine="420" w:firstLineChars="200"/>
        <w:jc w:val="left"/>
        <w:rPr>
          <w:rFonts w:hint="eastAsia" w:ascii="宋体" w:hAnsi="宋体" w:eastAsia="宋体" w:cs="宋体"/>
          <w:sz w:val="21"/>
          <w:szCs w:val="21"/>
          <w:highlight w:val="none"/>
        </w:rPr>
      </w:pPr>
    </w:p>
    <w:p w14:paraId="6AB4E7B1">
      <w:pPr>
        <w:widowControl/>
        <w:spacing w:line="360" w:lineRule="auto"/>
        <w:jc w:val="center"/>
        <w:rPr>
          <w:rFonts w:hint="eastAsia" w:ascii="宋体" w:hAnsi="宋体" w:eastAsia="宋体" w:cs="宋体"/>
          <w:color w:val="auto"/>
          <w:sz w:val="21"/>
          <w:szCs w:val="21"/>
          <w:highlight w:val="none"/>
        </w:rPr>
      </w:pPr>
      <w:bookmarkStart w:id="870" w:name="_Toc221951939"/>
      <w:bookmarkStart w:id="871" w:name="_Toc10116"/>
      <w:bookmarkStart w:id="872" w:name="_Toc534572438"/>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bookmarkEnd w:id="870"/>
      <w:r>
        <w:rPr>
          <w:rFonts w:hint="eastAsia" w:ascii="宋体" w:hAnsi="宋体" w:eastAsia="宋体" w:cs="宋体"/>
          <w:color w:val="auto"/>
          <w:sz w:val="21"/>
          <w:szCs w:val="21"/>
          <w:highlight w:val="none"/>
        </w:rPr>
        <w:t>（盖单位章）</w:t>
      </w:r>
    </w:p>
    <w:p w14:paraId="05D80931">
      <w:pPr>
        <w:widowControl/>
        <w:spacing w:line="360" w:lineRule="auto"/>
        <w:jc w:val="right"/>
        <w:rPr>
          <w:rFonts w:hint="eastAsia" w:ascii="宋体" w:hAnsi="宋体" w:eastAsia="宋体" w:cs="宋体"/>
          <w:color w:val="auto"/>
          <w:sz w:val="21"/>
          <w:szCs w:val="21"/>
          <w:highlight w:val="none"/>
        </w:rPr>
      </w:pPr>
      <w:bookmarkStart w:id="873" w:name="_Toc221951940"/>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bookmarkEnd w:id="873"/>
    </w:p>
    <w:p w14:paraId="6AD4EE9F">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4" w:name="_Toc221951941"/>
      <w:r>
        <w:rPr>
          <w:rFonts w:hint="eastAsia" w:ascii="宋体" w:hAnsi="宋体" w:eastAsia="宋体" w:cs="宋体"/>
          <w:color w:val="auto"/>
          <w:sz w:val="21"/>
          <w:szCs w:val="21"/>
          <w:highlight w:val="none"/>
        </w:rPr>
        <w:t>地址：</w:t>
      </w:r>
      <w:bookmarkEnd w:id="874"/>
      <w:r>
        <w:rPr>
          <w:rFonts w:hint="eastAsia" w:ascii="宋体" w:hAnsi="宋体" w:eastAsia="宋体" w:cs="宋体"/>
          <w:color w:val="auto"/>
          <w:sz w:val="21"/>
          <w:szCs w:val="21"/>
          <w:highlight w:val="none"/>
          <w:u w:val="single"/>
        </w:rPr>
        <w:t xml:space="preserve">                                     </w:t>
      </w:r>
    </w:p>
    <w:p w14:paraId="2069444B">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5" w:name="_Toc221951942"/>
      <w:r>
        <w:rPr>
          <w:rFonts w:hint="eastAsia" w:ascii="宋体" w:hAnsi="宋体" w:eastAsia="宋体" w:cs="宋体"/>
          <w:color w:val="auto"/>
          <w:sz w:val="21"/>
          <w:szCs w:val="21"/>
          <w:highlight w:val="none"/>
        </w:rPr>
        <w:t>网址：</w:t>
      </w:r>
      <w:bookmarkEnd w:id="875"/>
      <w:r>
        <w:rPr>
          <w:rFonts w:hint="eastAsia" w:ascii="宋体" w:hAnsi="宋体" w:eastAsia="宋体" w:cs="宋体"/>
          <w:color w:val="auto"/>
          <w:sz w:val="21"/>
          <w:szCs w:val="21"/>
          <w:highlight w:val="none"/>
          <w:u w:val="single"/>
        </w:rPr>
        <w:t xml:space="preserve">                                     </w:t>
      </w:r>
    </w:p>
    <w:p w14:paraId="318C083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6" w:name="_Toc221951943"/>
      <w:r>
        <w:rPr>
          <w:rFonts w:hint="eastAsia" w:ascii="宋体" w:hAnsi="宋体" w:eastAsia="宋体" w:cs="宋体"/>
          <w:color w:val="auto"/>
          <w:sz w:val="21"/>
          <w:szCs w:val="21"/>
          <w:highlight w:val="none"/>
        </w:rPr>
        <w:t>电话：</w:t>
      </w:r>
      <w:bookmarkEnd w:id="876"/>
      <w:r>
        <w:rPr>
          <w:rFonts w:hint="eastAsia" w:ascii="宋体" w:hAnsi="宋体" w:eastAsia="宋体" w:cs="宋体"/>
          <w:color w:val="auto"/>
          <w:sz w:val="21"/>
          <w:szCs w:val="21"/>
          <w:highlight w:val="none"/>
          <w:u w:val="single"/>
        </w:rPr>
        <w:t xml:space="preserve">                                     </w:t>
      </w:r>
    </w:p>
    <w:p w14:paraId="0EE1C505">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7" w:name="_Toc221951944"/>
      <w:r>
        <w:rPr>
          <w:rFonts w:hint="eastAsia" w:ascii="宋体" w:hAnsi="宋体" w:eastAsia="宋体" w:cs="宋体"/>
          <w:color w:val="auto"/>
          <w:sz w:val="21"/>
          <w:szCs w:val="21"/>
          <w:highlight w:val="none"/>
        </w:rPr>
        <w:t>传真：</w:t>
      </w:r>
      <w:bookmarkEnd w:id="877"/>
      <w:r>
        <w:rPr>
          <w:rFonts w:hint="eastAsia" w:ascii="宋体" w:hAnsi="宋体" w:eastAsia="宋体" w:cs="宋体"/>
          <w:color w:val="auto"/>
          <w:sz w:val="21"/>
          <w:szCs w:val="21"/>
          <w:highlight w:val="none"/>
          <w:u w:val="single"/>
        </w:rPr>
        <w:t xml:space="preserve">                                     </w:t>
      </w:r>
    </w:p>
    <w:p w14:paraId="61D0E908">
      <w:pPr>
        <w:widowControl/>
        <w:spacing w:line="360" w:lineRule="auto"/>
        <w:ind w:right="420" w:firstLine="3981" w:firstLineChars="1896"/>
        <w:jc w:val="left"/>
        <w:rPr>
          <w:rFonts w:hint="eastAsia" w:ascii="宋体" w:hAnsi="宋体" w:eastAsia="宋体" w:cs="宋体"/>
          <w:color w:val="auto"/>
          <w:sz w:val="21"/>
          <w:szCs w:val="21"/>
          <w:highlight w:val="none"/>
        </w:rPr>
      </w:pPr>
      <w:bookmarkStart w:id="878" w:name="_Toc221951945"/>
      <w:r>
        <w:rPr>
          <w:rFonts w:hint="eastAsia" w:ascii="宋体" w:hAnsi="宋体" w:eastAsia="宋体" w:cs="宋体"/>
          <w:color w:val="auto"/>
          <w:sz w:val="21"/>
          <w:szCs w:val="21"/>
          <w:highlight w:val="none"/>
        </w:rPr>
        <w:t>邮</w:t>
      </w:r>
      <w:r>
        <w:rPr>
          <w:rFonts w:hint="eastAsia" w:ascii="宋体" w:hAnsi="宋体" w:eastAsia="宋体" w:cs="宋体"/>
          <w:color w:val="auto"/>
          <w:sz w:val="21"/>
          <w:szCs w:val="21"/>
          <w:highlight w:val="none"/>
          <w:lang w:val="en-US" w:eastAsia="zh-CN"/>
        </w:rPr>
        <w:t>箱</w:t>
      </w:r>
      <w:r>
        <w:rPr>
          <w:rFonts w:hint="eastAsia" w:ascii="宋体" w:hAnsi="宋体" w:eastAsia="宋体" w:cs="宋体"/>
          <w:color w:val="auto"/>
          <w:sz w:val="21"/>
          <w:szCs w:val="21"/>
          <w:highlight w:val="none"/>
        </w:rPr>
        <w:t>：</w:t>
      </w:r>
      <w:bookmarkEnd w:id="878"/>
      <w:r>
        <w:rPr>
          <w:rFonts w:hint="eastAsia" w:ascii="宋体" w:hAnsi="宋体" w:eastAsia="宋体" w:cs="宋体"/>
          <w:color w:val="auto"/>
          <w:sz w:val="21"/>
          <w:szCs w:val="21"/>
          <w:highlight w:val="none"/>
          <w:u w:val="single"/>
        </w:rPr>
        <w:t xml:space="preserve">                                 </w:t>
      </w:r>
    </w:p>
    <w:p w14:paraId="3DCA2073">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p>
    <w:p w14:paraId="033D08F0">
      <w:pPr>
        <w:widowControl/>
        <w:spacing w:beforeLines="0" w:afterLines="0" w:line="360" w:lineRule="auto"/>
        <w:ind w:firstLine="422" w:firstLineChars="200"/>
        <w:jc w:val="left"/>
        <w:rPr>
          <w:rFonts w:hint="eastAsia" w:ascii="宋体" w:hAnsi="宋体" w:eastAsia="宋体" w:cs="宋体"/>
          <w:b/>
          <w:kern w:val="44"/>
          <w:sz w:val="21"/>
          <w:szCs w:val="21"/>
          <w:highlight w:val="none"/>
        </w:rPr>
      </w:pPr>
      <w:r>
        <w:rPr>
          <w:rFonts w:hint="eastAsia" w:ascii="宋体" w:hAnsi="宋体" w:eastAsia="宋体" w:cs="宋体"/>
          <w:b/>
          <w:kern w:val="44"/>
          <w:sz w:val="21"/>
          <w:szCs w:val="21"/>
          <w:highlight w:val="none"/>
        </w:rPr>
        <w:t>注：签订合同时以本投标函为准。</w:t>
      </w:r>
    </w:p>
    <w:p w14:paraId="5E64DFB2">
      <w:pPr>
        <w:widowControl/>
        <w:adjustRightInd w:val="0"/>
        <w:snapToGrid w:val="0"/>
        <w:spacing w:before="0" w:beforeLines="0" w:after="0"/>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1487CA66">
      <w:pPr>
        <w:keepNext w:val="0"/>
        <w:keepLines w:val="0"/>
        <w:widowControl w:val="0"/>
        <w:adjustRightInd/>
        <w:snapToGrid/>
        <w:spacing w:before="0" w:beforeLines="0" w:beforeAutospacing="0" w:after="0" w:afterLines="0" w:afterAutospacing="0" w:line="360" w:lineRule="auto"/>
        <w:ind w:firstLine="3132" w:firstLineChars="1300"/>
        <w:outlineLvl w:val="2"/>
        <w:rPr>
          <w:rFonts w:hint="eastAsia" w:ascii="宋体" w:hAnsi="宋体" w:eastAsia="宋体" w:cs="宋体"/>
          <w:b/>
          <w:kern w:val="2"/>
          <w:sz w:val="32"/>
          <w:szCs w:val="22"/>
          <w:highlight w:val="none"/>
          <w:lang w:val="en-US" w:eastAsia="zh-CN" w:bidi="ar-SA"/>
        </w:rPr>
      </w:pPr>
      <w:r>
        <w:rPr>
          <w:rFonts w:hint="eastAsia" w:ascii="宋体" w:hAnsi="宋体" w:eastAsia="宋体" w:cs="宋体"/>
          <w:b/>
          <w:kern w:val="2"/>
          <w:sz w:val="24"/>
          <w:szCs w:val="24"/>
          <w:highlight w:val="none"/>
          <w:lang w:val="en-US" w:eastAsia="zh-CN" w:bidi="ar-SA"/>
        </w:rPr>
        <w:t>（二）投标函附录</w:t>
      </w:r>
    </w:p>
    <w:tbl>
      <w:tblPr>
        <w:tblStyle w:val="2"/>
        <w:tblpPr w:leftFromText="180" w:rightFromText="180" w:vertAnchor="text" w:horzAnchor="page" w:tblpX="1430" w:tblpY="396"/>
        <w:tblOverlap w:val="never"/>
        <w:tblW w:w="8994" w:type="dxa"/>
        <w:tblInd w:w="0" w:type="dxa"/>
        <w:tblLayout w:type="fixed"/>
        <w:tblCellMar>
          <w:top w:w="0" w:type="dxa"/>
          <w:left w:w="10" w:type="dxa"/>
          <w:bottom w:w="0" w:type="dxa"/>
          <w:right w:w="10" w:type="dxa"/>
        </w:tblCellMar>
      </w:tblPr>
      <w:tblGrid>
        <w:gridCol w:w="2493"/>
        <w:gridCol w:w="1300"/>
        <w:gridCol w:w="1300"/>
        <w:gridCol w:w="1300"/>
        <w:gridCol w:w="1300"/>
        <w:gridCol w:w="1301"/>
      </w:tblGrid>
      <w:tr w14:paraId="6AA15C9D">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CE87394">
            <w:pPr>
              <w:widowControl/>
              <w:spacing w:line="360" w:lineRule="auto"/>
              <w:jc w:val="cente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项目名称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803C486">
            <w:pPr>
              <w:widowControl/>
              <w:spacing w:line="360" w:lineRule="auto"/>
              <w:jc w:val="left"/>
              <w:rPr>
                <w:rFonts w:hint="eastAsia" w:ascii="宋体" w:hAnsi="宋体" w:eastAsia="宋体" w:cs="宋体"/>
                <w:color w:val="auto"/>
                <w:sz w:val="21"/>
                <w:szCs w:val="21"/>
                <w:highlight w:val="none"/>
                <w:u w:val="single"/>
              </w:rPr>
            </w:pPr>
          </w:p>
        </w:tc>
      </w:tr>
      <w:tr w14:paraId="785019D5">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1D177231">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标段名称</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6857E68A">
            <w:pPr>
              <w:widowControl/>
              <w:spacing w:line="360" w:lineRule="auto"/>
              <w:jc w:val="left"/>
              <w:rPr>
                <w:rFonts w:hint="eastAsia" w:ascii="宋体" w:hAnsi="宋体" w:eastAsia="宋体" w:cs="宋体"/>
                <w:color w:val="auto"/>
                <w:sz w:val="21"/>
                <w:szCs w:val="21"/>
                <w:highlight w:val="none"/>
                <w:u w:val="single"/>
              </w:rPr>
            </w:pPr>
          </w:p>
        </w:tc>
      </w:tr>
      <w:tr w14:paraId="538B8D63">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2DFF65B3">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投标人</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3665EA4C">
            <w:pPr>
              <w:widowControl/>
              <w:spacing w:line="360" w:lineRule="auto"/>
              <w:jc w:val="left"/>
              <w:rPr>
                <w:rFonts w:hint="eastAsia" w:ascii="宋体" w:hAnsi="宋体" w:eastAsia="宋体" w:cs="宋体"/>
                <w:color w:val="auto"/>
                <w:sz w:val="21"/>
                <w:szCs w:val="21"/>
                <w:highlight w:val="none"/>
              </w:rPr>
            </w:pPr>
          </w:p>
        </w:tc>
      </w:tr>
      <w:tr w14:paraId="29809C7A">
        <w:tblPrEx>
          <w:tblCellMar>
            <w:top w:w="0" w:type="dxa"/>
            <w:left w:w="10" w:type="dxa"/>
            <w:bottom w:w="0" w:type="dxa"/>
            <w:right w:w="10" w:type="dxa"/>
          </w:tblCellMar>
        </w:tblPrEx>
        <w:trPr>
          <w:trHeight w:val="720"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580B6C19">
            <w:pPr>
              <w:widowControl/>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rPr>
              <w:t>投标</w:t>
            </w:r>
            <w:r>
              <w:rPr>
                <w:rFonts w:hint="eastAsia" w:ascii="宋体" w:hAnsi="宋体" w:eastAsia="宋体" w:cs="宋体"/>
                <w:color w:val="auto"/>
                <w:sz w:val="21"/>
                <w:szCs w:val="21"/>
                <w:highlight w:val="none"/>
                <w:lang w:val="en-US" w:eastAsia="zh-CN"/>
              </w:rPr>
              <w:t>内容</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01C289C">
            <w:pPr>
              <w:widowControl/>
              <w:spacing w:line="360" w:lineRule="auto"/>
              <w:ind w:firstLine="840" w:firstLineChars="400"/>
              <w:jc w:val="left"/>
              <w:rPr>
                <w:rFonts w:hint="eastAsia" w:ascii="宋体" w:hAnsi="宋体" w:eastAsia="宋体" w:cs="宋体"/>
                <w:color w:val="auto"/>
                <w:sz w:val="21"/>
                <w:szCs w:val="21"/>
                <w:highlight w:val="none"/>
              </w:rPr>
            </w:pPr>
          </w:p>
        </w:tc>
      </w:tr>
      <w:tr w14:paraId="242E0AC9">
        <w:tblPrEx>
          <w:tblCellMar>
            <w:top w:w="0" w:type="dxa"/>
            <w:left w:w="10" w:type="dxa"/>
            <w:bottom w:w="0" w:type="dxa"/>
            <w:right w:w="10" w:type="dxa"/>
          </w:tblCellMar>
        </w:tblPrEx>
        <w:trPr>
          <w:trHeight w:val="1164"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4B6FB604">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投标总报价</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40A4FBA6">
            <w:pPr>
              <w:widowControl/>
              <w:spacing w:line="360" w:lineRule="auto"/>
              <w:jc w:val="left"/>
              <w:rPr>
                <w:rFonts w:hint="eastAsia" w:ascii="宋体" w:hAnsi="宋体" w:eastAsia="宋体" w:cs="宋体"/>
                <w:color w:val="auto"/>
                <w:sz w:val="21"/>
                <w:szCs w:val="21"/>
                <w:highlight w:val="none"/>
              </w:rPr>
            </w:pPr>
          </w:p>
          <w:p w14:paraId="45DCD681">
            <w:pPr>
              <w:widowControl/>
              <w:spacing w:line="360" w:lineRule="auto"/>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（大写）</w:t>
            </w:r>
            <w:r>
              <w:rPr>
                <w:rFonts w:hint="eastAsia" w:ascii="宋体" w:hAnsi="宋体" w:eastAsia="宋体" w:cs="宋体"/>
                <w:color w:val="auto"/>
                <w:sz w:val="21"/>
                <w:szCs w:val="21"/>
                <w:highlight w:val="none"/>
                <w:u w:val="single"/>
                <w:lang w:val="zh-CN"/>
              </w:rPr>
              <w:t xml:space="preserve">                                      </w:t>
            </w:r>
          </w:p>
          <w:p w14:paraId="36A5DB72">
            <w:pPr>
              <w:widowControl/>
              <w:spacing w:line="360" w:lineRule="auto"/>
              <w:jc w:val="left"/>
              <w:rPr>
                <w:rFonts w:hint="eastAsia" w:ascii="宋体" w:hAnsi="宋体" w:eastAsia="宋体" w:cs="宋体"/>
                <w:color w:val="auto"/>
                <w:sz w:val="21"/>
                <w:szCs w:val="21"/>
                <w:highlight w:val="none"/>
                <w:lang w:val="zh-CN"/>
              </w:rPr>
            </w:pPr>
          </w:p>
          <w:p w14:paraId="2E58F8F1">
            <w:pPr>
              <w:widowControl/>
              <w:spacing w:line="360" w:lineRule="auto"/>
              <w:jc w:val="left"/>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lang w:val="zh-CN"/>
              </w:rPr>
              <w:t>（小写）</w:t>
            </w:r>
            <w:r>
              <w:rPr>
                <w:rFonts w:hint="eastAsia" w:ascii="宋体" w:hAnsi="宋体" w:eastAsia="宋体" w:cs="宋体"/>
                <w:color w:val="auto"/>
                <w:sz w:val="21"/>
                <w:szCs w:val="21"/>
                <w:highlight w:val="none"/>
                <w:u w:val="single"/>
                <w:lang w:val="zh-CN"/>
              </w:rPr>
              <w:t xml:space="preserve">                                      </w:t>
            </w:r>
          </w:p>
        </w:tc>
      </w:tr>
      <w:tr w14:paraId="0F31ACFF">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F19C9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lang w:val="zh-CN"/>
              </w:rPr>
              <w:t>负责人</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6937D626">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0A2D1E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职称</w:t>
            </w: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5D88925">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color w:val="auto"/>
                <w:kern w:val="2"/>
                <w:sz w:val="21"/>
                <w:szCs w:val="21"/>
                <w:highlight w:val="none"/>
                <w:lang w:val="zh-CN" w:eastAsia="zh-CN" w:bidi="ar-SA"/>
              </w:rPr>
            </w:pPr>
          </w:p>
        </w:tc>
        <w:tc>
          <w:tcPr>
            <w:tcW w:w="1300"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3B709B0">
            <w:pPr>
              <w:keepNext w:val="0"/>
              <w:keepLines w:val="0"/>
              <w:widowControl/>
              <w:suppressLineNumbers w:val="0"/>
              <w:spacing w:before="0" w:beforeAutospacing="0" w:after="0" w:afterAutospacing="0"/>
              <w:ind w:left="0" w:right="0"/>
              <w:jc w:val="center"/>
              <w:rPr>
                <w:rFonts w:hint="default"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证书</w:t>
            </w:r>
          </w:p>
          <w:p w14:paraId="477AB37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编号</w:t>
            </w:r>
          </w:p>
        </w:tc>
        <w:tc>
          <w:tcPr>
            <w:tcW w:w="1301" w:type="dxa"/>
            <w:tcBorders>
              <w:top w:val="single" w:color="auto" w:sz="6" w:space="0"/>
              <w:left w:val="single" w:color="auto" w:sz="6" w:space="0"/>
              <w:bottom w:val="single" w:color="auto" w:sz="6" w:space="0"/>
              <w:right w:val="single" w:color="auto" w:sz="6" w:space="0"/>
            </w:tcBorders>
            <w:noWrap w:val="0"/>
            <w:vAlign w:val="center"/>
          </w:tcPr>
          <w:p w14:paraId="064F9421">
            <w:pPr>
              <w:widowControl/>
              <w:spacing w:line="360" w:lineRule="auto"/>
              <w:jc w:val="left"/>
              <w:rPr>
                <w:rFonts w:hint="eastAsia" w:ascii="宋体" w:hAnsi="宋体" w:eastAsia="宋体" w:cs="宋体"/>
                <w:color w:val="auto"/>
                <w:sz w:val="21"/>
                <w:szCs w:val="21"/>
                <w:highlight w:val="none"/>
                <w:lang w:val="zh-CN"/>
              </w:rPr>
            </w:pPr>
          </w:p>
        </w:tc>
      </w:tr>
      <w:tr w14:paraId="125CCD2F">
        <w:tblPrEx>
          <w:tblCellMar>
            <w:top w:w="0" w:type="dxa"/>
            <w:left w:w="10" w:type="dxa"/>
            <w:bottom w:w="0" w:type="dxa"/>
            <w:right w:w="10" w:type="dxa"/>
          </w:tblCellMar>
        </w:tblPrEx>
        <w:trPr>
          <w:trHeight w:val="855"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059D1E54">
            <w:pPr>
              <w:widowControl/>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供货期（服务期）</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04F8054B">
            <w:pPr>
              <w:widowControl/>
              <w:spacing w:line="360" w:lineRule="auto"/>
              <w:jc w:val="left"/>
              <w:rPr>
                <w:rFonts w:hint="eastAsia" w:ascii="宋体" w:hAnsi="宋体" w:eastAsia="宋体" w:cs="宋体"/>
                <w:color w:val="auto"/>
                <w:sz w:val="21"/>
                <w:szCs w:val="21"/>
                <w:highlight w:val="none"/>
                <w:lang w:val="zh-CN"/>
              </w:rPr>
            </w:pPr>
          </w:p>
        </w:tc>
      </w:tr>
      <w:tr w14:paraId="22168A26">
        <w:tblPrEx>
          <w:tblCellMar>
            <w:top w:w="0" w:type="dxa"/>
            <w:left w:w="10" w:type="dxa"/>
            <w:bottom w:w="0" w:type="dxa"/>
            <w:right w:w="10" w:type="dxa"/>
          </w:tblCellMar>
        </w:tblPrEx>
        <w:trPr>
          <w:trHeight w:val="586" w:hRule="atLeast"/>
        </w:trPr>
        <w:tc>
          <w:tcPr>
            <w:tcW w:w="2493" w:type="dxa"/>
            <w:tcBorders>
              <w:top w:val="single" w:color="auto" w:sz="6" w:space="0"/>
              <w:left w:val="single" w:color="auto" w:sz="6" w:space="0"/>
              <w:bottom w:val="single" w:color="auto" w:sz="4" w:space="0"/>
              <w:right w:val="single" w:color="auto" w:sz="6" w:space="0"/>
            </w:tcBorders>
            <w:noWrap w:val="0"/>
            <w:vAlign w:val="center"/>
          </w:tcPr>
          <w:p w14:paraId="349D6CF2">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质量要求</w:t>
            </w:r>
          </w:p>
        </w:tc>
        <w:tc>
          <w:tcPr>
            <w:tcW w:w="6501" w:type="dxa"/>
            <w:gridSpan w:val="5"/>
            <w:tcBorders>
              <w:top w:val="single" w:color="auto" w:sz="6" w:space="0"/>
              <w:left w:val="single" w:color="auto" w:sz="6" w:space="0"/>
              <w:bottom w:val="single" w:color="auto" w:sz="4" w:space="0"/>
              <w:right w:val="single" w:color="auto" w:sz="6" w:space="0"/>
            </w:tcBorders>
            <w:noWrap w:val="0"/>
            <w:vAlign w:val="center"/>
          </w:tcPr>
          <w:p w14:paraId="79799916">
            <w:pPr>
              <w:widowControl/>
              <w:spacing w:line="360" w:lineRule="auto"/>
              <w:jc w:val="left"/>
              <w:rPr>
                <w:rFonts w:hint="eastAsia" w:ascii="宋体" w:hAnsi="宋体" w:eastAsia="宋体" w:cs="宋体"/>
                <w:color w:val="auto"/>
                <w:sz w:val="21"/>
                <w:szCs w:val="21"/>
                <w:highlight w:val="none"/>
              </w:rPr>
            </w:pPr>
          </w:p>
        </w:tc>
      </w:tr>
      <w:tr w14:paraId="0AF9B7B2">
        <w:tblPrEx>
          <w:tblCellMar>
            <w:top w:w="0" w:type="dxa"/>
            <w:left w:w="10" w:type="dxa"/>
            <w:bottom w:w="0" w:type="dxa"/>
            <w:right w:w="10" w:type="dxa"/>
          </w:tblCellMar>
        </w:tblPrEx>
        <w:trPr>
          <w:trHeight w:val="744" w:hRule="atLeast"/>
        </w:trPr>
        <w:tc>
          <w:tcPr>
            <w:tcW w:w="2493" w:type="dxa"/>
            <w:tcBorders>
              <w:top w:val="single" w:color="auto" w:sz="4" w:space="0"/>
              <w:left w:val="single" w:color="auto" w:sz="6" w:space="0"/>
              <w:bottom w:val="single" w:color="auto" w:sz="6" w:space="0"/>
              <w:right w:val="single" w:color="auto" w:sz="6" w:space="0"/>
            </w:tcBorders>
            <w:noWrap w:val="0"/>
            <w:vAlign w:val="center"/>
          </w:tcPr>
          <w:p w14:paraId="77BD7541">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501" w:type="dxa"/>
            <w:gridSpan w:val="5"/>
            <w:tcBorders>
              <w:top w:val="single" w:color="auto" w:sz="4" w:space="0"/>
              <w:left w:val="single" w:color="auto" w:sz="6" w:space="0"/>
              <w:bottom w:val="single" w:color="auto" w:sz="6" w:space="0"/>
              <w:right w:val="single" w:color="auto" w:sz="6" w:space="0"/>
            </w:tcBorders>
            <w:noWrap w:val="0"/>
            <w:vAlign w:val="center"/>
          </w:tcPr>
          <w:p w14:paraId="74BB2FCB">
            <w:pPr>
              <w:widowControl/>
              <w:spacing w:line="360" w:lineRule="auto"/>
              <w:jc w:val="left"/>
              <w:rPr>
                <w:rFonts w:hint="eastAsia" w:ascii="宋体" w:hAnsi="宋体" w:eastAsia="宋体" w:cs="宋体"/>
                <w:color w:val="auto"/>
                <w:sz w:val="21"/>
                <w:szCs w:val="21"/>
                <w:highlight w:val="none"/>
              </w:rPr>
            </w:pPr>
          </w:p>
        </w:tc>
      </w:tr>
      <w:tr w14:paraId="37A3C2F5">
        <w:tblPrEx>
          <w:tblCellMar>
            <w:top w:w="0" w:type="dxa"/>
            <w:left w:w="10" w:type="dxa"/>
            <w:bottom w:w="0" w:type="dxa"/>
            <w:right w:w="10" w:type="dxa"/>
          </w:tblCellMar>
        </w:tblPrEx>
        <w:trPr>
          <w:trHeight w:val="696" w:hRule="atLeast"/>
        </w:trPr>
        <w:tc>
          <w:tcPr>
            <w:tcW w:w="2493" w:type="dxa"/>
            <w:tcBorders>
              <w:top w:val="single" w:color="auto" w:sz="6" w:space="0"/>
              <w:left w:val="single" w:color="auto" w:sz="6" w:space="0"/>
              <w:bottom w:val="single" w:color="auto" w:sz="6" w:space="0"/>
              <w:right w:val="single" w:color="auto" w:sz="6" w:space="0"/>
            </w:tcBorders>
            <w:noWrap w:val="0"/>
            <w:vAlign w:val="center"/>
          </w:tcPr>
          <w:p w14:paraId="6C74CE65">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备注</w:t>
            </w:r>
          </w:p>
        </w:tc>
        <w:tc>
          <w:tcPr>
            <w:tcW w:w="6501" w:type="dxa"/>
            <w:gridSpan w:val="5"/>
            <w:tcBorders>
              <w:top w:val="single" w:color="auto" w:sz="6" w:space="0"/>
              <w:left w:val="single" w:color="auto" w:sz="6" w:space="0"/>
              <w:bottom w:val="single" w:color="auto" w:sz="6" w:space="0"/>
              <w:right w:val="single" w:color="auto" w:sz="6" w:space="0"/>
            </w:tcBorders>
            <w:noWrap w:val="0"/>
            <w:vAlign w:val="center"/>
          </w:tcPr>
          <w:p w14:paraId="5136CCB2">
            <w:pPr>
              <w:widowControl/>
              <w:spacing w:line="360" w:lineRule="auto"/>
              <w:jc w:val="left"/>
              <w:rPr>
                <w:rFonts w:hint="eastAsia" w:ascii="宋体" w:hAnsi="宋体" w:eastAsia="宋体" w:cs="宋体"/>
                <w:color w:val="auto"/>
                <w:sz w:val="21"/>
                <w:szCs w:val="21"/>
                <w:highlight w:val="none"/>
              </w:rPr>
            </w:pPr>
          </w:p>
        </w:tc>
      </w:tr>
    </w:tbl>
    <w:p w14:paraId="4686BE26">
      <w:pPr>
        <w:widowControl/>
        <w:wordWrap w:val="0"/>
        <w:autoSpaceDE w:val="0"/>
        <w:autoSpaceDN w:val="0"/>
        <w:adjustRightInd w:val="0"/>
        <w:spacing w:line="360" w:lineRule="auto"/>
        <w:ind w:right="-34" w:rightChars="-16"/>
        <w:jc w:val="both"/>
        <w:rPr>
          <w:rFonts w:hint="eastAsia" w:ascii="宋体" w:hAnsi="宋体" w:eastAsia="宋体" w:cs="宋体"/>
          <w:b/>
          <w:color w:val="auto"/>
          <w:kern w:val="0"/>
          <w:sz w:val="21"/>
          <w:szCs w:val="21"/>
          <w:highlight w:val="none"/>
        </w:rPr>
      </w:pPr>
    </w:p>
    <w:p w14:paraId="34227B2A">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投 标 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43E66966">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（签字或盖章）</w:t>
      </w:r>
    </w:p>
    <w:p w14:paraId="1A82B622">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220B4329">
      <w:pPr>
        <w:widowControl/>
        <w:spacing w:beforeLines="0" w:afterLines="0" w:line="360" w:lineRule="auto"/>
        <w:jc w:val="left"/>
        <w:rPr>
          <w:rFonts w:hint="eastAsia" w:ascii="宋体" w:hAnsi="宋体" w:eastAsia="宋体" w:cs="宋体"/>
          <w:kern w:val="0"/>
          <w:szCs w:val="21"/>
          <w:highlight w:val="none"/>
        </w:rPr>
      </w:pPr>
    </w:p>
    <w:p w14:paraId="6124587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3C1EF5F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3D2E75E6">
      <w:pPr>
        <w:widowControl w:val="0"/>
        <w:adjustRightInd w:val="0"/>
        <w:snapToGrid w:val="0"/>
        <w:spacing w:before="0" w:beforeLines="0" w:after="0" w:afterLines="0"/>
        <w:jc w:val="center"/>
        <w:rPr>
          <w:rFonts w:hint="eastAsia" w:ascii="宋体" w:hAnsi="宋体" w:eastAsia="宋体" w:cs="宋体"/>
          <w:b/>
          <w:sz w:val="28"/>
          <w:szCs w:val="28"/>
          <w:highlight w:val="none"/>
        </w:rPr>
      </w:pPr>
      <w:bookmarkStart w:id="879" w:name="_Toc62034587"/>
      <w:bookmarkStart w:id="880" w:name="_Toc30440"/>
      <w:bookmarkStart w:id="881" w:name="_Toc91345073"/>
      <w:r>
        <w:rPr>
          <w:rFonts w:hint="eastAsia" w:ascii="宋体" w:hAnsi="宋体" w:eastAsia="宋体" w:cs="宋体"/>
          <w:b/>
          <w:sz w:val="28"/>
          <w:szCs w:val="28"/>
          <w:highlight w:val="none"/>
        </w:rPr>
        <w:br w:type="page"/>
      </w:r>
    </w:p>
    <w:p w14:paraId="652F7952">
      <w:pPr>
        <w:keepNext/>
        <w:keepLines/>
        <w:widowControl w:val="0"/>
        <w:adjustRightInd w:val="0"/>
        <w:snapToGrid w:val="0"/>
        <w:spacing w:before="0" w:beforeLines="0" w:after="0" w:afterLines="0" w:line="416" w:lineRule="auto"/>
        <w:ind w:firstLine="2168" w:firstLineChars="900"/>
        <w:outlineLvl w:val="1"/>
        <w:rPr>
          <w:rFonts w:hint="eastAsia" w:ascii="宋体" w:hAnsi="宋体" w:eastAsia="宋体" w:cs="宋体"/>
          <w:b/>
          <w:bCs/>
          <w:kern w:val="0"/>
          <w:sz w:val="24"/>
          <w:szCs w:val="24"/>
          <w:highlight w:val="none"/>
          <w:lang w:val="en-US" w:eastAsia="zh-CN" w:bidi="ar-SA"/>
        </w:rPr>
      </w:pPr>
      <w:bookmarkStart w:id="882" w:name="_Toc25724"/>
      <w:r>
        <w:rPr>
          <w:rFonts w:hint="eastAsia" w:ascii="宋体" w:hAnsi="宋体" w:eastAsia="宋体" w:cs="宋体"/>
          <w:b/>
          <w:bCs/>
          <w:kern w:val="2"/>
          <w:sz w:val="24"/>
          <w:szCs w:val="24"/>
          <w:highlight w:val="none"/>
          <w:lang w:val="en-US" w:eastAsia="zh-CN" w:bidi="ar-SA"/>
        </w:rPr>
        <w:t>二、法定代表人（单位负责人）身份证明</w:t>
      </w:r>
      <w:bookmarkEnd w:id="871"/>
      <w:bookmarkEnd w:id="872"/>
      <w:bookmarkEnd w:id="879"/>
      <w:bookmarkEnd w:id="880"/>
      <w:bookmarkEnd w:id="881"/>
      <w:bookmarkEnd w:id="882"/>
    </w:p>
    <w:p w14:paraId="4AD88924">
      <w:pPr>
        <w:spacing w:beforeLines="0" w:after="0" w:afterLines="0" w:line="240" w:lineRule="auto"/>
        <w:rPr>
          <w:rFonts w:hint="eastAsia" w:ascii="宋体" w:hAnsi="宋体" w:eastAsia="宋体" w:cs="宋体"/>
          <w:kern w:val="2"/>
          <w:sz w:val="28"/>
          <w:szCs w:val="28"/>
          <w:highlight w:val="none"/>
          <w:lang w:val="en-US" w:eastAsia="zh-CN" w:bidi="ar-SA"/>
        </w:rPr>
      </w:pPr>
    </w:p>
    <w:p w14:paraId="6609921C">
      <w:pPr>
        <w:spacing w:before="0" w:beforeLines="0" w:after="0" w:afterLines="0" w:line="360" w:lineRule="auto"/>
        <w:ind w:firstLine="0" w:firstLineChars="0"/>
        <w:rPr>
          <w:rFonts w:hint="eastAsia" w:ascii="宋体" w:hAnsi="宋体" w:eastAsia="宋体" w:cs="宋体"/>
          <w:b/>
          <w:kern w:val="2"/>
          <w:sz w:val="25"/>
          <w:szCs w:val="22"/>
          <w:highlight w:val="none"/>
          <w:lang w:val="en-US" w:eastAsia="zh-CN" w:bidi="ar-SA"/>
        </w:rPr>
      </w:pPr>
    </w:p>
    <w:p w14:paraId="747CA1BD">
      <w:pPr>
        <w:tabs>
          <w:tab w:val="left" w:pos="3928"/>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投标人名称：</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64FC2695">
      <w:pPr>
        <w:tabs>
          <w:tab w:val="left" w:pos="2412"/>
          <w:tab w:val="left" w:pos="3883"/>
          <w:tab w:val="left" w:pos="5352"/>
          <w:tab w:val="left" w:pos="6869"/>
        </w:tabs>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姓名：</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性别：</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年龄：</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职务：</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5911F16E">
      <w:pPr>
        <w:tabs>
          <w:tab w:val="left" w:pos="2832"/>
        </w:tabs>
        <w:spacing w:before="0" w:beforeLines="0" w:after="0" w:afterLines="0" w:line="360" w:lineRule="auto"/>
        <w:ind w:firstLine="416"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spacing w:val="-1"/>
          <w:kern w:val="2"/>
          <w:sz w:val="21"/>
          <w:szCs w:val="21"/>
          <w:highlight w:val="none"/>
          <w:lang w:val="en-US" w:eastAsia="zh-CN" w:bidi="ar-SA"/>
        </w:rPr>
        <w:t>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投</w:t>
      </w:r>
      <w:r>
        <w:rPr>
          <w:rFonts w:hint="eastAsia" w:ascii="宋体" w:hAnsi="宋体" w:eastAsia="宋体" w:cs="宋体"/>
          <w:spacing w:val="-3"/>
          <w:kern w:val="2"/>
          <w:sz w:val="21"/>
          <w:szCs w:val="21"/>
          <w:highlight w:val="none"/>
          <w:lang w:val="en-US" w:eastAsia="zh-CN" w:bidi="ar-SA"/>
        </w:rPr>
        <w:t>标</w:t>
      </w:r>
      <w:r>
        <w:rPr>
          <w:rFonts w:hint="eastAsia" w:ascii="宋体" w:hAnsi="宋体" w:eastAsia="宋体" w:cs="宋体"/>
          <w:kern w:val="2"/>
          <w:sz w:val="21"/>
          <w:szCs w:val="21"/>
          <w:highlight w:val="none"/>
          <w:lang w:val="en-US" w:eastAsia="zh-CN" w:bidi="ar-SA"/>
        </w:rPr>
        <w:t>人</w:t>
      </w:r>
      <w:r>
        <w:rPr>
          <w:rFonts w:hint="eastAsia" w:ascii="宋体" w:hAnsi="宋体" w:eastAsia="宋体" w:cs="宋体"/>
          <w:spacing w:val="-3"/>
          <w:kern w:val="2"/>
          <w:sz w:val="21"/>
          <w:szCs w:val="21"/>
          <w:highlight w:val="none"/>
          <w:lang w:val="en-US" w:eastAsia="zh-CN" w:bidi="ar-SA"/>
        </w:rPr>
        <w:t>名</w:t>
      </w:r>
      <w:r>
        <w:rPr>
          <w:rFonts w:hint="eastAsia" w:ascii="宋体" w:hAnsi="宋体" w:eastAsia="宋体" w:cs="宋体"/>
          <w:kern w:val="2"/>
          <w:sz w:val="21"/>
          <w:szCs w:val="21"/>
          <w:highlight w:val="none"/>
          <w:lang w:val="en-US" w:eastAsia="zh-CN" w:bidi="ar-SA"/>
        </w:rPr>
        <w:t>称</w:t>
      </w:r>
      <w:r>
        <w:rPr>
          <w:rFonts w:hint="eastAsia" w:ascii="宋体" w:hAnsi="宋体" w:eastAsia="宋体" w:cs="宋体"/>
          <w:spacing w:val="-3"/>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的</w:t>
      </w:r>
      <w:r>
        <w:rPr>
          <w:rFonts w:hint="eastAsia" w:ascii="宋体" w:hAnsi="宋体" w:eastAsia="宋体" w:cs="宋体"/>
          <w:spacing w:val="-3"/>
          <w:kern w:val="2"/>
          <w:sz w:val="21"/>
          <w:szCs w:val="21"/>
          <w:highlight w:val="none"/>
          <w:lang w:val="en-US" w:eastAsia="zh-CN" w:bidi="ar-SA"/>
        </w:rPr>
        <w:t>法定</w:t>
      </w:r>
      <w:r>
        <w:rPr>
          <w:rFonts w:hint="eastAsia" w:ascii="宋体" w:hAnsi="宋体" w:eastAsia="宋体" w:cs="宋体"/>
          <w:kern w:val="2"/>
          <w:sz w:val="21"/>
          <w:szCs w:val="21"/>
          <w:highlight w:val="none"/>
          <w:lang w:val="en-US" w:eastAsia="zh-CN" w:bidi="ar-SA"/>
        </w:rPr>
        <w:t>代表</w:t>
      </w:r>
      <w:r>
        <w:rPr>
          <w:rFonts w:hint="eastAsia" w:ascii="宋体" w:hAnsi="宋体" w:eastAsia="宋体" w:cs="宋体"/>
          <w:spacing w:val="-3"/>
          <w:kern w:val="2"/>
          <w:sz w:val="21"/>
          <w:szCs w:val="21"/>
          <w:highlight w:val="none"/>
          <w:lang w:val="en-US" w:eastAsia="zh-CN" w:bidi="ar-SA"/>
        </w:rPr>
        <w:t>人。</w:t>
      </w:r>
    </w:p>
    <w:p w14:paraId="2E38A89D">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特此证明。</w:t>
      </w:r>
    </w:p>
    <w:p w14:paraId="4D2CF341">
      <w:pPr>
        <w:spacing w:beforeLines="0" w:after="0" w:afterLines="0" w:line="360" w:lineRule="auto"/>
        <w:ind w:left="0" w:right="0"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附：法定代表人身份证原件扫描件。</w:t>
      </w:r>
    </w:p>
    <w:p w14:paraId="1BD35809">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5892F8F2">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1B3C4B72">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7A01423">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A0B9527">
      <w:pPr>
        <w:widowControl/>
        <w:spacing w:beforeLines="0" w:afterLines="0" w:line="360" w:lineRule="auto"/>
        <w:jc w:val="left"/>
        <w:rPr>
          <w:rFonts w:hint="eastAsia" w:ascii="宋体" w:hAnsi="宋体" w:eastAsia="宋体" w:cs="宋体"/>
          <w:kern w:val="0"/>
          <w:szCs w:val="21"/>
          <w:highlight w:val="none"/>
        </w:rPr>
      </w:pPr>
    </w:p>
    <w:p w14:paraId="20E8326C">
      <w:pPr>
        <w:widowControl/>
        <w:spacing w:beforeLines="0" w:afterLines="0" w:line="360" w:lineRule="auto"/>
        <w:ind w:firstLine="0" w:firstLineChars="0"/>
        <w:jc w:val="right"/>
        <w:rPr>
          <w:rFonts w:hint="eastAsia" w:ascii="宋体" w:hAnsi="宋体" w:eastAsia="宋体" w:cs="宋体"/>
          <w:sz w:val="21"/>
          <w:szCs w:val="21"/>
          <w:highlight w:val="none"/>
        </w:rPr>
      </w:pPr>
    </w:p>
    <w:p w14:paraId="0C51EFCD">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18E6D9E5">
      <w:pPr>
        <w:spacing w:beforeLines="0" w:after="0" w:afterLines="0" w:line="360" w:lineRule="auto"/>
        <w:ind w:firstLine="420" w:firstLineChars="200"/>
        <w:jc w:val="center"/>
        <w:rPr>
          <w:rFonts w:hint="eastAsia" w:ascii="宋体" w:hAnsi="宋体" w:eastAsia="宋体" w:cs="宋体"/>
          <w:kern w:val="2"/>
          <w:sz w:val="21"/>
          <w:szCs w:val="21"/>
          <w:highlight w:val="none"/>
          <w:lang w:val="en-US" w:eastAsia="zh-CN" w:bidi="ar-SA"/>
        </w:rPr>
      </w:pPr>
    </w:p>
    <w:p w14:paraId="36957E0F">
      <w:pPr>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sectPr>
          <w:footerReference r:id="rId6" w:type="default"/>
          <w:pgSz w:w="11905" w:h="16838"/>
          <w:pgMar w:top="1417" w:right="1417" w:bottom="1417" w:left="1417" w:header="794" w:footer="794" w:gutter="0"/>
          <w:pgNumType w:fmt="decimal" w:start="1"/>
          <w:cols w:space="720" w:num="1"/>
          <w:docGrid w:linePitch="286" w:charSpace="0"/>
        </w:sectPr>
      </w:pPr>
      <w:bookmarkStart w:id="883" w:name="_Toc54550869"/>
      <w:bookmarkStart w:id="884" w:name="_Toc62034588"/>
      <w:r>
        <w:rPr>
          <w:rFonts w:hint="eastAsia" w:ascii="宋体" w:hAnsi="宋体" w:eastAsia="宋体" w:cs="宋体"/>
          <w:szCs w:val="21"/>
          <w:highlight w:val="none"/>
        </w:rPr>
        <w:t>注：投标人如未授权代理人，则应在投标文件中提供本法定代表人身份证明。反之，则无需在投标文件中提供法定代表人身份证明。</w:t>
      </w:r>
      <w:bookmarkEnd w:id="883"/>
      <w:bookmarkEnd w:id="884"/>
    </w:p>
    <w:p w14:paraId="47B5CB82">
      <w:pPr>
        <w:keepNext/>
        <w:keepLines/>
        <w:widowControl w:val="0"/>
        <w:adjustRightInd w:val="0"/>
        <w:snapToGrid w:val="0"/>
        <w:spacing w:before="0" w:beforeLines="0" w:after="0" w:afterLines="0" w:line="416" w:lineRule="auto"/>
        <w:ind w:firstLine="3855" w:firstLineChars="1600"/>
        <w:outlineLvl w:val="1"/>
        <w:rPr>
          <w:rFonts w:hint="eastAsia" w:ascii="宋体" w:hAnsi="宋体" w:eastAsia="宋体" w:cs="宋体"/>
          <w:b/>
          <w:bCs/>
          <w:kern w:val="0"/>
          <w:sz w:val="24"/>
          <w:szCs w:val="24"/>
          <w:highlight w:val="none"/>
          <w:lang w:val="en-US" w:eastAsia="zh-CN" w:bidi="ar-SA"/>
        </w:rPr>
      </w:pPr>
      <w:bookmarkStart w:id="885" w:name="_Toc62034589"/>
      <w:bookmarkStart w:id="886" w:name="_Toc7874"/>
      <w:bookmarkStart w:id="887" w:name="_Toc91345074"/>
      <w:bookmarkStart w:id="888" w:name="_Toc3643"/>
      <w:r>
        <w:rPr>
          <w:rFonts w:hint="eastAsia" w:ascii="宋体" w:hAnsi="宋体" w:eastAsia="宋体" w:cs="宋体"/>
          <w:b/>
          <w:bCs/>
          <w:kern w:val="2"/>
          <w:sz w:val="24"/>
          <w:szCs w:val="24"/>
          <w:highlight w:val="none"/>
          <w:lang w:val="en-US" w:eastAsia="zh-CN" w:bidi="ar-SA"/>
        </w:rPr>
        <w:t>二、授权委托书</w:t>
      </w:r>
      <w:bookmarkEnd w:id="885"/>
      <w:bookmarkEnd w:id="886"/>
      <w:bookmarkEnd w:id="887"/>
      <w:bookmarkEnd w:id="888"/>
    </w:p>
    <w:p w14:paraId="2CD9E986">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707BDCD2">
      <w:pPr>
        <w:tabs>
          <w:tab w:val="left" w:pos="2421"/>
          <w:tab w:val="left" w:pos="5585"/>
        </w:tabs>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本人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（姓名）系</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（投标人名称）的法定代表人（单位负责</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lang w:val="en-US" w:eastAsia="zh-CN" w:bidi="ar-SA"/>
        </w:rPr>
        <w:t>现</w:t>
      </w:r>
      <w:r>
        <w:rPr>
          <w:rFonts w:hint="eastAsia" w:ascii="宋体" w:hAnsi="宋体" w:eastAsia="宋体" w:cs="宋体"/>
          <w:kern w:val="2"/>
          <w:sz w:val="21"/>
          <w:szCs w:val="21"/>
          <w:highlight w:val="none"/>
          <w:lang w:val="en-US" w:eastAsia="zh-CN" w:bidi="ar-SA"/>
        </w:rPr>
        <w:t>委</w:t>
      </w:r>
      <w:r>
        <w:rPr>
          <w:rFonts w:hint="eastAsia" w:ascii="宋体" w:hAnsi="宋体" w:eastAsia="宋体" w:cs="宋体"/>
          <w:spacing w:val="-1"/>
          <w:kern w:val="2"/>
          <w:sz w:val="21"/>
          <w:szCs w:val="21"/>
          <w:highlight w:val="none"/>
          <w:lang w:val="en-US" w:eastAsia="zh-CN" w:bidi="ar-SA"/>
        </w:rPr>
        <w:t>托</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r>
        <w:rPr>
          <w:rFonts w:hint="eastAsia" w:ascii="宋体" w:hAnsi="宋体" w:eastAsia="宋体" w:cs="宋体"/>
          <w:kern w:val="2"/>
          <w:sz w:val="21"/>
          <w:szCs w:val="21"/>
          <w:highlight w:val="none"/>
          <w:lang w:val="en-US" w:eastAsia="zh-CN" w:bidi="ar-SA"/>
        </w:rPr>
        <w:t>（姓名）为我</w:t>
      </w:r>
      <w:r>
        <w:rPr>
          <w:rFonts w:hint="eastAsia" w:ascii="宋体" w:hAnsi="宋体" w:eastAsia="宋体" w:cs="宋体"/>
          <w:spacing w:val="-3"/>
          <w:kern w:val="2"/>
          <w:sz w:val="21"/>
          <w:szCs w:val="21"/>
          <w:highlight w:val="none"/>
          <w:lang w:val="en-US" w:eastAsia="zh-CN" w:bidi="ar-SA"/>
        </w:rPr>
        <w:t>方代</w:t>
      </w:r>
      <w:r>
        <w:rPr>
          <w:rFonts w:hint="eastAsia" w:ascii="宋体" w:hAnsi="宋体" w:eastAsia="宋体" w:cs="宋体"/>
          <w:kern w:val="2"/>
          <w:sz w:val="21"/>
          <w:szCs w:val="21"/>
          <w:highlight w:val="none"/>
          <w:lang w:val="en-US" w:eastAsia="zh-CN" w:bidi="ar-SA"/>
        </w:rPr>
        <w:t>理人。代理</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根据授</w:t>
      </w:r>
      <w:r>
        <w:rPr>
          <w:rFonts w:hint="eastAsia" w:ascii="宋体" w:hAnsi="宋体" w:eastAsia="宋体" w:cs="宋体"/>
          <w:spacing w:val="-3"/>
          <w:kern w:val="2"/>
          <w:sz w:val="21"/>
          <w:szCs w:val="21"/>
          <w:highlight w:val="none"/>
          <w:lang w:val="en-US" w:eastAsia="zh-CN" w:bidi="ar-SA"/>
        </w:rPr>
        <w:t>权，</w:t>
      </w:r>
      <w:r>
        <w:rPr>
          <w:rFonts w:hint="eastAsia" w:ascii="宋体" w:hAnsi="宋体" w:eastAsia="宋体" w:cs="宋体"/>
          <w:kern w:val="2"/>
          <w:sz w:val="21"/>
          <w:szCs w:val="21"/>
          <w:highlight w:val="none"/>
          <w:lang w:val="en-US" w:eastAsia="zh-CN" w:bidi="ar-SA"/>
        </w:rPr>
        <w:t>以我方名义</w:t>
      </w:r>
      <w:r>
        <w:rPr>
          <w:rFonts w:hint="eastAsia" w:ascii="宋体" w:hAnsi="宋体" w:eastAsia="宋体" w:cs="宋体"/>
          <w:spacing w:val="-3"/>
          <w:kern w:val="2"/>
          <w:sz w:val="21"/>
          <w:szCs w:val="21"/>
          <w:highlight w:val="none"/>
          <w:lang w:val="en-US" w:eastAsia="zh-CN" w:bidi="ar-SA"/>
        </w:rPr>
        <w:t>签</w:t>
      </w:r>
      <w:r>
        <w:rPr>
          <w:rFonts w:hint="eastAsia" w:ascii="宋体" w:hAnsi="宋体" w:eastAsia="宋体" w:cs="宋体"/>
          <w:kern w:val="2"/>
          <w:sz w:val="21"/>
          <w:szCs w:val="21"/>
          <w:highlight w:val="none"/>
          <w:lang w:val="en-US" w:eastAsia="zh-CN" w:bidi="ar-SA"/>
        </w:rPr>
        <w:t>署、澄清确认、递交、撤回、修改设备采购招标项目投标文件、签订合同和处理有关事宜，其法律后果由我方承担。</w:t>
      </w:r>
    </w:p>
    <w:p w14:paraId="74B3818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委托期限：</w:t>
      </w:r>
      <w:bookmarkStart w:id="889" w:name="_Toc221952026"/>
      <w:r>
        <w:rPr>
          <w:rFonts w:hint="eastAsia" w:ascii="宋体" w:hAnsi="宋体" w:eastAsia="宋体" w:cs="宋体"/>
          <w:sz w:val="21"/>
          <w:szCs w:val="21"/>
          <w:highlight w:val="none"/>
          <w:u w:val="single"/>
        </w:rPr>
        <w:t>自本授权委托书签署之日起至本工程的投标有效期结束止</w:t>
      </w:r>
      <w:r>
        <w:rPr>
          <w:rFonts w:hint="eastAsia" w:ascii="宋体" w:hAnsi="宋体" w:eastAsia="宋体" w:cs="宋体"/>
          <w:sz w:val="21"/>
          <w:szCs w:val="21"/>
          <w:highlight w:val="none"/>
        </w:rPr>
        <w:t>。</w:t>
      </w:r>
      <w:bookmarkEnd w:id="889"/>
    </w:p>
    <w:p w14:paraId="35DF4DA5">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6E515374">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代理人无转委托权。</w:t>
      </w:r>
    </w:p>
    <w:p w14:paraId="58E993C9">
      <w:pPr>
        <w:adjustRightInd w:val="0"/>
        <w:snapToGrid w:val="0"/>
        <w:spacing w:beforeLines="0" w:after="0" w:afterLines="0" w:line="360" w:lineRule="auto"/>
        <w:ind w:firstLine="420" w:firstLineChars="200"/>
        <w:jc w:val="both"/>
        <w:rPr>
          <w:rFonts w:hint="eastAsia" w:ascii="宋体" w:hAnsi="宋体" w:eastAsia="宋体" w:cs="宋体"/>
          <w:kern w:val="2"/>
          <w:sz w:val="21"/>
          <w:szCs w:val="21"/>
          <w:highlight w:val="none"/>
          <w:lang w:val="en-US" w:eastAsia="zh-CN" w:bidi="ar-SA"/>
        </w:rPr>
      </w:pPr>
    </w:p>
    <w:p w14:paraId="18F90E92">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76ADFFB1">
      <w:pPr>
        <w:spacing w:beforeLines="0" w:after="0" w:afterLines="0" w:line="360" w:lineRule="auto"/>
        <w:ind w:right="0" w:firstLine="420" w:firstLineChars="200"/>
        <w:rPr>
          <w:rFonts w:hint="eastAsia" w:ascii="宋体" w:hAnsi="宋体" w:eastAsia="宋体" w:cs="宋体"/>
          <w:kern w:val="2"/>
          <w:sz w:val="21"/>
          <w:szCs w:val="21"/>
          <w:highlight w:val="none"/>
          <w:lang w:val="en-US" w:eastAsia="zh-CN" w:bidi="ar-SA"/>
        </w:rPr>
      </w:pPr>
    </w:p>
    <w:p w14:paraId="1BBCEC07">
      <w:pPr>
        <w:spacing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6AA3E813">
      <w:pPr>
        <w:spacing w:before="0" w:beforeLines="0" w:after="0" w:afterLines="0" w:line="360" w:lineRule="auto"/>
        <w:ind w:firstLine="420" w:firstLineChars="200"/>
        <w:rPr>
          <w:rFonts w:hint="eastAsia" w:ascii="宋体" w:hAnsi="宋体" w:eastAsia="宋体" w:cs="宋体"/>
          <w:kern w:val="2"/>
          <w:sz w:val="21"/>
          <w:szCs w:val="21"/>
          <w:highlight w:val="none"/>
          <w:lang w:val="en-US" w:eastAsia="zh-CN" w:bidi="ar-SA"/>
        </w:rPr>
      </w:pPr>
    </w:p>
    <w:p w14:paraId="35C494A4">
      <w:pPr>
        <w:tabs>
          <w:tab w:val="left" w:pos="3216"/>
          <w:tab w:val="left" w:pos="3636"/>
          <w:tab w:val="left" w:pos="724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FECA3F5">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法定</w:t>
      </w:r>
      <w:r>
        <w:rPr>
          <w:rFonts w:hint="eastAsia" w:ascii="宋体" w:hAnsi="宋体" w:eastAsia="宋体" w:cs="宋体"/>
          <w:spacing w:val="-3"/>
          <w:kern w:val="2"/>
          <w:sz w:val="21"/>
          <w:szCs w:val="21"/>
          <w:highlight w:val="none"/>
          <w:lang w:val="en-US" w:eastAsia="zh-CN" w:bidi="ar-SA"/>
        </w:rPr>
        <w:t>代</w:t>
      </w:r>
      <w:r>
        <w:rPr>
          <w:rFonts w:hint="eastAsia" w:ascii="宋体" w:hAnsi="宋体" w:eastAsia="宋体" w:cs="宋体"/>
          <w:kern w:val="2"/>
          <w:sz w:val="21"/>
          <w:szCs w:val="21"/>
          <w:highlight w:val="none"/>
          <w:lang w:val="en-US" w:eastAsia="zh-CN" w:bidi="ar-SA"/>
        </w:rPr>
        <w:t>表</w:t>
      </w:r>
      <w:r>
        <w:rPr>
          <w:rFonts w:hint="eastAsia" w:ascii="宋体" w:hAnsi="宋体" w:eastAsia="宋体" w:cs="宋体"/>
          <w:spacing w:val="-3"/>
          <w:kern w:val="2"/>
          <w:sz w:val="21"/>
          <w:szCs w:val="21"/>
          <w:highlight w:val="none"/>
          <w:lang w:val="en-US" w:eastAsia="zh-CN" w:bidi="ar-SA"/>
        </w:rPr>
        <w:t>人</w:t>
      </w:r>
      <w:r>
        <w:rPr>
          <w:rFonts w:hint="eastAsia" w:ascii="宋体" w:hAnsi="宋体" w:eastAsia="宋体" w:cs="宋体"/>
          <w:kern w:val="2"/>
          <w:sz w:val="21"/>
          <w:szCs w:val="21"/>
          <w:highlight w:val="none"/>
          <w:lang w:val="en-US" w:eastAsia="zh-CN" w:bidi="ar-SA"/>
        </w:rPr>
        <w:t>：</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49C76F54">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524D9CAA">
      <w:pPr>
        <w:tabs>
          <w:tab w:val="left" w:pos="7661"/>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委托代理人：</w:t>
      </w:r>
      <w:r>
        <w:rPr>
          <w:rFonts w:hint="eastAsia" w:ascii="宋体" w:hAnsi="宋体" w:eastAsia="宋体" w:cs="宋体"/>
          <w:spacing w:val="-3"/>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签字或盖章</w:t>
      </w:r>
      <w:r>
        <w:rPr>
          <w:rFonts w:hint="eastAsia" w:ascii="宋体" w:hAnsi="宋体" w:eastAsia="宋体" w:cs="宋体"/>
          <w:kern w:val="2"/>
          <w:sz w:val="21"/>
          <w:szCs w:val="21"/>
          <w:highlight w:val="none"/>
          <w:lang w:val="en-US" w:eastAsia="zh-CN" w:bidi="ar-SA"/>
        </w:rPr>
        <w:t>）</w:t>
      </w:r>
    </w:p>
    <w:p w14:paraId="37D0BFC6">
      <w:pPr>
        <w:tabs>
          <w:tab w:val="left" w:pos="8549"/>
        </w:tabs>
        <w:spacing w:before="0" w:beforeLines="0" w:after="0" w:afterLines="0" w:line="360" w:lineRule="auto"/>
        <w:ind w:left="0" w:righ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身份证号码：</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u w:val="single"/>
          <w:lang w:val="en-US" w:eastAsia="zh-CN" w:bidi="ar-SA"/>
        </w:rPr>
        <w:tab/>
      </w:r>
    </w:p>
    <w:p w14:paraId="60DE1D7B">
      <w:pPr>
        <w:tabs>
          <w:tab w:val="left" w:pos="5352"/>
          <w:tab w:val="left" w:pos="6192"/>
          <w:tab w:val="left" w:pos="7032"/>
        </w:tabs>
        <w:spacing w:before="0" w:beforeLines="0" w:after="0" w:afterLines="0" w:line="360" w:lineRule="auto"/>
        <w:ind w:left="0" w:firstLine="420" w:firstLineChars="20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14:paraId="460DC2CA">
      <w:pPr>
        <w:widowControl/>
        <w:adjustRightInd w:val="0"/>
        <w:snapToGrid w:val="0"/>
        <w:spacing w:beforeLines="0" w:afterLines="0" w:line="360" w:lineRule="auto"/>
        <w:ind w:firstLine="420" w:firstLineChars="200"/>
        <w:jc w:val="both"/>
        <w:rPr>
          <w:rFonts w:hint="eastAsia" w:ascii="宋体" w:hAnsi="宋体" w:eastAsia="宋体" w:cs="宋体"/>
          <w:szCs w:val="21"/>
          <w:highlight w:val="none"/>
        </w:rPr>
      </w:pPr>
      <w:bookmarkStart w:id="890" w:name="_Toc54550871"/>
      <w:bookmarkStart w:id="891" w:name="_Toc62034590"/>
    </w:p>
    <w:p w14:paraId="2506F93F">
      <w:pPr>
        <w:widowControl/>
        <w:adjustRightInd w:val="0"/>
        <w:snapToGrid w:val="0"/>
        <w:spacing w:beforeLines="0" w:afterLines="0" w:line="360" w:lineRule="auto"/>
        <w:ind w:firstLine="420" w:firstLineChars="200"/>
        <w:jc w:val="both"/>
        <w:rPr>
          <w:rFonts w:hint="eastAsia" w:ascii="宋体" w:hAnsi="宋体" w:eastAsia="宋体" w:cs="宋体"/>
          <w:b w:val="0"/>
          <w:bCs/>
          <w:szCs w:val="21"/>
          <w:highlight w:val="none"/>
        </w:rPr>
      </w:pPr>
      <w:r>
        <w:rPr>
          <w:rFonts w:hint="eastAsia" w:ascii="宋体" w:hAnsi="宋体" w:eastAsia="宋体" w:cs="宋体"/>
          <w:b w:val="0"/>
          <w:bCs/>
          <w:szCs w:val="21"/>
          <w:highlight w:val="none"/>
        </w:rPr>
        <w:t>注：1、投标人如授权代理人，则应在投标文件中需提供本授权委托书，并后附委托代理人身份证、劳动合同、依法缴纳社会保险证明，法定代表人身份证明等材料原件扫描件。反之，则无需在投标文件中提供本授权委托书及其要求的相关证明材料。</w:t>
      </w:r>
      <w:bookmarkEnd w:id="890"/>
      <w:bookmarkEnd w:id="891"/>
    </w:p>
    <w:p w14:paraId="6C201EDC">
      <w:pPr>
        <w:adjustRightInd w:val="0"/>
        <w:snapToGrid w:val="0"/>
        <w:spacing w:beforeLines="0" w:afterLines="0" w:line="360" w:lineRule="auto"/>
        <w:ind w:firstLine="420" w:firstLineChars="200"/>
        <w:jc w:val="both"/>
        <w:rPr>
          <w:rFonts w:hint="eastAsia" w:ascii="宋体" w:hAnsi="宋体" w:eastAsia="宋体" w:cs="宋体"/>
          <w:b/>
          <w:szCs w:val="21"/>
          <w:highlight w:val="none"/>
        </w:rPr>
        <w:sectPr>
          <w:pgSz w:w="11905" w:h="16838"/>
          <w:pgMar w:top="1417" w:right="1417" w:bottom="1417" w:left="1417" w:header="794" w:footer="794" w:gutter="0"/>
          <w:pgNumType w:fmt="decimal"/>
          <w:cols w:space="720" w:num="1"/>
          <w:docGrid w:linePitch="286" w:charSpace="0"/>
        </w:sectPr>
      </w:pPr>
      <w:r>
        <w:rPr>
          <w:rFonts w:hint="eastAsia" w:ascii="宋体" w:hAnsi="宋体" w:eastAsia="宋体" w:cs="宋体"/>
          <w:b w:val="0"/>
          <w:bCs/>
          <w:szCs w:val="21"/>
          <w:highlight w:val="none"/>
        </w:rPr>
        <w:t>2、投标人制作电子投标文件时，上传签字、盖章后的授权委托书扫描件</w:t>
      </w:r>
      <w:r>
        <w:rPr>
          <w:rFonts w:hint="eastAsia" w:ascii="宋体" w:hAnsi="宋体" w:eastAsia="宋体" w:cs="宋体"/>
          <w:b/>
          <w:szCs w:val="21"/>
          <w:highlight w:val="none"/>
        </w:rPr>
        <w:t>。</w:t>
      </w:r>
    </w:p>
    <w:p w14:paraId="7B99711C">
      <w:pPr>
        <w:widowControl w:val="0"/>
        <w:autoSpaceDE w:val="0"/>
        <w:autoSpaceDN w:val="0"/>
        <w:bidi w:val="0"/>
        <w:adjustRightInd w:val="0"/>
        <w:spacing w:line="360" w:lineRule="auto"/>
        <w:ind w:left="100" w:right="113"/>
        <w:jc w:val="center"/>
        <w:outlineLvl w:val="1"/>
        <w:rPr>
          <w:rFonts w:hint="eastAsia" w:ascii="Microsoft JhengHei" w:hAnsi="Microsoft JhengHei" w:eastAsia="宋体" w:cs="Microsoft JhengHei"/>
          <w:b/>
          <w:bCs/>
          <w:sz w:val="24"/>
          <w:szCs w:val="32"/>
          <w:lang w:val="en-US" w:eastAsia="zh-CN" w:bidi="ar-SA"/>
        </w:rPr>
      </w:pPr>
      <w:r>
        <w:rPr>
          <w:rFonts w:hint="eastAsia" w:ascii="Microsoft JhengHei" w:hAnsi="Microsoft JhengHei" w:eastAsia="宋体" w:cs="Microsoft JhengHei"/>
          <w:b/>
          <w:bCs/>
          <w:sz w:val="24"/>
          <w:szCs w:val="32"/>
          <w:lang w:val="en-US" w:eastAsia="zh-CN" w:bidi="ar-SA"/>
        </w:rPr>
        <w:t>三、投标保证金交纳证明</w:t>
      </w:r>
    </w:p>
    <w:p w14:paraId="20DD2989">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u w:val="single"/>
        </w:rPr>
      </w:pPr>
    </w:p>
    <w:p w14:paraId="0609123C">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61B7D9FA">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49EBE5C5">
      <w:pPr>
        <w:pageBreakBefore w:val="0"/>
        <w:widowControl w:val="0"/>
        <w:kinsoku/>
        <w:wordWrap w:val="0"/>
        <w:overflowPunct/>
        <w:topLinePunct w:val="0"/>
        <w:autoSpaceDE w:val="0"/>
        <w:autoSpaceDN w:val="0"/>
        <w:bidi w:val="0"/>
        <w:adjustRightInd w:val="0"/>
        <w:spacing w:line="400" w:lineRule="exact"/>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8C2D1B4">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00E1C2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5FAB5FDB">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7C861EEA">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投标人名称：</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7C3770B6">
      <w:pPr>
        <w:pageBreakBefore w:val="0"/>
        <w:widowControl w:val="0"/>
        <w:kinsoku/>
        <w:wordWrap w:val="0"/>
        <w:overflowPunct/>
        <w:topLinePunct w:val="0"/>
        <w:autoSpaceDE w:val="0"/>
        <w:autoSpaceDN w:val="0"/>
        <w:bidi w:val="0"/>
        <w:adjustRightInd w:val="0"/>
        <w:spacing w:line="400" w:lineRule="exact"/>
        <w:ind w:right="-34" w:rightChars="-16"/>
        <w:jc w:val="righ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（签字</w:t>
      </w:r>
      <w:r>
        <w:rPr>
          <w:rFonts w:hint="eastAsia" w:ascii="宋体" w:hAnsi="宋体" w:eastAsia="宋体" w:cs="宋体"/>
          <w:color w:val="auto"/>
          <w:kern w:val="0"/>
          <w:sz w:val="21"/>
          <w:szCs w:val="21"/>
          <w:highlight w:val="none"/>
          <w:lang w:val="en-US" w:eastAsia="zh-CN"/>
        </w:rPr>
        <w:t>或盖章</w:t>
      </w:r>
      <w:r>
        <w:rPr>
          <w:rFonts w:hint="eastAsia" w:ascii="宋体" w:hAnsi="宋体" w:eastAsia="宋体" w:cs="宋体"/>
          <w:color w:val="auto"/>
          <w:kern w:val="0"/>
          <w:sz w:val="21"/>
          <w:szCs w:val="21"/>
          <w:highlight w:val="none"/>
        </w:rPr>
        <w:t>）</w:t>
      </w:r>
    </w:p>
    <w:p w14:paraId="30CD79D3">
      <w:pPr>
        <w:pageBreakBefore w:val="0"/>
        <w:widowControl w:val="0"/>
        <w:kinsoku/>
        <w:wordWrap w:val="0"/>
        <w:overflowPunct/>
        <w:topLinePunct w:val="0"/>
        <w:autoSpaceDE w:val="0"/>
        <w:autoSpaceDN w:val="0"/>
        <w:bidi w:val="0"/>
        <w:adjustRightInd w:val="0"/>
        <w:spacing w:line="400" w:lineRule="exact"/>
        <w:ind w:right="-34" w:rightChars="-16" w:firstLine="5124" w:firstLineChars="244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69E05757">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mc:AlternateContent>
          <mc:Choice Requires="wps">
            <w:drawing>
              <wp:anchor distT="0" distB="0" distL="114300" distR="114300" simplePos="0" relativeHeight="251662336" behindDoc="0" locked="0" layoutInCell="1" allowOverlap="1">
                <wp:simplePos x="0" y="0"/>
                <wp:positionH relativeFrom="column">
                  <wp:posOffset>-62865</wp:posOffset>
                </wp:positionH>
                <wp:positionV relativeFrom="paragraph">
                  <wp:posOffset>183515</wp:posOffset>
                </wp:positionV>
                <wp:extent cx="5622290" cy="9525"/>
                <wp:effectExtent l="0" t="15875" r="16510" b="31750"/>
                <wp:wrapNone/>
                <wp:docPr id="16" name="直接连接符 16"/>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upright="1"/>
                    </wps:wsp>
                  </a:graphicData>
                </a:graphic>
              </wp:anchor>
            </w:drawing>
          </mc:Choice>
          <mc:Fallback>
            <w:pict>
              <v:line id="_x0000_s1026" o:spid="_x0000_s1026" o:spt="20" style="position:absolute;left:0pt;margin-left:-4.95pt;margin-top:14.45pt;height:0.75pt;width:442.7pt;z-index:251662336;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vhWkjWAAAACAEAAA8AAAAAAAAAAQAgAAAAIgAAAGRycy9kb3ducmV2&#10;LnhtbFBLAQIUABQAAAAIAIdO4kCc9+0M/gEAAPkDAAAOAAAAAAAAAAEAIAAAACUBAABkcnMvZTJv&#10;RG9jLnhtbFBLBQYAAAAABgAGAFkBAACVBQAAAAA=&#10;">
                <v:fill on="f" focussize="0,0"/>
                <v:stroke weight="2.5pt" color="#000000" joinstyle="round" dashstyle="1 1"/>
                <v:imagedata o:title=""/>
                <o:lock v:ext="edit" aspectratio="f"/>
              </v:line>
            </w:pict>
          </mc:Fallback>
        </mc:AlternateContent>
      </w:r>
    </w:p>
    <w:p w14:paraId="520DD864">
      <w:pPr>
        <w:pageBreakBefore w:val="0"/>
        <w:widowControl w:val="0"/>
        <w:kinsoku/>
        <w:wordWrap w:val="0"/>
        <w:overflowPunct/>
        <w:topLinePunct w:val="0"/>
        <w:autoSpaceDE w:val="0"/>
        <w:autoSpaceDN w:val="0"/>
        <w:bidi w:val="0"/>
        <w:adjustRightInd w:val="0"/>
        <w:spacing w:line="400" w:lineRule="exact"/>
        <w:ind w:right="-34" w:rightChars="-16" w:firstLine="0"/>
        <w:jc w:val="center"/>
        <w:textAlignment w:val="baseline"/>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b/>
          <w:color w:val="auto"/>
          <w:kern w:val="2"/>
          <w:sz w:val="21"/>
          <w:szCs w:val="21"/>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8255</wp:posOffset>
                </wp:positionH>
                <wp:positionV relativeFrom="paragraph">
                  <wp:posOffset>49530</wp:posOffset>
                </wp:positionV>
                <wp:extent cx="5486400" cy="3169920"/>
                <wp:effectExtent l="9525" t="9525" r="9525" b="20955"/>
                <wp:wrapNone/>
                <wp:docPr id="5" name="矩形 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wps:txbx>
                      <wps:bodyPr wrap="square" upright="1"/>
                    </wps:wsp>
                  </a:graphicData>
                </a:graphic>
              </wp:anchor>
            </w:drawing>
          </mc:Choice>
          <mc:Fallback>
            <w:pict>
              <v:rect id="_x0000_s1026" o:spid="_x0000_s1026" o:spt="1" style="position:absolute;left:0pt;margin-left:0.65pt;margin-top:3.9pt;height:249.6pt;width:432pt;z-index:251663360;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n6pz71wAAAAcBAAAPAAAA&#10;AAAAAAEAIAAAACIAAABkcnMvZG93bnJldi54bWxQSwECFAAUAAAACACHTuJApHMD/xYCAABJBAAA&#10;DgAAAAAAAAABACAAAAAmAQAAZHJzL2Uyb0RvYy54bWxQSwUGAAAAAAYABgBZAQAArgUAAAAA&#10;">
                <v:fill on="t" focussize="0,0"/>
                <v:stroke weight="1.5pt" color="#000000" joinstyle="miter" dashstyle="dashDot"/>
                <v:imagedata o:title=""/>
                <o:lock v:ext="edit" aspectratio="f"/>
                <v:textbox>
                  <w:txbxContent>
                    <w:p w14:paraId="6C4F50C3">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425149B2">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93E7267">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2CF9717A">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03E95580">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7CE0C3C5">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15818E2C">
                      <w:pPr>
                        <w:widowControl w:val="0"/>
                        <w:autoSpaceDE/>
                        <w:autoSpaceDN/>
                        <w:adjustRightInd/>
                        <w:spacing w:line="240" w:lineRule="auto"/>
                        <w:jc w:val="center"/>
                        <w:rPr>
                          <w:rFonts w:hint="eastAsia" w:ascii="Times New Roman" w:hAnsi="Times New Roman" w:eastAsia="宋体" w:cs="Times New Roman"/>
                          <w:kern w:val="2"/>
                          <w:sz w:val="21"/>
                          <w:szCs w:val="20"/>
                        </w:rPr>
                      </w:pPr>
                    </w:p>
                    <w:p w14:paraId="5A952E4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kern w:val="2"/>
                          <w:sz w:val="36"/>
                          <w:szCs w:val="15"/>
                        </w:rPr>
                        <w:t>投标保证金有效证明资料</w:t>
                      </w:r>
                    </w:p>
                    <w:p w14:paraId="3CA4FD88">
                      <w:pPr>
                        <w:widowControl w:val="0"/>
                        <w:autoSpaceDE/>
                        <w:autoSpaceDN/>
                        <w:adjustRightInd/>
                        <w:spacing w:line="240" w:lineRule="auto"/>
                        <w:jc w:val="center"/>
                        <w:rPr>
                          <w:rFonts w:hint="eastAsia" w:ascii="Times New Roman" w:hAnsi="Times New Roman" w:eastAsia="宋体" w:cs="Times New Roman"/>
                          <w:b/>
                          <w:kern w:val="2"/>
                          <w:sz w:val="36"/>
                          <w:szCs w:val="15"/>
                        </w:rPr>
                      </w:pPr>
                    </w:p>
                    <w:p w14:paraId="7591FC35">
                      <w:pPr>
                        <w:widowControl w:val="0"/>
                        <w:autoSpaceDE/>
                        <w:autoSpaceDN/>
                        <w:adjustRightInd/>
                        <w:spacing w:line="240" w:lineRule="auto"/>
                        <w:jc w:val="center"/>
                        <w:rPr>
                          <w:rFonts w:hint="eastAsia" w:ascii="Times New Roman" w:hAnsi="Times New Roman" w:eastAsia="宋体" w:cs="Times New Roman"/>
                          <w:b/>
                          <w:kern w:val="2"/>
                          <w:sz w:val="36"/>
                          <w:szCs w:val="15"/>
                        </w:rPr>
                      </w:pPr>
                      <w:r>
                        <w:rPr>
                          <w:rFonts w:hint="eastAsia" w:ascii="Times New Roman" w:hAnsi="Times New Roman" w:eastAsia="宋体" w:cs="Times New Roman"/>
                          <w:b/>
                          <w:bCs/>
                          <w:kern w:val="2"/>
                          <w:sz w:val="36"/>
                          <w:szCs w:val="15"/>
                        </w:rPr>
                        <w:t>(</w:t>
                      </w:r>
                      <w:r>
                        <w:rPr>
                          <w:rFonts w:hint="eastAsia" w:ascii="黑体" w:hAnsi="黑体" w:eastAsia="黑体" w:cs="Times New Roman"/>
                          <w:kern w:val="0"/>
                          <w:sz w:val="22"/>
                          <w:szCs w:val="22"/>
                        </w:rPr>
                        <w:t>交易系统生成的《投标保证金交纳回执单》或保函证明</w:t>
                      </w:r>
                      <w:r>
                        <w:rPr>
                          <w:rFonts w:hint="eastAsia" w:ascii="Times New Roman" w:hAnsi="Times New Roman" w:eastAsia="宋体" w:cs="Times New Roman"/>
                          <w:b/>
                          <w:bCs/>
                          <w:kern w:val="2"/>
                          <w:sz w:val="36"/>
                          <w:szCs w:val="15"/>
                        </w:rPr>
                        <w:t>)</w:t>
                      </w:r>
                    </w:p>
                    <w:p w14:paraId="61054D9D">
                      <w:pPr>
                        <w:widowControl w:val="0"/>
                        <w:autoSpaceDE/>
                        <w:autoSpaceDN/>
                        <w:adjustRightInd/>
                        <w:spacing w:line="240" w:lineRule="auto"/>
                        <w:jc w:val="center"/>
                        <w:rPr>
                          <w:rFonts w:hint="eastAsia" w:ascii="Times New Roman" w:hAnsi="Times New Roman" w:eastAsia="宋体" w:cs="Times New Roman"/>
                          <w:b/>
                          <w:kern w:val="2"/>
                          <w:sz w:val="48"/>
                          <w:szCs w:val="20"/>
                        </w:rPr>
                      </w:pPr>
                    </w:p>
                    <w:p w14:paraId="2C94DFDA">
                      <w:pPr>
                        <w:widowControl w:val="0"/>
                        <w:autoSpaceDE/>
                        <w:autoSpaceDN/>
                        <w:adjustRightInd/>
                        <w:spacing w:line="240" w:lineRule="auto"/>
                        <w:jc w:val="center"/>
                        <w:rPr>
                          <w:rFonts w:hint="eastAsia" w:ascii="Times New Roman" w:hAnsi="Times New Roman" w:eastAsia="宋体" w:cs="Times New Roman"/>
                          <w:b/>
                          <w:kern w:val="2"/>
                          <w:sz w:val="48"/>
                          <w:szCs w:val="20"/>
                        </w:rPr>
                      </w:pPr>
                    </w:p>
                  </w:txbxContent>
                </v:textbox>
              </v:rect>
            </w:pict>
          </mc:Fallback>
        </mc:AlternateContent>
      </w:r>
    </w:p>
    <w:p w14:paraId="76E8F008">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472FB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15BD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866ED9A">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3D01D4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0726D8F3">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3708D2A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9A6D06B">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2D337F6">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6E7B4B29">
      <w:pPr>
        <w:pageBreakBefore w:val="0"/>
        <w:widowControl w:val="0"/>
        <w:kinsoku/>
        <w:wordWrap w:val="0"/>
        <w:overflowPunct/>
        <w:topLinePunct w:val="0"/>
        <w:autoSpaceDE w:val="0"/>
        <w:autoSpaceDN w:val="0"/>
        <w:bidi w:val="0"/>
        <w:adjustRightInd w:val="0"/>
        <w:spacing w:line="400" w:lineRule="exact"/>
        <w:ind w:right="-34" w:rightChars="-16" w:firstLine="0"/>
        <w:jc w:val="left"/>
        <w:textAlignment w:val="baseline"/>
        <w:rPr>
          <w:rFonts w:hint="eastAsia" w:ascii="宋体" w:hAnsi="宋体" w:eastAsia="宋体" w:cs="宋体"/>
          <w:b/>
          <w:color w:val="auto"/>
          <w:kern w:val="2"/>
          <w:sz w:val="21"/>
          <w:szCs w:val="21"/>
          <w:highlight w:val="none"/>
          <w:lang w:val="en-US" w:eastAsia="zh-CN" w:bidi="ar-SA"/>
        </w:rPr>
      </w:pPr>
    </w:p>
    <w:p w14:paraId="7C1DB0E0">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6F1B7C1">
      <w:pPr>
        <w:pageBreakBefore w:val="0"/>
        <w:widowControl w:val="0"/>
        <w:kinsoku/>
        <w:wordWrap w:val="0"/>
        <w:overflowPunct/>
        <w:topLinePunct w:val="0"/>
        <w:autoSpaceDE w:val="0"/>
        <w:autoSpaceDN w:val="0"/>
        <w:bidi w:val="0"/>
        <w:adjustRightInd w:val="0"/>
        <w:spacing w:line="400" w:lineRule="exact"/>
        <w:ind w:right="-34" w:rightChars="-16"/>
        <w:jc w:val="left"/>
        <w:rPr>
          <w:rFonts w:hint="eastAsia" w:ascii="宋体" w:hAnsi="宋体" w:eastAsia="宋体" w:cs="宋体"/>
          <w:color w:val="auto"/>
          <w:kern w:val="0"/>
          <w:sz w:val="21"/>
          <w:szCs w:val="21"/>
          <w:highlight w:val="none"/>
        </w:rPr>
      </w:pPr>
    </w:p>
    <w:p w14:paraId="123163D1">
      <w:pPr>
        <w:widowControl/>
        <w:spacing w:beforeLines="0" w:afterLines="0" w:line="240" w:lineRule="auto"/>
        <w:jc w:val="left"/>
        <w:rPr>
          <w:rFonts w:hint="eastAsia" w:ascii="宋体" w:hAnsi="宋体" w:eastAsia="宋体" w:cs="宋体"/>
          <w:kern w:val="0"/>
          <w:szCs w:val="21"/>
          <w:highlight w:val="none"/>
        </w:rPr>
      </w:pPr>
    </w:p>
    <w:p w14:paraId="2799687E">
      <w:pPr>
        <w:widowControl/>
        <w:spacing w:beforeLines="0" w:afterLines="0" w:line="240" w:lineRule="auto"/>
        <w:jc w:val="left"/>
        <w:rPr>
          <w:rFonts w:hint="eastAsia" w:ascii="宋体" w:hAnsi="宋体" w:eastAsia="宋体" w:cs="宋体"/>
          <w:kern w:val="0"/>
          <w:szCs w:val="21"/>
          <w:highlight w:val="none"/>
        </w:rPr>
      </w:pPr>
    </w:p>
    <w:p w14:paraId="51CA058F">
      <w:pPr>
        <w:widowControl/>
        <w:spacing w:beforeLines="0" w:afterLines="0" w:line="240" w:lineRule="auto"/>
        <w:jc w:val="left"/>
        <w:rPr>
          <w:rFonts w:hint="eastAsia" w:ascii="宋体" w:hAnsi="宋体" w:eastAsia="宋体" w:cs="宋体"/>
          <w:kern w:val="0"/>
          <w:szCs w:val="21"/>
          <w:highlight w:val="none"/>
        </w:rPr>
      </w:pPr>
    </w:p>
    <w:p w14:paraId="13EA23F8">
      <w:pPr>
        <w:widowControl/>
        <w:spacing w:beforeLines="0" w:afterLines="0" w:line="240" w:lineRule="auto"/>
        <w:jc w:val="left"/>
        <w:rPr>
          <w:rFonts w:hint="eastAsia" w:ascii="宋体" w:hAnsi="宋体" w:eastAsia="宋体" w:cs="宋体"/>
          <w:kern w:val="0"/>
          <w:szCs w:val="21"/>
          <w:highlight w:val="none"/>
        </w:rPr>
      </w:pPr>
    </w:p>
    <w:p w14:paraId="4C3E4272">
      <w:pPr>
        <w:widowControl/>
        <w:spacing w:beforeLines="0" w:afterLines="0" w:line="240" w:lineRule="auto"/>
        <w:jc w:val="left"/>
        <w:rPr>
          <w:rFonts w:hint="eastAsia" w:ascii="宋体" w:hAnsi="宋体" w:eastAsia="宋体" w:cs="宋体"/>
          <w:kern w:val="0"/>
          <w:szCs w:val="21"/>
          <w:highlight w:val="none"/>
        </w:rPr>
      </w:pPr>
    </w:p>
    <w:p w14:paraId="5CE8D76D">
      <w:pPr>
        <w:widowControl/>
        <w:spacing w:beforeLines="0" w:afterLines="0" w:line="240" w:lineRule="auto"/>
        <w:jc w:val="left"/>
        <w:rPr>
          <w:rFonts w:hint="eastAsia" w:ascii="宋体" w:hAnsi="宋体" w:eastAsia="宋体" w:cs="宋体"/>
          <w:kern w:val="0"/>
          <w:szCs w:val="21"/>
          <w:highlight w:val="none"/>
        </w:rPr>
      </w:pPr>
    </w:p>
    <w:p w14:paraId="2C37B158">
      <w:pPr>
        <w:widowControl/>
        <w:spacing w:beforeLines="0" w:afterLines="0" w:line="240" w:lineRule="auto"/>
        <w:jc w:val="left"/>
        <w:rPr>
          <w:rFonts w:hint="eastAsia" w:ascii="宋体" w:hAnsi="宋体" w:eastAsia="宋体" w:cs="宋体"/>
          <w:kern w:val="0"/>
          <w:szCs w:val="21"/>
          <w:highlight w:val="none"/>
        </w:rPr>
      </w:pPr>
    </w:p>
    <w:p w14:paraId="581E8C68">
      <w:pPr>
        <w:widowControl/>
        <w:spacing w:beforeLines="0" w:afterLines="0" w:line="240" w:lineRule="auto"/>
        <w:jc w:val="left"/>
        <w:rPr>
          <w:rFonts w:hint="eastAsia" w:ascii="宋体" w:hAnsi="宋体" w:eastAsia="宋体" w:cs="宋体"/>
          <w:b/>
          <w:bCs/>
          <w:sz w:val="24"/>
          <w:szCs w:val="22"/>
          <w:highlight w:val="none"/>
        </w:rPr>
      </w:pPr>
    </w:p>
    <w:p w14:paraId="0DC1D5CF">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4D56BB">
      <w:pPr>
        <w:widowControl/>
        <w:spacing w:beforeLines="-2147483648" w:afterLines="-2147483648" w:line="240" w:lineRule="auto"/>
        <w:jc w:val="left"/>
        <w:rPr>
          <w:rFonts w:hint="eastAsia" w:ascii="宋体" w:hAnsi="宋体" w:eastAsia="宋体" w:cs="宋体"/>
          <w:b/>
          <w:bCs/>
          <w:sz w:val="24"/>
          <w:szCs w:val="22"/>
          <w:highlight w:val="none"/>
        </w:rPr>
      </w:pPr>
    </w:p>
    <w:p w14:paraId="1CE3D459">
      <w:pPr>
        <w:keepNext/>
        <w:keepLines/>
        <w:widowControl w:val="0"/>
        <w:adjustRightInd w:val="0"/>
        <w:snapToGrid w:val="0"/>
        <w:spacing w:before="0" w:beforeLines="0" w:after="0" w:afterLines="0" w:line="416" w:lineRule="auto"/>
        <w:ind w:firstLine="3132" w:firstLineChars="1300"/>
        <w:outlineLvl w:val="1"/>
        <w:rPr>
          <w:rFonts w:hint="eastAsia" w:ascii="宋体" w:hAnsi="宋体" w:eastAsia="宋体" w:cs="宋体"/>
          <w:b/>
          <w:bCs/>
          <w:kern w:val="0"/>
          <w:sz w:val="28"/>
          <w:szCs w:val="28"/>
          <w:highlight w:val="none"/>
          <w:lang w:val="en-US" w:eastAsia="zh-CN" w:bidi="ar-SA"/>
        </w:rPr>
      </w:pPr>
      <w:bookmarkStart w:id="892" w:name="_Toc3383"/>
      <w:bookmarkStart w:id="893" w:name="_Toc91345076"/>
      <w:bookmarkStart w:id="894" w:name="_Toc3923"/>
      <w:bookmarkStart w:id="895" w:name="_Toc62034592"/>
      <w:r>
        <w:rPr>
          <w:rFonts w:hint="eastAsia" w:ascii="宋体" w:hAnsi="宋体" w:eastAsia="宋体" w:cs="宋体"/>
          <w:b/>
          <w:bCs/>
          <w:kern w:val="2"/>
          <w:sz w:val="24"/>
          <w:szCs w:val="24"/>
          <w:highlight w:val="none"/>
          <w:lang w:val="en-US" w:eastAsia="zh-CN" w:bidi="ar-SA"/>
        </w:rPr>
        <w:t>四、技术偏差表</w:t>
      </w:r>
      <w:bookmarkEnd w:id="892"/>
      <w:bookmarkEnd w:id="893"/>
      <w:bookmarkEnd w:id="894"/>
      <w:bookmarkEnd w:id="895"/>
    </w:p>
    <w:p w14:paraId="6BAECC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tbl>
      <w:tblPr>
        <w:tblStyle w:val="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6"/>
        <w:gridCol w:w="2693"/>
        <w:gridCol w:w="2979"/>
        <w:gridCol w:w="1625"/>
      </w:tblGrid>
      <w:tr w14:paraId="6E61F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center"/>
          </w:tcPr>
          <w:p w14:paraId="6D90E689">
            <w:pPr>
              <w:widowControl w:val="0"/>
              <w:spacing w:before="0" w:beforeLines="0" w:afterLines="0" w:line="240" w:lineRule="auto"/>
              <w:ind w:right="0"/>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zh-CN" w:bidi="ar-SA"/>
              </w:rPr>
              <w:t>序号</w:t>
            </w:r>
          </w:p>
        </w:tc>
        <w:tc>
          <w:tcPr>
            <w:tcW w:w="2693" w:type="dxa"/>
            <w:noWrap w:val="0"/>
            <w:vAlign w:val="center"/>
          </w:tcPr>
          <w:p w14:paraId="70F8C2F2">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招标文件章节及条款号</w:t>
            </w:r>
          </w:p>
        </w:tc>
        <w:tc>
          <w:tcPr>
            <w:tcW w:w="2979" w:type="dxa"/>
            <w:noWrap w:val="0"/>
            <w:vAlign w:val="center"/>
          </w:tcPr>
          <w:p w14:paraId="5A8E629D">
            <w:pPr>
              <w:widowControl w:val="0"/>
              <w:spacing w:before="0" w:beforeLines="0" w:afterLines="0" w:line="240" w:lineRule="auto"/>
              <w:jc w:val="center"/>
              <w:rPr>
                <w:rFonts w:hint="eastAsia" w:ascii="宋体" w:hAnsi="宋体" w:eastAsia="宋体" w:cs="宋体"/>
                <w:b/>
                <w:kern w:val="0"/>
                <w:sz w:val="21"/>
                <w:szCs w:val="21"/>
                <w:highlight w:val="none"/>
                <w:lang w:val="en-US" w:eastAsia="zh-CN" w:bidi="ar-SA"/>
              </w:rPr>
            </w:pPr>
            <w:r>
              <w:rPr>
                <w:rFonts w:hint="eastAsia" w:ascii="宋体" w:hAnsi="宋体" w:eastAsia="宋体" w:cs="宋体"/>
                <w:b/>
                <w:kern w:val="0"/>
                <w:sz w:val="21"/>
                <w:szCs w:val="21"/>
                <w:highlight w:val="none"/>
                <w:lang w:val="en-US" w:eastAsia="zh-CN" w:bidi="ar-SA"/>
              </w:rPr>
              <w:t>投标文件章节及条款号</w:t>
            </w:r>
          </w:p>
        </w:tc>
        <w:tc>
          <w:tcPr>
            <w:tcW w:w="1625" w:type="dxa"/>
            <w:noWrap w:val="0"/>
            <w:vAlign w:val="center"/>
          </w:tcPr>
          <w:p w14:paraId="696A3282">
            <w:pPr>
              <w:widowControl w:val="0"/>
              <w:spacing w:before="0" w:beforeLines="0" w:afterLines="0" w:line="240" w:lineRule="auto"/>
              <w:jc w:val="center"/>
              <w:rPr>
                <w:rFonts w:hint="eastAsia" w:ascii="宋体" w:hAnsi="宋体" w:eastAsia="宋体" w:cs="宋体"/>
                <w:b/>
                <w:kern w:val="0"/>
                <w:sz w:val="21"/>
                <w:szCs w:val="21"/>
                <w:highlight w:val="none"/>
                <w:lang w:val="en-US" w:eastAsia="en-US" w:bidi="ar-SA"/>
              </w:rPr>
            </w:pPr>
            <w:r>
              <w:rPr>
                <w:rFonts w:hint="eastAsia" w:ascii="宋体" w:hAnsi="宋体" w:eastAsia="宋体" w:cs="宋体"/>
                <w:b/>
                <w:kern w:val="0"/>
                <w:sz w:val="21"/>
                <w:szCs w:val="21"/>
                <w:highlight w:val="none"/>
                <w:lang w:val="en-US" w:eastAsia="en-US" w:bidi="ar-SA"/>
              </w:rPr>
              <w:t>偏差说明</w:t>
            </w:r>
          </w:p>
        </w:tc>
      </w:tr>
      <w:tr w14:paraId="135D9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exact"/>
          <w:jc w:val="center"/>
        </w:trPr>
        <w:tc>
          <w:tcPr>
            <w:tcW w:w="926" w:type="dxa"/>
            <w:noWrap w:val="0"/>
            <w:vAlign w:val="top"/>
          </w:tcPr>
          <w:p w14:paraId="10FDF8E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696F8B10">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1</w:t>
            </w:r>
          </w:p>
        </w:tc>
        <w:tc>
          <w:tcPr>
            <w:tcW w:w="2693" w:type="dxa"/>
            <w:noWrap w:val="0"/>
            <w:vAlign w:val="top"/>
          </w:tcPr>
          <w:p w14:paraId="67608698">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FC39882">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71BB0F10">
            <w:pPr>
              <w:widowControl/>
              <w:spacing w:beforeLines="0" w:afterLines="0" w:line="240" w:lineRule="auto"/>
              <w:jc w:val="left"/>
              <w:rPr>
                <w:rFonts w:hint="eastAsia" w:ascii="宋体" w:hAnsi="宋体" w:eastAsia="宋体" w:cs="宋体"/>
                <w:sz w:val="21"/>
                <w:szCs w:val="21"/>
                <w:highlight w:val="none"/>
              </w:rPr>
            </w:pPr>
          </w:p>
        </w:tc>
      </w:tr>
      <w:tr w14:paraId="66321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jc w:val="center"/>
        </w:trPr>
        <w:tc>
          <w:tcPr>
            <w:tcW w:w="926" w:type="dxa"/>
            <w:noWrap w:val="0"/>
            <w:vAlign w:val="top"/>
          </w:tcPr>
          <w:p w14:paraId="137C935E">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1B6E231B">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2</w:t>
            </w:r>
          </w:p>
        </w:tc>
        <w:tc>
          <w:tcPr>
            <w:tcW w:w="2693" w:type="dxa"/>
            <w:noWrap w:val="0"/>
            <w:vAlign w:val="top"/>
          </w:tcPr>
          <w:p w14:paraId="2F0E6FA2">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E94ED79">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992B6E9">
            <w:pPr>
              <w:widowControl/>
              <w:spacing w:beforeLines="0" w:afterLines="0" w:line="240" w:lineRule="auto"/>
              <w:jc w:val="left"/>
              <w:rPr>
                <w:rFonts w:hint="eastAsia" w:ascii="宋体" w:hAnsi="宋体" w:eastAsia="宋体" w:cs="宋体"/>
                <w:sz w:val="21"/>
                <w:szCs w:val="21"/>
                <w:highlight w:val="none"/>
              </w:rPr>
            </w:pPr>
          </w:p>
        </w:tc>
      </w:tr>
      <w:tr w14:paraId="424FF8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551A27CF">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5FE3CC96">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3</w:t>
            </w:r>
          </w:p>
        </w:tc>
        <w:tc>
          <w:tcPr>
            <w:tcW w:w="2693" w:type="dxa"/>
            <w:noWrap w:val="0"/>
            <w:vAlign w:val="top"/>
          </w:tcPr>
          <w:p w14:paraId="2F04F936">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61BD32B8">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7890A86">
            <w:pPr>
              <w:widowControl/>
              <w:spacing w:beforeLines="0" w:afterLines="0" w:line="240" w:lineRule="auto"/>
              <w:jc w:val="left"/>
              <w:rPr>
                <w:rFonts w:hint="eastAsia" w:ascii="宋体" w:hAnsi="宋体" w:eastAsia="宋体" w:cs="宋体"/>
                <w:sz w:val="21"/>
                <w:szCs w:val="21"/>
                <w:highlight w:val="none"/>
              </w:rPr>
            </w:pPr>
          </w:p>
        </w:tc>
      </w:tr>
      <w:tr w14:paraId="33A99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exact"/>
          <w:jc w:val="center"/>
        </w:trPr>
        <w:tc>
          <w:tcPr>
            <w:tcW w:w="926" w:type="dxa"/>
            <w:noWrap w:val="0"/>
            <w:vAlign w:val="top"/>
          </w:tcPr>
          <w:p w14:paraId="4A253D91">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0B5DA632">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4</w:t>
            </w:r>
          </w:p>
        </w:tc>
        <w:tc>
          <w:tcPr>
            <w:tcW w:w="2693" w:type="dxa"/>
            <w:noWrap w:val="0"/>
            <w:vAlign w:val="top"/>
          </w:tcPr>
          <w:p w14:paraId="6F7A5F70">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8784A96">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15208916">
            <w:pPr>
              <w:widowControl/>
              <w:spacing w:beforeLines="0" w:afterLines="0" w:line="240" w:lineRule="auto"/>
              <w:jc w:val="left"/>
              <w:rPr>
                <w:rFonts w:hint="eastAsia" w:ascii="宋体" w:hAnsi="宋体" w:eastAsia="宋体" w:cs="宋体"/>
                <w:sz w:val="21"/>
                <w:szCs w:val="21"/>
                <w:highlight w:val="none"/>
              </w:rPr>
            </w:pPr>
          </w:p>
        </w:tc>
      </w:tr>
      <w:tr w14:paraId="69333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exact"/>
          <w:jc w:val="center"/>
        </w:trPr>
        <w:tc>
          <w:tcPr>
            <w:tcW w:w="926" w:type="dxa"/>
            <w:noWrap w:val="0"/>
            <w:vAlign w:val="top"/>
          </w:tcPr>
          <w:p w14:paraId="4DD8F4D0">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31DF5425">
            <w:pPr>
              <w:widowControl w:val="0"/>
              <w:spacing w:beforeLines="0" w:afterLines="0" w:line="240" w:lineRule="auto"/>
              <w:ind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5</w:t>
            </w:r>
          </w:p>
        </w:tc>
        <w:tc>
          <w:tcPr>
            <w:tcW w:w="2693" w:type="dxa"/>
            <w:noWrap w:val="0"/>
            <w:vAlign w:val="top"/>
          </w:tcPr>
          <w:p w14:paraId="7162A4FC">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2FDBF3BD">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200B209F">
            <w:pPr>
              <w:widowControl/>
              <w:spacing w:beforeLines="0" w:afterLines="0" w:line="240" w:lineRule="auto"/>
              <w:jc w:val="left"/>
              <w:rPr>
                <w:rFonts w:hint="eastAsia" w:ascii="宋体" w:hAnsi="宋体" w:eastAsia="宋体" w:cs="宋体"/>
                <w:sz w:val="21"/>
                <w:szCs w:val="21"/>
                <w:highlight w:val="none"/>
              </w:rPr>
            </w:pPr>
          </w:p>
        </w:tc>
      </w:tr>
      <w:tr w14:paraId="68572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exact"/>
          <w:jc w:val="center"/>
        </w:trPr>
        <w:tc>
          <w:tcPr>
            <w:tcW w:w="926" w:type="dxa"/>
            <w:noWrap w:val="0"/>
            <w:vAlign w:val="top"/>
          </w:tcPr>
          <w:p w14:paraId="148F257D">
            <w:pPr>
              <w:widowControl w:val="0"/>
              <w:spacing w:before="0" w:beforeLines="0" w:afterLines="0" w:line="240" w:lineRule="auto"/>
              <w:rPr>
                <w:rFonts w:hint="eastAsia" w:ascii="宋体" w:hAnsi="宋体" w:eastAsia="宋体" w:cs="宋体"/>
                <w:b/>
                <w:kern w:val="0"/>
                <w:sz w:val="21"/>
                <w:szCs w:val="21"/>
                <w:highlight w:val="none"/>
                <w:lang w:val="en-US" w:eastAsia="en-US" w:bidi="ar-SA"/>
              </w:rPr>
            </w:pPr>
          </w:p>
          <w:p w14:paraId="4E601335">
            <w:pPr>
              <w:widowControl w:val="0"/>
              <w:spacing w:beforeLines="0" w:afterLines="0" w:line="240" w:lineRule="auto"/>
              <w:ind w:left="0" w:right="0"/>
              <w:jc w:val="center"/>
              <w:rPr>
                <w:rFonts w:hint="eastAsia" w:ascii="宋体" w:hAnsi="宋体" w:eastAsia="宋体" w:cs="宋体"/>
                <w:i/>
                <w:kern w:val="0"/>
                <w:sz w:val="21"/>
                <w:szCs w:val="21"/>
                <w:highlight w:val="none"/>
                <w:lang w:val="en-US" w:eastAsia="en-US" w:bidi="ar-SA"/>
              </w:rPr>
            </w:pPr>
            <w:r>
              <w:rPr>
                <w:rFonts w:hint="eastAsia" w:ascii="宋体" w:hAnsi="宋体" w:eastAsia="宋体" w:cs="宋体"/>
                <w:i/>
                <w:w w:val="115"/>
                <w:kern w:val="0"/>
                <w:sz w:val="21"/>
                <w:szCs w:val="21"/>
                <w:highlight w:val="none"/>
                <w:lang w:val="en-US" w:eastAsia="en-US" w:bidi="ar-SA"/>
              </w:rPr>
              <w:t>……</w:t>
            </w:r>
          </w:p>
        </w:tc>
        <w:tc>
          <w:tcPr>
            <w:tcW w:w="2693" w:type="dxa"/>
            <w:noWrap w:val="0"/>
            <w:vAlign w:val="top"/>
          </w:tcPr>
          <w:p w14:paraId="5BC2E6B1">
            <w:pPr>
              <w:widowControl/>
              <w:spacing w:beforeLines="0" w:afterLines="0" w:line="240" w:lineRule="auto"/>
              <w:jc w:val="left"/>
              <w:rPr>
                <w:rFonts w:hint="eastAsia" w:ascii="宋体" w:hAnsi="宋体" w:eastAsia="宋体" w:cs="宋体"/>
                <w:sz w:val="21"/>
                <w:szCs w:val="21"/>
                <w:highlight w:val="none"/>
              </w:rPr>
            </w:pPr>
          </w:p>
        </w:tc>
        <w:tc>
          <w:tcPr>
            <w:tcW w:w="2979" w:type="dxa"/>
            <w:noWrap w:val="0"/>
            <w:vAlign w:val="top"/>
          </w:tcPr>
          <w:p w14:paraId="3598938B">
            <w:pPr>
              <w:widowControl/>
              <w:spacing w:beforeLines="0" w:afterLines="0" w:line="240" w:lineRule="auto"/>
              <w:jc w:val="left"/>
              <w:rPr>
                <w:rFonts w:hint="eastAsia" w:ascii="宋体" w:hAnsi="宋体" w:eastAsia="宋体" w:cs="宋体"/>
                <w:sz w:val="21"/>
                <w:szCs w:val="21"/>
                <w:highlight w:val="none"/>
              </w:rPr>
            </w:pPr>
          </w:p>
        </w:tc>
        <w:tc>
          <w:tcPr>
            <w:tcW w:w="1625" w:type="dxa"/>
            <w:noWrap w:val="0"/>
            <w:vAlign w:val="top"/>
          </w:tcPr>
          <w:p w14:paraId="3E279440">
            <w:pPr>
              <w:widowControl/>
              <w:spacing w:beforeLines="0" w:afterLines="0" w:line="240" w:lineRule="auto"/>
              <w:jc w:val="left"/>
              <w:rPr>
                <w:rFonts w:hint="eastAsia" w:ascii="宋体" w:hAnsi="宋体" w:eastAsia="宋体" w:cs="宋体"/>
                <w:sz w:val="21"/>
                <w:szCs w:val="21"/>
                <w:highlight w:val="none"/>
              </w:rPr>
            </w:pPr>
          </w:p>
        </w:tc>
      </w:tr>
    </w:tbl>
    <w:p w14:paraId="0145531E">
      <w:pPr>
        <w:spacing w:before="0" w:beforeLines="0" w:after="0" w:afterLines="0" w:line="240" w:lineRule="auto"/>
        <w:rPr>
          <w:rFonts w:hint="eastAsia" w:ascii="宋体" w:hAnsi="宋体" w:eastAsia="宋体" w:cs="宋体"/>
          <w:b/>
          <w:kern w:val="2"/>
          <w:sz w:val="21"/>
          <w:szCs w:val="21"/>
          <w:highlight w:val="none"/>
          <w:lang w:val="en-US" w:eastAsia="zh-CN" w:bidi="ar-SA"/>
        </w:rPr>
      </w:pPr>
    </w:p>
    <w:p w14:paraId="63F33CAA">
      <w:pPr>
        <w:spacing w:before="0" w:beforeLines="0" w:after="0" w:afterLines="0" w:line="240" w:lineRule="auto"/>
        <w:ind w:left="0"/>
        <w:rPr>
          <w:rFonts w:hint="eastAsia" w:ascii="宋体" w:hAnsi="宋体" w:eastAsia="宋体" w:cs="宋体"/>
          <w:kern w:val="2"/>
          <w:sz w:val="21"/>
          <w:szCs w:val="22"/>
          <w:highlight w:val="none"/>
          <w:lang w:val="en-US" w:eastAsia="zh-CN" w:bidi="ar-SA"/>
        </w:rPr>
      </w:pPr>
      <w:r>
        <w:rPr>
          <w:rFonts w:hint="eastAsia" w:ascii="宋体" w:hAnsi="宋体" w:eastAsia="宋体" w:cs="宋体"/>
          <w:kern w:val="2"/>
          <w:sz w:val="21"/>
          <w:szCs w:val="21"/>
          <w:highlight w:val="none"/>
          <w:lang w:val="en-US" w:eastAsia="zh-CN" w:bidi="ar-SA"/>
        </w:rPr>
        <w:t>投标人保证：除技术偏差表列出的偏差外，投标人响应招标文件的全部要求。</w:t>
      </w:r>
    </w:p>
    <w:p w14:paraId="14F537C9">
      <w:pPr>
        <w:widowControl/>
        <w:spacing w:beforeLines="0" w:afterLines="0" w:line="240" w:lineRule="auto"/>
        <w:jc w:val="left"/>
        <w:rPr>
          <w:rFonts w:hint="eastAsia" w:ascii="宋体" w:hAnsi="宋体" w:eastAsia="宋体" w:cs="宋体"/>
          <w:szCs w:val="22"/>
          <w:highlight w:val="none"/>
        </w:rPr>
      </w:pPr>
    </w:p>
    <w:p w14:paraId="54EC976F">
      <w:pPr>
        <w:widowControl/>
        <w:spacing w:beforeLines="0" w:afterLines="0" w:line="240" w:lineRule="auto"/>
        <w:jc w:val="left"/>
        <w:rPr>
          <w:rFonts w:hint="eastAsia" w:ascii="宋体" w:hAnsi="宋体" w:eastAsia="宋体" w:cs="宋体"/>
          <w:szCs w:val="22"/>
          <w:highlight w:val="none"/>
        </w:rPr>
      </w:pPr>
    </w:p>
    <w:p w14:paraId="6A1F1400">
      <w:pPr>
        <w:widowControl/>
        <w:spacing w:beforeLines="0" w:afterLines="0" w:line="240" w:lineRule="auto"/>
        <w:jc w:val="left"/>
        <w:rPr>
          <w:rFonts w:hint="eastAsia" w:ascii="宋体" w:hAnsi="宋体" w:eastAsia="宋体" w:cs="宋体"/>
          <w:szCs w:val="22"/>
          <w:highlight w:val="none"/>
        </w:rPr>
      </w:pPr>
    </w:p>
    <w:p w14:paraId="44239FF8">
      <w:pPr>
        <w:widowControl/>
        <w:spacing w:beforeLines="0" w:afterLines="0" w:line="240" w:lineRule="auto"/>
        <w:jc w:val="left"/>
        <w:rPr>
          <w:rFonts w:hint="eastAsia" w:ascii="宋体" w:hAnsi="宋体" w:eastAsia="宋体" w:cs="宋体"/>
          <w:szCs w:val="22"/>
          <w:highlight w:val="none"/>
        </w:rPr>
      </w:pPr>
    </w:p>
    <w:p w14:paraId="2D86EA34">
      <w:pPr>
        <w:widowControl/>
        <w:spacing w:beforeLines="0" w:afterLines="0" w:line="240" w:lineRule="auto"/>
        <w:jc w:val="left"/>
        <w:rPr>
          <w:rFonts w:hint="eastAsia" w:ascii="宋体" w:hAnsi="宋体" w:eastAsia="宋体" w:cs="宋体"/>
          <w:szCs w:val="22"/>
          <w:highlight w:val="none"/>
        </w:rPr>
      </w:pPr>
    </w:p>
    <w:p w14:paraId="377A4BEC">
      <w:pPr>
        <w:widowControl/>
        <w:spacing w:beforeLines="0" w:afterLines="0" w:line="240" w:lineRule="auto"/>
        <w:jc w:val="left"/>
        <w:rPr>
          <w:rFonts w:hint="eastAsia" w:ascii="宋体" w:hAnsi="宋体" w:eastAsia="宋体" w:cs="宋体"/>
          <w:szCs w:val="22"/>
          <w:highlight w:val="none"/>
        </w:rPr>
      </w:pPr>
    </w:p>
    <w:p w14:paraId="41EF550C">
      <w:pPr>
        <w:widowControl/>
        <w:spacing w:beforeLines="0" w:afterLines="0" w:line="240" w:lineRule="auto"/>
        <w:jc w:val="left"/>
        <w:rPr>
          <w:rFonts w:hint="eastAsia" w:ascii="宋体" w:hAnsi="宋体" w:eastAsia="宋体" w:cs="宋体"/>
          <w:szCs w:val="22"/>
          <w:highlight w:val="none"/>
        </w:rPr>
      </w:pPr>
    </w:p>
    <w:p w14:paraId="10AAE1F9">
      <w:pPr>
        <w:widowControl/>
        <w:spacing w:beforeLines="0" w:afterLines="0" w:line="240" w:lineRule="auto"/>
        <w:jc w:val="left"/>
        <w:rPr>
          <w:rFonts w:hint="eastAsia" w:ascii="宋体" w:hAnsi="宋体" w:eastAsia="宋体" w:cs="宋体"/>
          <w:szCs w:val="22"/>
          <w:highlight w:val="none"/>
        </w:rPr>
      </w:pPr>
    </w:p>
    <w:p w14:paraId="705B5086">
      <w:pPr>
        <w:widowControl/>
        <w:spacing w:beforeLines="0" w:afterLines="0" w:line="240" w:lineRule="auto"/>
        <w:jc w:val="left"/>
        <w:rPr>
          <w:rFonts w:hint="eastAsia" w:ascii="宋体" w:hAnsi="宋体" w:eastAsia="宋体" w:cs="宋体"/>
          <w:szCs w:val="22"/>
          <w:highlight w:val="none"/>
        </w:rPr>
      </w:pPr>
    </w:p>
    <w:p w14:paraId="20225F30">
      <w:pPr>
        <w:widowControl/>
        <w:spacing w:beforeLines="0" w:afterLines="0" w:line="240" w:lineRule="auto"/>
        <w:jc w:val="left"/>
        <w:rPr>
          <w:rFonts w:hint="eastAsia" w:ascii="宋体" w:hAnsi="宋体" w:eastAsia="宋体" w:cs="宋体"/>
          <w:szCs w:val="22"/>
          <w:highlight w:val="none"/>
        </w:rPr>
      </w:pPr>
    </w:p>
    <w:p w14:paraId="116B81BE">
      <w:pPr>
        <w:widowControl/>
        <w:spacing w:beforeLines="0" w:afterLines="0" w:line="240" w:lineRule="auto"/>
        <w:jc w:val="left"/>
        <w:rPr>
          <w:rFonts w:hint="eastAsia" w:ascii="宋体" w:hAnsi="宋体" w:eastAsia="宋体" w:cs="宋体"/>
          <w:szCs w:val="22"/>
          <w:highlight w:val="none"/>
        </w:rPr>
      </w:pPr>
    </w:p>
    <w:p w14:paraId="41EBBC2A">
      <w:pPr>
        <w:widowControl/>
        <w:spacing w:beforeLines="0" w:afterLines="0" w:line="240" w:lineRule="auto"/>
        <w:jc w:val="left"/>
        <w:rPr>
          <w:rFonts w:hint="eastAsia" w:ascii="宋体" w:hAnsi="宋体" w:eastAsia="宋体" w:cs="宋体"/>
          <w:szCs w:val="22"/>
          <w:highlight w:val="none"/>
        </w:rPr>
      </w:pPr>
    </w:p>
    <w:p w14:paraId="03D1E98C">
      <w:pPr>
        <w:widowControl/>
        <w:spacing w:beforeLines="0" w:afterLines="0" w:line="240" w:lineRule="auto"/>
        <w:jc w:val="left"/>
        <w:rPr>
          <w:rFonts w:hint="eastAsia" w:ascii="宋体" w:hAnsi="宋体" w:eastAsia="宋体" w:cs="宋体"/>
          <w:szCs w:val="22"/>
          <w:highlight w:val="none"/>
        </w:rPr>
      </w:pPr>
    </w:p>
    <w:p w14:paraId="00ADF645">
      <w:pPr>
        <w:widowControl/>
        <w:spacing w:beforeLines="0" w:afterLines="0" w:line="240" w:lineRule="auto"/>
        <w:jc w:val="left"/>
        <w:rPr>
          <w:rFonts w:hint="eastAsia" w:ascii="宋体" w:hAnsi="宋体" w:eastAsia="宋体" w:cs="宋体"/>
          <w:szCs w:val="22"/>
          <w:highlight w:val="none"/>
        </w:rPr>
      </w:pPr>
    </w:p>
    <w:p w14:paraId="0F62038F">
      <w:pPr>
        <w:widowControl/>
        <w:spacing w:beforeLines="0" w:afterLines="0" w:line="240" w:lineRule="auto"/>
        <w:jc w:val="left"/>
        <w:rPr>
          <w:rFonts w:hint="eastAsia" w:ascii="宋体" w:hAnsi="宋体" w:eastAsia="宋体" w:cs="宋体"/>
          <w:szCs w:val="22"/>
          <w:highlight w:val="none"/>
        </w:rPr>
      </w:pPr>
    </w:p>
    <w:p w14:paraId="7393294B">
      <w:pPr>
        <w:widowControl/>
        <w:spacing w:beforeLines="0" w:afterLines="0" w:line="240" w:lineRule="auto"/>
        <w:jc w:val="left"/>
        <w:rPr>
          <w:rFonts w:hint="eastAsia" w:ascii="宋体" w:hAnsi="宋体" w:eastAsia="宋体" w:cs="宋体"/>
          <w:szCs w:val="22"/>
          <w:highlight w:val="none"/>
        </w:rPr>
      </w:pPr>
    </w:p>
    <w:p w14:paraId="50E0D6B4">
      <w:pPr>
        <w:widowControl/>
        <w:spacing w:beforeLines="0" w:afterLines="0" w:line="240" w:lineRule="auto"/>
        <w:jc w:val="left"/>
        <w:rPr>
          <w:rFonts w:hint="eastAsia" w:ascii="宋体" w:hAnsi="宋体" w:eastAsia="宋体" w:cs="宋体"/>
          <w:szCs w:val="22"/>
          <w:highlight w:val="none"/>
        </w:rPr>
      </w:pPr>
    </w:p>
    <w:p w14:paraId="705BD796">
      <w:pPr>
        <w:widowControl/>
        <w:spacing w:beforeLines="0" w:afterLines="0" w:line="240" w:lineRule="auto"/>
        <w:jc w:val="left"/>
        <w:rPr>
          <w:rFonts w:hint="eastAsia" w:ascii="宋体" w:hAnsi="宋体" w:eastAsia="宋体" w:cs="宋体"/>
          <w:szCs w:val="22"/>
          <w:highlight w:val="none"/>
        </w:rPr>
      </w:pPr>
    </w:p>
    <w:p w14:paraId="259522B5">
      <w:pPr>
        <w:widowControl/>
        <w:spacing w:beforeLines="0" w:afterLines="0" w:line="240" w:lineRule="auto"/>
        <w:jc w:val="left"/>
        <w:rPr>
          <w:rFonts w:hint="eastAsia" w:ascii="宋体" w:hAnsi="宋体" w:eastAsia="宋体" w:cs="宋体"/>
          <w:szCs w:val="22"/>
          <w:highlight w:val="none"/>
        </w:rPr>
      </w:pPr>
    </w:p>
    <w:p w14:paraId="29CF3603">
      <w:pPr>
        <w:widowControl/>
        <w:spacing w:beforeLines="0" w:afterLines="0" w:line="240" w:lineRule="auto"/>
        <w:jc w:val="left"/>
        <w:rPr>
          <w:rFonts w:hint="eastAsia" w:ascii="宋体" w:hAnsi="宋体" w:eastAsia="宋体" w:cs="宋体"/>
          <w:szCs w:val="22"/>
          <w:highlight w:val="none"/>
        </w:rPr>
      </w:pPr>
    </w:p>
    <w:p w14:paraId="06A603D0">
      <w:pPr>
        <w:widowControl/>
        <w:spacing w:beforeLines="0" w:afterLines="0" w:line="240" w:lineRule="auto"/>
        <w:jc w:val="left"/>
        <w:rPr>
          <w:rFonts w:hint="eastAsia" w:ascii="宋体" w:hAnsi="宋体" w:eastAsia="宋体" w:cs="宋体"/>
          <w:szCs w:val="22"/>
          <w:highlight w:val="none"/>
        </w:rPr>
      </w:pPr>
    </w:p>
    <w:p w14:paraId="493D6F23">
      <w:pPr>
        <w:widowControl/>
        <w:spacing w:beforeLines="0" w:afterLines="0" w:line="240" w:lineRule="auto"/>
        <w:jc w:val="left"/>
        <w:rPr>
          <w:rFonts w:hint="eastAsia" w:ascii="宋体" w:hAnsi="宋体" w:eastAsia="宋体" w:cs="宋体"/>
          <w:szCs w:val="22"/>
          <w:highlight w:val="none"/>
        </w:rPr>
      </w:pPr>
    </w:p>
    <w:p w14:paraId="153AF940">
      <w:pPr>
        <w:widowControl/>
        <w:spacing w:beforeLines="0" w:afterLines="0" w:line="240" w:lineRule="auto"/>
        <w:jc w:val="left"/>
        <w:rPr>
          <w:rFonts w:hint="eastAsia" w:ascii="宋体" w:hAnsi="宋体" w:eastAsia="宋体" w:cs="宋体"/>
          <w:szCs w:val="22"/>
          <w:highlight w:val="none"/>
        </w:rPr>
      </w:pPr>
    </w:p>
    <w:p w14:paraId="02E2BF19">
      <w:pPr>
        <w:widowControl/>
        <w:spacing w:beforeLines="-2147483648" w:afterLines="-2147483648" w:line="240" w:lineRule="auto"/>
        <w:jc w:val="left"/>
        <w:rPr>
          <w:rFonts w:hint="eastAsia" w:ascii="宋体" w:hAnsi="宋体" w:eastAsia="宋体" w:cs="宋体"/>
          <w:szCs w:val="22"/>
          <w:highlight w:val="none"/>
        </w:rPr>
      </w:pPr>
      <w:r>
        <w:rPr>
          <w:rFonts w:hint="eastAsia" w:ascii="宋体" w:hAnsi="宋体" w:eastAsia="宋体" w:cs="宋体"/>
          <w:szCs w:val="22"/>
          <w:highlight w:val="none"/>
        </w:rPr>
        <w:br w:type="page"/>
      </w:r>
    </w:p>
    <w:p w14:paraId="2F8D1B60">
      <w:pPr>
        <w:keepNext/>
        <w:keepLines/>
        <w:widowControl w:val="0"/>
        <w:adjustRightInd w:val="0"/>
        <w:snapToGrid w:val="0"/>
        <w:spacing w:before="0" w:beforeLines="0" w:after="0" w:afterLines="0" w:line="416" w:lineRule="auto"/>
        <w:ind w:firstLine="3373" w:firstLineChars="1400"/>
        <w:outlineLvl w:val="1"/>
        <w:rPr>
          <w:rFonts w:hint="eastAsia" w:ascii="宋体" w:hAnsi="宋体" w:eastAsia="宋体" w:cs="宋体"/>
          <w:b/>
          <w:bCs/>
          <w:kern w:val="0"/>
          <w:sz w:val="28"/>
          <w:szCs w:val="28"/>
          <w:highlight w:val="none"/>
          <w:lang w:val="en-US" w:eastAsia="zh-CN" w:bidi="ar-SA"/>
        </w:rPr>
      </w:pPr>
      <w:bookmarkStart w:id="896" w:name="_Toc534572433"/>
      <w:bookmarkStart w:id="897" w:name="_Toc62034593"/>
      <w:bookmarkStart w:id="898" w:name="_Toc25416"/>
      <w:bookmarkStart w:id="899" w:name="_Toc16500"/>
      <w:bookmarkStart w:id="900" w:name="_Toc30928"/>
      <w:bookmarkStart w:id="901" w:name="_Toc91345077"/>
      <w:r>
        <w:rPr>
          <w:rFonts w:hint="eastAsia" w:ascii="宋体" w:hAnsi="宋体" w:eastAsia="宋体" w:cs="宋体"/>
          <w:b/>
          <w:bCs/>
          <w:kern w:val="2"/>
          <w:sz w:val="24"/>
          <w:szCs w:val="24"/>
          <w:highlight w:val="none"/>
          <w:lang w:val="en-US" w:eastAsia="zh-CN" w:bidi="ar-SA"/>
        </w:rPr>
        <w:t>五、分项报价表</w:t>
      </w:r>
      <w:bookmarkEnd w:id="896"/>
      <w:bookmarkEnd w:id="897"/>
      <w:bookmarkEnd w:id="898"/>
      <w:bookmarkEnd w:id="899"/>
      <w:bookmarkEnd w:id="900"/>
      <w:bookmarkEnd w:id="901"/>
    </w:p>
    <w:p w14:paraId="0FC64475">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902" w:name="_Toc15581"/>
      <w:bookmarkStart w:id="903" w:name="_Toc8594"/>
      <w:bookmarkStart w:id="904" w:name="_Toc4650"/>
      <w:bookmarkStart w:id="905" w:name="_Toc3311"/>
      <w:r>
        <w:rPr>
          <w:rFonts w:hint="eastAsia" w:ascii="宋体" w:hAnsi="宋体" w:eastAsia="宋体" w:cs="宋体"/>
          <w:b/>
          <w:bCs/>
          <w:sz w:val="21"/>
          <w:szCs w:val="21"/>
          <w:highlight w:val="none"/>
        </w:rPr>
        <w:t>1.分项报价表说明</w:t>
      </w:r>
      <w:bookmarkEnd w:id="902"/>
      <w:bookmarkEnd w:id="903"/>
      <w:bookmarkEnd w:id="904"/>
      <w:bookmarkEnd w:id="905"/>
    </w:p>
    <w:p w14:paraId="4D6CF3D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1.1 分项报价表应与招标文件中的投标人须知、通用合同条款、专用合同条款、供货要求等一起阅读和理解。</w:t>
      </w:r>
    </w:p>
    <w:p w14:paraId="5F7DABF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1.2分项报价表中各项目的工作内容和要求应符合相关供货要求的规定。</w:t>
      </w:r>
    </w:p>
    <w:p w14:paraId="7DBFB73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1.3合同价款的支付遵循合同条款的约定。</w:t>
      </w:r>
    </w:p>
    <w:p w14:paraId="20274A2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1.4除招标文件另有约定外，投标人不得随意增加、删除或涂改招标文件分项报价表中的任何内容。分项报价表中列明的所有需要填写的单价和合价，投标人均应填写；未填写的单价和合价，视为已包括在分项报价表的其他单价和合价中。</w:t>
      </w:r>
    </w:p>
    <w:p w14:paraId="2FA26739">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1.5分项报价表中的单价是采购完成分项报价表中一个质量合格的产品所必需的设计、制造、工厂试验、包装、保险、运输和交货（不含工地卸货）以及生产产品所必需设备费、材料费、利润、保险和税金（增值税），并考虑到风险因素。</w:t>
      </w:r>
    </w:p>
    <w:p w14:paraId="12FB090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1.6投标金额（价格）均应以人民币表示，保留两位小数。</w:t>
      </w:r>
    </w:p>
    <w:p w14:paraId="443DCB4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1.7已标价工程量清单中每一个项目，都需填入单价及合价，且只允许有一个报价。</w:t>
      </w:r>
    </w:p>
    <w:p w14:paraId="15514D0C">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bookmarkStart w:id="906" w:name="_Toc62034594"/>
      <w:bookmarkStart w:id="907" w:name="_Toc54550875"/>
      <w:r>
        <w:rPr>
          <w:rFonts w:hint="eastAsia" w:ascii="宋体" w:hAnsi="宋体" w:eastAsia="宋体" w:cs="宋体"/>
          <w:sz w:val="21"/>
          <w:szCs w:val="21"/>
          <w:highlight w:val="none"/>
        </w:rPr>
        <w:t>1.8算术修正</w:t>
      </w:r>
      <w:bookmarkEnd w:id="906"/>
      <w:bookmarkEnd w:id="907"/>
      <w:r>
        <w:rPr>
          <w:rFonts w:hint="eastAsia" w:ascii="宋体" w:hAnsi="宋体" w:eastAsia="宋体" w:cs="宋体"/>
          <w:sz w:val="21"/>
          <w:szCs w:val="21"/>
          <w:highlight w:val="none"/>
        </w:rPr>
        <w:t xml:space="preserve"> </w:t>
      </w:r>
    </w:p>
    <w:p w14:paraId="588B9540">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1.8.1 报价有算术错误的，评审小组按以下原则对报价进行修正，修正的价格经投标人确认后具有约束力。卖方不接受修正价格的，评审小组应否决其投标； </w:t>
      </w:r>
    </w:p>
    <w:p w14:paraId="25D3E3A1">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(1)总价中的大写金额与小写金额不一致的，以大写金额为准； </w:t>
      </w:r>
    </w:p>
    <w:p w14:paraId="1320AE2B">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(2)总价金额与依据单价计算出的结果不一致的，以单价金额为准修正总价，但单价金额小数点有明显错误的除外； </w:t>
      </w:r>
    </w:p>
    <w:p w14:paraId="76926A92">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(3)当单价与数量相乗不等于合价时，以单价计算为准，如果单价有明显的小数点位置差错，应以标出的合价为准，同时对单价予以修正； </w:t>
      </w:r>
    </w:p>
    <w:p w14:paraId="08ECEE5E">
      <w:pPr>
        <w:widowControl/>
        <w:adjustRightInd w:val="0"/>
        <w:snapToGrid w:val="0"/>
        <w:spacing w:beforeLines="0" w:afterLines="0" w:line="360" w:lineRule="auto"/>
        <w:ind w:firstLine="420" w:firstLineChars="20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(4)当各子目的合价累计不等于总价时，应以各子目合价累计数为准，修正总价。 </w:t>
      </w:r>
    </w:p>
    <w:p w14:paraId="542491CC">
      <w:pPr>
        <w:widowControl/>
        <w:adjustRightInd w:val="0"/>
        <w:snapToGrid w:val="0"/>
        <w:spacing w:beforeLines="0" w:afterLines="0" w:line="360" w:lineRule="auto"/>
        <w:ind w:firstLine="420" w:firstLineChars="200"/>
        <w:jc w:val="both"/>
        <w:rPr>
          <w:rFonts w:hint="eastAsia" w:ascii="宋体" w:hAnsi="宋体" w:eastAsia="宋体" w:cs="宋体"/>
          <w:sz w:val="24"/>
          <w:szCs w:val="24"/>
          <w:highlight w:val="none"/>
        </w:rPr>
      </w:pPr>
      <w:r>
        <w:rPr>
          <w:rFonts w:hint="eastAsia" w:ascii="宋体" w:hAnsi="宋体" w:eastAsia="宋体" w:cs="宋体"/>
          <w:sz w:val="21"/>
          <w:szCs w:val="21"/>
          <w:highlight w:val="none"/>
        </w:rPr>
        <w:t>1.8.2修正后的最终报价若超过最高投标限价(如有)，评审小组应否决其投标</w:t>
      </w:r>
      <w:r>
        <w:rPr>
          <w:rFonts w:hint="eastAsia" w:ascii="宋体" w:hAnsi="宋体" w:eastAsia="宋体" w:cs="宋体"/>
          <w:sz w:val="24"/>
          <w:szCs w:val="24"/>
          <w:highlight w:val="none"/>
        </w:rPr>
        <w:t>。</w:t>
      </w:r>
    </w:p>
    <w:p w14:paraId="37845B34">
      <w:pPr>
        <w:widowControl/>
        <w:adjustRightInd/>
        <w:snapToGrid/>
        <w:spacing w:beforeLines="-2147483648" w:afterLines="-2147483648" w:line="240" w:lineRule="auto"/>
        <w:jc w:val="left"/>
        <w:outlineLvl w:val="9"/>
        <w:rPr>
          <w:rFonts w:hint="eastAsia" w:ascii="宋体" w:hAnsi="宋体" w:eastAsia="宋体" w:cs="宋体"/>
          <w:b/>
          <w:sz w:val="24"/>
          <w:szCs w:val="24"/>
          <w:highlight w:val="none"/>
        </w:rPr>
      </w:pPr>
      <w:bookmarkStart w:id="908" w:name="_Toc215"/>
      <w:r>
        <w:rPr>
          <w:rFonts w:hint="eastAsia" w:ascii="宋体" w:hAnsi="宋体" w:eastAsia="宋体" w:cs="宋体"/>
          <w:b/>
          <w:sz w:val="24"/>
          <w:szCs w:val="24"/>
          <w:highlight w:val="none"/>
        </w:rPr>
        <w:br w:type="page"/>
      </w:r>
    </w:p>
    <w:p w14:paraId="6758EE39">
      <w:pPr>
        <w:widowControl/>
        <w:adjustRightInd w:val="0"/>
        <w:snapToGrid w:val="0"/>
        <w:spacing w:beforeLines="0" w:afterLines="0" w:line="360" w:lineRule="auto"/>
        <w:ind w:firstLine="422" w:firstLineChars="200"/>
        <w:jc w:val="both"/>
        <w:outlineLvl w:val="9"/>
        <w:rPr>
          <w:rFonts w:hint="eastAsia" w:ascii="宋体" w:hAnsi="宋体" w:eastAsia="宋体" w:cs="宋体"/>
          <w:b/>
          <w:bCs/>
          <w:sz w:val="21"/>
          <w:szCs w:val="21"/>
          <w:highlight w:val="none"/>
        </w:rPr>
      </w:pPr>
      <w:bookmarkStart w:id="909" w:name="_Toc12473"/>
      <w:bookmarkStart w:id="910" w:name="_Toc11380"/>
      <w:bookmarkStart w:id="911" w:name="_Toc4671"/>
      <w:r>
        <w:rPr>
          <w:rFonts w:hint="eastAsia" w:ascii="宋体" w:hAnsi="宋体" w:eastAsia="宋体" w:cs="宋体"/>
          <w:b/>
          <w:bCs/>
          <w:sz w:val="21"/>
          <w:szCs w:val="21"/>
          <w:highlight w:val="none"/>
        </w:rPr>
        <w:t>2.分项报价表</w:t>
      </w:r>
      <w:bookmarkEnd w:id="908"/>
      <w:bookmarkEnd w:id="909"/>
      <w:bookmarkEnd w:id="910"/>
      <w:bookmarkEnd w:id="911"/>
    </w:p>
    <w:p w14:paraId="5F9621B2">
      <w:pPr>
        <w:widowControl/>
        <w:overflowPunct w:val="0"/>
        <w:adjustRightInd w:val="0"/>
        <w:snapToGrid w:val="0"/>
        <w:spacing w:beforeLines="0" w:afterLines="0" w:line="240" w:lineRule="auto"/>
        <w:jc w:val="right"/>
        <w:rPr>
          <w:rFonts w:hint="eastAsia" w:ascii="宋体" w:hAnsi="宋体" w:eastAsia="宋体" w:cs="宋体"/>
          <w:b/>
          <w:sz w:val="21"/>
          <w:szCs w:val="21"/>
          <w:highlight w:val="none"/>
        </w:rPr>
      </w:pPr>
      <w:r>
        <w:rPr>
          <w:rFonts w:hint="eastAsia" w:ascii="宋体" w:hAnsi="宋体" w:eastAsia="宋体" w:cs="宋体"/>
          <w:b/>
          <w:sz w:val="21"/>
          <w:szCs w:val="21"/>
          <w:highlight w:val="none"/>
        </w:rPr>
        <w:t>单位：人民币元</w:t>
      </w:r>
    </w:p>
    <w:tbl>
      <w:tblPr>
        <w:tblStyle w:val="2"/>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34"/>
        <w:gridCol w:w="3609"/>
        <w:gridCol w:w="976"/>
        <w:gridCol w:w="891"/>
        <w:gridCol w:w="933"/>
        <w:gridCol w:w="1006"/>
        <w:gridCol w:w="768"/>
      </w:tblGrid>
      <w:tr w14:paraId="0022F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0F49A897">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编号</w:t>
            </w:r>
          </w:p>
        </w:tc>
        <w:tc>
          <w:tcPr>
            <w:tcW w:w="3609" w:type="dxa"/>
            <w:shd w:val="clear" w:color="auto" w:fill="FFFFFF"/>
            <w:noWrap w:val="0"/>
            <w:tcMar>
              <w:top w:w="15" w:type="dxa"/>
              <w:left w:w="15" w:type="dxa"/>
              <w:right w:w="15" w:type="dxa"/>
            </w:tcMar>
            <w:vAlign w:val="center"/>
          </w:tcPr>
          <w:p w14:paraId="0BF3452F">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项目或费用名称</w:t>
            </w:r>
          </w:p>
        </w:tc>
        <w:tc>
          <w:tcPr>
            <w:tcW w:w="976" w:type="dxa"/>
            <w:shd w:val="clear" w:color="auto" w:fill="FFFFFF"/>
            <w:noWrap w:val="0"/>
            <w:tcMar>
              <w:top w:w="15" w:type="dxa"/>
              <w:left w:w="15" w:type="dxa"/>
              <w:right w:w="15" w:type="dxa"/>
            </w:tcMar>
            <w:vAlign w:val="center"/>
          </w:tcPr>
          <w:p w14:paraId="2C573EB4">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计量单位</w:t>
            </w:r>
          </w:p>
        </w:tc>
        <w:tc>
          <w:tcPr>
            <w:tcW w:w="891" w:type="dxa"/>
            <w:shd w:val="clear" w:color="auto" w:fill="FFFFFF"/>
            <w:noWrap w:val="0"/>
            <w:tcMar>
              <w:top w:w="15" w:type="dxa"/>
              <w:left w:w="15" w:type="dxa"/>
              <w:right w:w="15" w:type="dxa"/>
            </w:tcMar>
            <w:vAlign w:val="center"/>
          </w:tcPr>
          <w:p w14:paraId="1E014A4B">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数量</w:t>
            </w:r>
          </w:p>
        </w:tc>
        <w:tc>
          <w:tcPr>
            <w:tcW w:w="933" w:type="dxa"/>
            <w:shd w:val="clear" w:color="auto" w:fill="FFFFFF"/>
            <w:noWrap w:val="0"/>
            <w:tcMar>
              <w:top w:w="15" w:type="dxa"/>
              <w:left w:w="15" w:type="dxa"/>
              <w:right w:w="15" w:type="dxa"/>
            </w:tcMar>
            <w:vAlign w:val="center"/>
          </w:tcPr>
          <w:p w14:paraId="2366020A">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单价(元)</w:t>
            </w:r>
          </w:p>
        </w:tc>
        <w:tc>
          <w:tcPr>
            <w:tcW w:w="1006" w:type="dxa"/>
            <w:shd w:val="clear" w:color="auto" w:fill="FFFFFF"/>
            <w:noWrap w:val="0"/>
            <w:tcMar>
              <w:top w:w="15" w:type="dxa"/>
              <w:left w:w="15" w:type="dxa"/>
              <w:right w:w="15" w:type="dxa"/>
            </w:tcMar>
            <w:vAlign w:val="center"/>
          </w:tcPr>
          <w:p w14:paraId="0835E5E5">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合价(元)</w:t>
            </w:r>
          </w:p>
        </w:tc>
        <w:tc>
          <w:tcPr>
            <w:tcW w:w="768" w:type="dxa"/>
            <w:shd w:val="clear" w:color="auto" w:fill="FFFFFF"/>
            <w:noWrap w:val="0"/>
            <w:tcMar>
              <w:top w:w="15" w:type="dxa"/>
              <w:left w:w="15" w:type="dxa"/>
              <w:right w:w="15" w:type="dxa"/>
            </w:tcMar>
            <w:vAlign w:val="center"/>
          </w:tcPr>
          <w:p w14:paraId="516556C5">
            <w:pPr>
              <w:widowControl/>
              <w:spacing w:beforeLines="0" w:afterLines="0" w:line="240" w:lineRule="auto"/>
              <w:jc w:val="center"/>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备注</w:t>
            </w:r>
          </w:p>
        </w:tc>
      </w:tr>
      <w:tr w14:paraId="4181E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4EF6D4A6">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4A745144">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6F7D5513">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435FBA2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76CF2187">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691BC0C4">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5E1253D4">
            <w:pPr>
              <w:widowControl/>
              <w:spacing w:beforeLines="0" w:afterLines="0" w:line="240" w:lineRule="auto"/>
              <w:jc w:val="center"/>
              <w:rPr>
                <w:rFonts w:hint="eastAsia" w:ascii="宋体" w:hAnsi="宋体" w:eastAsia="宋体" w:cs="宋体"/>
                <w:b w:val="0"/>
                <w:bCs/>
                <w:sz w:val="21"/>
                <w:szCs w:val="21"/>
                <w:highlight w:val="none"/>
              </w:rPr>
            </w:pPr>
          </w:p>
        </w:tc>
      </w:tr>
      <w:tr w14:paraId="5768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7461450C">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02E303ED">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0C338C28">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3244C386">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0F6B8979">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770F5804">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13AF6DEF">
            <w:pPr>
              <w:widowControl/>
              <w:spacing w:beforeLines="0" w:afterLines="0" w:line="240" w:lineRule="auto"/>
              <w:jc w:val="center"/>
              <w:rPr>
                <w:rFonts w:hint="eastAsia" w:ascii="宋体" w:hAnsi="宋体" w:eastAsia="宋体" w:cs="宋体"/>
                <w:b w:val="0"/>
                <w:bCs/>
                <w:sz w:val="21"/>
                <w:szCs w:val="21"/>
                <w:highlight w:val="none"/>
              </w:rPr>
            </w:pPr>
          </w:p>
        </w:tc>
      </w:tr>
      <w:tr w14:paraId="4224C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5C182D5B">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134043EC">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5190BB0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5FBE5BA2">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466F149F">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C1BC5CD">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15CAD5A7">
            <w:pPr>
              <w:widowControl/>
              <w:spacing w:beforeLines="0" w:afterLines="0" w:line="240" w:lineRule="auto"/>
              <w:jc w:val="center"/>
              <w:rPr>
                <w:rFonts w:hint="eastAsia" w:ascii="宋体" w:hAnsi="宋体" w:eastAsia="宋体" w:cs="宋体"/>
                <w:b w:val="0"/>
                <w:bCs/>
                <w:sz w:val="21"/>
                <w:szCs w:val="21"/>
                <w:highlight w:val="none"/>
              </w:rPr>
            </w:pPr>
          </w:p>
        </w:tc>
      </w:tr>
      <w:tr w14:paraId="6DD88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1034" w:type="dxa"/>
            <w:shd w:val="clear" w:color="auto" w:fill="FFFFFF"/>
            <w:noWrap w:val="0"/>
            <w:tcMar>
              <w:top w:w="15" w:type="dxa"/>
              <w:left w:w="15" w:type="dxa"/>
              <w:right w:w="15" w:type="dxa"/>
            </w:tcMar>
            <w:vAlign w:val="center"/>
          </w:tcPr>
          <w:p w14:paraId="616A6051">
            <w:pPr>
              <w:widowControl/>
              <w:spacing w:beforeLines="0" w:afterLines="0" w:line="240" w:lineRule="auto"/>
              <w:jc w:val="center"/>
              <w:rPr>
                <w:rFonts w:hint="eastAsia" w:ascii="宋体" w:hAnsi="宋体" w:eastAsia="宋体" w:cs="宋体"/>
                <w:b w:val="0"/>
                <w:bCs/>
                <w:sz w:val="21"/>
                <w:szCs w:val="21"/>
                <w:highlight w:val="none"/>
              </w:rPr>
            </w:pPr>
          </w:p>
        </w:tc>
        <w:tc>
          <w:tcPr>
            <w:tcW w:w="3609" w:type="dxa"/>
            <w:shd w:val="clear" w:color="auto" w:fill="FFFFFF"/>
            <w:noWrap w:val="0"/>
            <w:tcMar>
              <w:top w:w="15" w:type="dxa"/>
              <w:left w:w="15" w:type="dxa"/>
              <w:right w:w="15" w:type="dxa"/>
            </w:tcMar>
            <w:vAlign w:val="center"/>
          </w:tcPr>
          <w:p w14:paraId="08E29FA7">
            <w:pPr>
              <w:widowControl/>
              <w:spacing w:beforeLines="0" w:afterLines="0" w:line="240" w:lineRule="auto"/>
              <w:jc w:val="center"/>
              <w:rPr>
                <w:rFonts w:hint="eastAsia" w:ascii="宋体" w:hAnsi="宋体" w:eastAsia="宋体" w:cs="宋体"/>
                <w:b w:val="0"/>
                <w:bCs/>
                <w:sz w:val="21"/>
                <w:szCs w:val="21"/>
                <w:highlight w:val="none"/>
              </w:rPr>
            </w:pPr>
          </w:p>
        </w:tc>
        <w:tc>
          <w:tcPr>
            <w:tcW w:w="976" w:type="dxa"/>
            <w:shd w:val="clear" w:color="auto" w:fill="FFFFFF"/>
            <w:noWrap w:val="0"/>
            <w:tcMar>
              <w:top w:w="15" w:type="dxa"/>
              <w:left w:w="15" w:type="dxa"/>
              <w:right w:w="15" w:type="dxa"/>
            </w:tcMar>
            <w:vAlign w:val="center"/>
          </w:tcPr>
          <w:p w14:paraId="7005255D">
            <w:pPr>
              <w:widowControl/>
              <w:spacing w:beforeLines="0" w:afterLines="0" w:line="240" w:lineRule="auto"/>
              <w:jc w:val="center"/>
              <w:rPr>
                <w:rFonts w:hint="eastAsia" w:ascii="宋体" w:hAnsi="宋体" w:eastAsia="宋体" w:cs="宋体"/>
                <w:b w:val="0"/>
                <w:bCs/>
                <w:sz w:val="21"/>
                <w:szCs w:val="21"/>
                <w:highlight w:val="none"/>
              </w:rPr>
            </w:pPr>
          </w:p>
        </w:tc>
        <w:tc>
          <w:tcPr>
            <w:tcW w:w="891" w:type="dxa"/>
            <w:shd w:val="clear" w:color="auto" w:fill="FFFFFF"/>
            <w:noWrap w:val="0"/>
            <w:tcMar>
              <w:top w:w="15" w:type="dxa"/>
              <w:left w:w="15" w:type="dxa"/>
              <w:right w:w="15" w:type="dxa"/>
            </w:tcMar>
            <w:vAlign w:val="center"/>
          </w:tcPr>
          <w:p w14:paraId="72C1E462">
            <w:pPr>
              <w:widowControl/>
              <w:spacing w:beforeLines="0" w:afterLines="0" w:line="240" w:lineRule="auto"/>
              <w:jc w:val="center"/>
              <w:rPr>
                <w:rFonts w:hint="eastAsia" w:ascii="宋体" w:hAnsi="宋体" w:eastAsia="宋体" w:cs="宋体"/>
                <w:b w:val="0"/>
                <w:bCs/>
                <w:sz w:val="21"/>
                <w:szCs w:val="21"/>
                <w:highlight w:val="none"/>
              </w:rPr>
            </w:pPr>
          </w:p>
        </w:tc>
        <w:tc>
          <w:tcPr>
            <w:tcW w:w="933" w:type="dxa"/>
            <w:shd w:val="clear" w:color="auto" w:fill="FFFFFF"/>
            <w:noWrap w:val="0"/>
            <w:tcMar>
              <w:top w:w="15" w:type="dxa"/>
              <w:left w:w="15" w:type="dxa"/>
              <w:right w:w="15" w:type="dxa"/>
            </w:tcMar>
            <w:vAlign w:val="center"/>
          </w:tcPr>
          <w:p w14:paraId="34AC7A60">
            <w:pPr>
              <w:widowControl/>
              <w:spacing w:beforeLines="0" w:afterLines="0" w:line="240" w:lineRule="auto"/>
              <w:jc w:val="center"/>
              <w:rPr>
                <w:rFonts w:hint="eastAsia" w:ascii="宋体" w:hAnsi="宋体" w:eastAsia="宋体" w:cs="宋体"/>
                <w:b w:val="0"/>
                <w:bCs/>
                <w:sz w:val="21"/>
                <w:szCs w:val="21"/>
                <w:highlight w:val="none"/>
              </w:rPr>
            </w:pPr>
          </w:p>
        </w:tc>
        <w:tc>
          <w:tcPr>
            <w:tcW w:w="1006" w:type="dxa"/>
            <w:shd w:val="clear" w:color="auto" w:fill="FFFFFF"/>
            <w:noWrap w:val="0"/>
            <w:tcMar>
              <w:top w:w="15" w:type="dxa"/>
              <w:left w:w="15" w:type="dxa"/>
              <w:right w:w="15" w:type="dxa"/>
            </w:tcMar>
            <w:vAlign w:val="center"/>
          </w:tcPr>
          <w:p w14:paraId="4C077AD5">
            <w:pPr>
              <w:widowControl/>
              <w:spacing w:beforeLines="0" w:afterLines="0" w:line="240" w:lineRule="auto"/>
              <w:jc w:val="center"/>
              <w:rPr>
                <w:rFonts w:hint="eastAsia" w:ascii="宋体" w:hAnsi="宋体" w:eastAsia="宋体" w:cs="宋体"/>
                <w:b w:val="0"/>
                <w:bCs/>
                <w:sz w:val="21"/>
                <w:szCs w:val="21"/>
                <w:highlight w:val="none"/>
              </w:rPr>
            </w:pPr>
          </w:p>
        </w:tc>
        <w:tc>
          <w:tcPr>
            <w:tcW w:w="768" w:type="dxa"/>
            <w:shd w:val="clear" w:color="auto" w:fill="FFFFFF"/>
            <w:noWrap w:val="0"/>
            <w:tcMar>
              <w:top w:w="15" w:type="dxa"/>
              <w:left w:w="15" w:type="dxa"/>
              <w:right w:w="15" w:type="dxa"/>
            </w:tcMar>
            <w:vAlign w:val="center"/>
          </w:tcPr>
          <w:p w14:paraId="7BB3C451">
            <w:pPr>
              <w:widowControl/>
              <w:spacing w:beforeLines="0" w:afterLines="0" w:line="240" w:lineRule="auto"/>
              <w:jc w:val="center"/>
              <w:rPr>
                <w:rFonts w:hint="eastAsia" w:ascii="宋体" w:hAnsi="宋体" w:eastAsia="宋体" w:cs="宋体"/>
                <w:b w:val="0"/>
                <w:bCs/>
                <w:sz w:val="21"/>
                <w:szCs w:val="21"/>
                <w:highlight w:val="none"/>
              </w:rPr>
            </w:pPr>
          </w:p>
        </w:tc>
      </w:tr>
      <w:tr w14:paraId="6FA0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217" w:type="dxa"/>
            <w:gridSpan w:val="7"/>
            <w:shd w:val="clear" w:color="auto" w:fill="FFFFFF"/>
            <w:noWrap w:val="0"/>
            <w:tcMar>
              <w:top w:w="15" w:type="dxa"/>
              <w:left w:w="15" w:type="dxa"/>
              <w:right w:w="15" w:type="dxa"/>
            </w:tcMar>
            <w:vAlign w:val="center"/>
          </w:tcPr>
          <w:p w14:paraId="0020DEF1">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合计报价（小写）：</w:t>
            </w:r>
          </w:p>
        </w:tc>
      </w:tr>
      <w:tr w14:paraId="6E844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84" w:hRule="atLeast"/>
          <w:jc w:val="center"/>
        </w:trPr>
        <w:tc>
          <w:tcPr>
            <w:tcW w:w="9217" w:type="dxa"/>
            <w:gridSpan w:val="7"/>
            <w:shd w:val="clear" w:color="auto" w:fill="FFFFFF"/>
            <w:noWrap w:val="0"/>
            <w:tcMar>
              <w:top w:w="15" w:type="dxa"/>
              <w:left w:w="15" w:type="dxa"/>
              <w:right w:w="15" w:type="dxa"/>
            </w:tcMar>
            <w:vAlign w:val="center"/>
          </w:tcPr>
          <w:p w14:paraId="45A5E97E">
            <w:pPr>
              <w:widowControl/>
              <w:spacing w:beforeLines="0" w:afterLines="0" w:line="240" w:lineRule="auto"/>
              <w:jc w:val="lef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合计报价（大写）：</w:t>
            </w:r>
          </w:p>
        </w:tc>
      </w:tr>
    </w:tbl>
    <w:p w14:paraId="574950DA">
      <w:pPr>
        <w:widowControl/>
        <w:spacing w:beforeLines="0" w:afterLines="0" w:line="240" w:lineRule="auto"/>
        <w:ind w:firstLine="0" w:firstLineChars="0"/>
        <w:jc w:val="left"/>
        <w:rPr>
          <w:rFonts w:hint="eastAsia" w:ascii="宋体" w:hAnsi="宋体" w:eastAsia="宋体" w:cs="宋体"/>
          <w:sz w:val="24"/>
          <w:szCs w:val="24"/>
          <w:highlight w:val="none"/>
        </w:rPr>
      </w:pPr>
    </w:p>
    <w:p w14:paraId="59F28191">
      <w:pPr>
        <w:widowControl/>
        <w:adjustRightInd w:val="0"/>
        <w:snapToGrid w:val="0"/>
        <w:spacing w:beforeLines="0" w:afterLines="0" w:line="360" w:lineRule="auto"/>
        <w:jc w:val="both"/>
        <w:outlineLvl w:val="9"/>
        <w:rPr>
          <w:rFonts w:hint="eastAsia" w:ascii="宋体" w:hAnsi="宋体" w:eastAsia="宋体" w:cs="宋体"/>
          <w:b/>
          <w:sz w:val="24"/>
          <w:szCs w:val="24"/>
          <w:highlight w:val="none"/>
        </w:rPr>
      </w:pPr>
      <w:bookmarkStart w:id="912" w:name="_Toc91345078"/>
      <w:r>
        <w:rPr>
          <w:rFonts w:hint="eastAsia" w:ascii="宋体" w:hAnsi="宋体" w:eastAsia="宋体" w:cs="宋体"/>
          <w:b/>
          <w:sz w:val="24"/>
          <w:szCs w:val="24"/>
          <w:highlight w:val="none"/>
        </w:rPr>
        <w:br w:type="page"/>
      </w:r>
      <w:bookmarkStart w:id="913" w:name="_Toc13110"/>
      <w:bookmarkStart w:id="914" w:name="_Toc24478"/>
      <w:bookmarkStart w:id="915" w:name="_Toc19288"/>
      <w:bookmarkStart w:id="916" w:name="_Toc13635"/>
      <w:r>
        <w:rPr>
          <w:rFonts w:hint="eastAsia" w:ascii="宋体" w:hAnsi="宋体" w:eastAsia="宋体" w:cs="宋体"/>
          <w:b/>
          <w:sz w:val="24"/>
          <w:szCs w:val="24"/>
          <w:highlight w:val="none"/>
        </w:rPr>
        <w:t>3.单价分析表</w:t>
      </w:r>
      <w:bookmarkEnd w:id="912"/>
      <w:bookmarkEnd w:id="913"/>
      <w:bookmarkEnd w:id="914"/>
      <w:bookmarkEnd w:id="915"/>
      <w:bookmarkEnd w:id="916"/>
    </w:p>
    <w:p w14:paraId="23558BC6">
      <w:pPr>
        <w:widowControl/>
        <w:tabs>
          <w:tab w:val="left" w:pos="140"/>
        </w:tabs>
        <w:spacing w:beforeLines="0" w:afterLines="0" w:line="360" w:lineRule="auto"/>
        <w:ind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投标人应按下列表格格式编制设备清单中主要项目的单价分析表，每种单价一份，项目名称应与设备清单一致。</w:t>
      </w:r>
    </w:p>
    <w:p w14:paraId="2283090E">
      <w:pPr>
        <w:widowControl w:val="0"/>
        <w:adjustRightInd w:val="0"/>
        <w:spacing w:beforeLines="0" w:afterLines="0" w:line="24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单 价 分 析 表</w:t>
      </w:r>
    </w:p>
    <w:p w14:paraId="5E8475EF">
      <w:pPr>
        <w:widowControl w:val="0"/>
        <w:adjustRightInd w:val="0"/>
        <w:spacing w:beforeLines="0" w:afterLines="0" w:line="360" w:lineRule="auto"/>
        <w:ind w:firstLine="0" w:firstLineChars="0"/>
        <w:jc w:val="both"/>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设备名称：                                设备单价：</w:t>
      </w:r>
    </w:p>
    <w:tbl>
      <w:tblPr>
        <w:tblStyle w:val="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5"/>
        <w:gridCol w:w="7"/>
        <w:gridCol w:w="1693"/>
        <w:gridCol w:w="912"/>
        <w:gridCol w:w="1464"/>
        <w:gridCol w:w="1245"/>
        <w:gridCol w:w="1245"/>
        <w:gridCol w:w="1302"/>
      </w:tblGrid>
      <w:tr w14:paraId="4575A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12" w:space="0"/>
              <w:bottom w:val="single" w:color="auto" w:sz="6" w:space="0"/>
            </w:tcBorders>
            <w:noWrap w:val="0"/>
            <w:vAlign w:val="center"/>
          </w:tcPr>
          <w:p w14:paraId="6EDB76C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序号</w:t>
            </w:r>
          </w:p>
        </w:tc>
        <w:tc>
          <w:tcPr>
            <w:tcW w:w="1693" w:type="dxa"/>
            <w:tcBorders>
              <w:top w:val="single" w:color="auto" w:sz="12" w:space="0"/>
              <w:bottom w:val="single" w:color="auto" w:sz="6" w:space="0"/>
            </w:tcBorders>
            <w:noWrap w:val="0"/>
            <w:vAlign w:val="center"/>
          </w:tcPr>
          <w:p w14:paraId="73045BBE">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项目及规格</w:t>
            </w:r>
          </w:p>
        </w:tc>
        <w:tc>
          <w:tcPr>
            <w:tcW w:w="912" w:type="dxa"/>
            <w:tcBorders>
              <w:top w:val="single" w:color="auto" w:sz="12" w:space="0"/>
              <w:bottom w:val="single" w:color="auto" w:sz="6" w:space="0"/>
            </w:tcBorders>
            <w:noWrap w:val="0"/>
            <w:vAlign w:val="center"/>
          </w:tcPr>
          <w:p w14:paraId="366CCF0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w:t>
            </w:r>
          </w:p>
        </w:tc>
        <w:tc>
          <w:tcPr>
            <w:tcW w:w="1464" w:type="dxa"/>
            <w:tcBorders>
              <w:top w:val="single" w:color="auto" w:sz="12" w:space="0"/>
              <w:bottom w:val="single" w:color="auto" w:sz="6" w:space="0"/>
            </w:tcBorders>
            <w:noWrap w:val="0"/>
            <w:vAlign w:val="center"/>
          </w:tcPr>
          <w:p w14:paraId="2C05D57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单价（元）</w:t>
            </w:r>
          </w:p>
        </w:tc>
        <w:tc>
          <w:tcPr>
            <w:tcW w:w="1245" w:type="dxa"/>
            <w:tcBorders>
              <w:top w:val="single" w:color="auto" w:sz="12" w:space="0"/>
              <w:bottom w:val="single" w:color="auto" w:sz="6" w:space="0"/>
            </w:tcBorders>
            <w:noWrap w:val="0"/>
            <w:vAlign w:val="center"/>
          </w:tcPr>
          <w:p w14:paraId="400F219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耗用数量</w:t>
            </w:r>
          </w:p>
        </w:tc>
        <w:tc>
          <w:tcPr>
            <w:tcW w:w="1245" w:type="dxa"/>
            <w:tcBorders>
              <w:top w:val="single" w:color="auto" w:sz="12" w:space="0"/>
              <w:bottom w:val="single" w:color="auto" w:sz="6" w:space="0"/>
            </w:tcBorders>
            <w:noWrap w:val="0"/>
            <w:vAlign w:val="center"/>
          </w:tcPr>
          <w:p w14:paraId="04DF339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合计（元）</w:t>
            </w:r>
          </w:p>
        </w:tc>
        <w:tc>
          <w:tcPr>
            <w:tcW w:w="1302" w:type="dxa"/>
            <w:tcBorders>
              <w:top w:val="single" w:color="auto" w:sz="12" w:space="0"/>
              <w:bottom w:val="single" w:color="auto" w:sz="6" w:space="0"/>
            </w:tcBorders>
            <w:noWrap w:val="0"/>
            <w:vAlign w:val="center"/>
          </w:tcPr>
          <w:p w14:paraId="20803FDA">
            <w:pPr>
              <w:tabs>
                <w:tab w:val="left" w:pos="140"/>
              </w:tabs>
              <w:spacing w:beforeLines="0" w:afterLines="0" w:line="360" w:lineRule="auto"/>
              <w:ind w:left="0" w:leftChars="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备注</w:t>
            </w:r>
          </w:p>
        </w:tc>
      </w:tr>
      <w:tr w14:paraId="7A5506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5332C80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1</w:t>
            </w:r>
          </w:p>
        </w:tc>
        <w:tc>
          <w:tcPr>
            <w:tcW w:w="1693" w:type="dxa"/>
            <w:tcBorders>
              <w:top w:val="single" w:color="auto" w:sz="6" w:space="0"/>
              <w:bottom w:val="single" w:color="auto" w:sz="6" w:space="0"/>
            </w:tcBorders>
            <w:noWrap w:val="0"/>
            <w:vAlign w:val="center"/>
          </w:tcPr>
          <w:p w14:paraId="553F0B4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01C944AF">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04775CC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20E316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91499F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146DC99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B31E2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72D75F6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2</w:t>
            </w:r>
          </w:p>
        </w:tc>
        <w:tc>
          <w:tcPr>
            <w:tcW w:w="1693" w:type="dxa"/>
            <w:tcBorders>
              <w:top w:val="single" w:color="auto" w:sz="6" w:space="0"/>
              <w:bottom w:val="single" w:color="auto" w:sz="6" w:space="0"/>
            </w:tcBorders>
            <w:noWrap w:val="0"/>
            <w:vAlign w:val="center"/>
          </w:tcPr>
          <w:p w14:paraId="4AA0146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1B3B995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436927D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4CFBC47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1E2013E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022F21B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409FFE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45D28A8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3</w:t>
            </w:r>
          </w:p>
        </w:tc>
        <w:tc>
          <w:tcPr>
            <w:tcW w:w="1693" w:type="dxa"/>
            <w:tcBorders>
              <w:top w:val="single" w:color="auto" w:sz="6" w:space="0"/>
              <w:bottom w:val="single" w:color="auto" w:sz="6" w:space="0"/>
            </w:tcBorders>
            <w:noWrap w:val="0"/>
            <w:vAlign w:val="center"/>
          </w:tcPr>
          <w:p w14:paraId="6EC64CFD">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2417377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1FB7DD7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5070E276">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F398BB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77E4E590">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7D4734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12" w:type="dxa"/>
            <w:gridSpan w:val="2"/>
            <w:tcBorders>
              <w:top w:val="single" w:color="auto" w:sz="6" w:space="0"/>
              <w:bottom w:val="single" w:color="auto" w:sz="6" w:space="0"/>
            </w:tcBorders>
            <w:noWrap w:val="0"/>
            <w:vAlign w:val="center"/>
          </w:tcPr>
          <w:p w14:paraId="2F4C9DC2">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4</w:t>
            </w:r>
          </w:p>
        </w:tc>
        <w:tc>
          <w:tcPr>
            <w:tcW w:w="1693" w:type="dxa"/>
            <w:tcBorders>
              <w:top w:val="single" w:color="auto" w:sz="6" w:space="0"/>
              <w:bottom w:val="single" w:color="auto" w:sz="6" w:space="0"/>
            </w:tcBorders>
            <w:noWrap w:val="0"/>
            <w:vAlign w:val="center"/>
          </w:tcPr>
          <w:p w14:paraId="6A9F460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491EEB1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13CF4C8B">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227500EC">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659ADC7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01AEF6A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0EF94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8" w:hRule="atLeast"/>
          <w:jc w:val="center"/>
        </w:trPr>
        <w:tc>
          <w:tcPr>
            <w:tcW w:w="1012" w:type="dxa"/>
            <w:gridSpan w:val="2"/>
            <w:tcBorders>
              <w:top w:val="single" w:color="auto" w:sz="6" w:space="0"/>
              <w:bottom w:val="single" w:color="auto" w:sz="6" w:space="0"/>
            </w:tcBorders>
            <w:noWrap w:val="0"/>
            <w:vAlign w:val="center"/>
          </w:tcPr>
          <w:p w14:paraId="3DD6A6B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693" w:type="dxa"/>
            <w:tcBorders>
              <w:top w:val="single" w:color="auto" w:sz="6" w:space="0"/>
              <w:bottom w:val="single" w:color="auto" w:sz="6" w:space="0"/>
            </w:tcBorders>
            <w:noWrap w:val="0"/>
            <w:vAlign w:val="center"/>
          </w:tcPr>
          <w:p w14:paraId="0FD8CA2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912" w:type="dxa"/>
            <w:tcBorders>
              <w:top w:val="single" w:color="auto" w:sz="6" w:space="0"/>
              <w:bottom w:val="single" w:color="auto" w:sz="6" w:space="0"/>
            </w:tcBorders>
            <w:noWrap w:val="0"/>
            <w:vAlign w:val="center"/>
          </w:tcPr>
          <w:p w14:paraId="4C0BDA97">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6" w:space="0"/>
            </w:tcBorders>
            <w:noWrap w:val="0"/>
            <w:vAlign w:val="center"/>
          </w:tcPr>
          <w:p w14:paraId="62E723B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362E81B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6" w:space="0"/>
            </w:tcBorders>
            <w:noWrap w:val="0"/>
            <w:vAlign w:val="center"/>
          </w:tcPr>
          <w:p w14:paraId="73F6C11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6" w:space="0"/>
            </w:tcBorders>
            <w:noWrap w:val="0"/>
            <w:vAlign w:val="center"/>
          </w:tcPr>
          <w:p w14:paraId="6F5F5358">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r w14:paraId="520270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82" w:hRule="atLeast"/>
          <w:jc w:val="center"/>
        </w:trPr>
        <w:tc>
          <w:tcPr>
            <w:tcW w:w="1005" w:type="dxa"/>
            <w:tcBorders>
              <w:top w:val="single" w:color="auto" w:sz="6" w:space="0"/>
              <w:bottom w:val="single" w:color="auto" w:sz="12" w:space="0"/>
              <w:right w:val="single" w:color="auto" w:sz="4" w:space="0"/>
            </w:tcBorders>
            <w:noWrap w:val="0"/>
            <w:vAlign w:val="center"/>
          </w:tcPr>
          <w:p w14:paraId="097E78D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700" w:type="dxa"/>
            <w:gridSpan w:val="2"/>
            <w:tcBorders>
              <w:top w:val="single" w:color="auto" w:sz="6" w:space="0"/>
              <w:left w:val="single" w:color="auto" w:sz="4" w:space="0"/>
              <w:bottom w:val="single" w:color="auto" w:sz="12" w:space="0"/>
            </w:tcBorders>
            <w:noWrap w:val="0"/>
            <w:vAlign w:val="center"/>
          </w:tcPr>
          <w:p w14:paraId="5BA9E8F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合计</w:t>
            </w:r>
          </w:p>
        </w:tc>
        <w:tc>
          <w:tcPr>
            <w:tcW w:w="912" w:type="dxa"/>
            <w:tcBorders>
              <w:top w:val="single" w:color="auto" w:sz="6" w:space="0"/>
              <w:bottom w:val="single" w:color="auto" w:sz="12" w:space="0"/>
            </w:tcBorders>
            <w:noWrap w:val="0"/>
            <w:vAlign w:val="center"/>
          </w:tcPr>
          <w:p w14:paraId="3212B849">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464" w:type="dxa"/>
            <w:tcBorders>
              <w:top w:val="single" w:color="auto" w:sz="6" w:space="0"/>
              <w:bottom w:val="single" w:color="auto" w:sz="12" w:space="0"/>
            </w:tcBorders>
            <w:noWrap w:val="0"/>
            <w:vAlign w:val="center"/>
          </w:tcPr>
          <w:p w14:paraId="0754ADCA">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4172BA51">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245" w:type="dxa"/>
            <w:tcBorders>
              <w:top w:val="single" w:color="auto" w:sz="6" w:space="0"/>
              <w:bottom w:val="single" w:color="auto" w:sz="12" w:space="0"/>
            </w:tcBorders>
            <w:noWrap w:val="0"/>
            <w:vAlign w:val="center"/>
          </w:tcPr>
          <w:p w14:paraId="737DE264">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c>
          <w:tcPr>
            <w:tcW w:w="1302" w:type="dxa"/>
            <w:tcBorders>
              <w:top w:val="single" w:color="auto" w:sz="6" w:space="0"/>
              <w:bottom w:val="single" w:color="auto" w:sz="12" w:space="0"/>
            </w:tcBorders>
            <w:noWrap w:val="0"/>
            <w:vAlign w:val="center"/>
          </w:tcPr>
          <w:p w14:paraId="6563CFA5">
            <w:pPr>
              <w:tabs>
                <w:tab w:val="left" w:pos="140"/>
              </w:tabs>
              <w:spacing w:beforeLines="0" w:afterLines="0" w:line="360" w:lineRule="auto"/>
              <w:ind w:left="0" w:firstLine="0"/>
              <w:jc w:val="center"/>
              <w:rPr>
                <w:rFonts w:hint="eastAsia" w:ascii="宋体" w:hAnsi="宋体" w:eastAsia="宋体" w:cs="宋体"/>
                <w:kern w:val="0"/>
                <w:sz w:val="21"/>
                <w:szCs w:val="21"/>
                <w:highlight w:val="none"/>
                <w:lang w:val="en-US" w:eastAsia="zh-CN" w:bidi="ar-SA"/>
              </w:rPr>
            </w:pPr>
          </w:p>
        </w:tc>
      </w:tr>
    </w:tbl>
    <w:p w14:paraId="4F1AB0AB">
      <w:pPr>
        <w:widowControl/>
        <w:spacing w:beforeLines="0" w:afterLines="0" w:line="360" w:lineRule="auto"/>
        <w:jc w:val="left"/>
        <w:rPr>
          <w:rFonts w:hint="eastAsia" w:ascii="宋体" w:hAnsi="宋体" w:eastAsia="宋体" w:cs="宋体"/>
          <w:szCs w:val="21"/>
          <w:highlight w:val="none"/>
          <w:u w:val="single"/>
        </w:rPr>
      </w:pPr>
      <w:r>
        <w:rPr>
          <w:rFonts w:hint="eastAsia" w:ascii="宋体" w:hAnsi="宋体" w:eastAsia="宋体" w:cs="宋体"/>
          <w:szCs w:val="21"/>
          <w:highlight w:val="none"/>
        </w:rPr>
        <w:t>注：每台设备价格包括成本、包装费、运输费、保险费、税金、利润、附件及专用工具和技术服务费等所有费用。</w:t>
      </w:r>
    </w:p>
    <w:p w14:paraId="28A5A2A3">
      <w:pPr>
        <w:widowControl w:val="0"/>
        <w:adjustRightInd w:val="0"/>
        <w:spacing w:beforeLines="0" w:afterLines="0" w:line="360" w:lineRule="auto"/>
        <w:jc w:val="both"/>
        <w:rPr>
          <w:rFonts w:hint="eastAsia" w:ascii="宋体" w:hAnsi="宋体" w:eastAsia="宋体" w:cs="宋体"/>
          <w:color w:val="000000"/>
          <w:kern w:val="0"/>
          <w:sz w:val="21"/>
          <w:szCs w:val="21"/>
          <w:highlight w:val="none"/>
          <w:lang w:val="en-US" w:eastAsia="zh-CN" w:bidi="ar-SA"/>
        </w:rPr>
      </w:pPr>
    </w:p>
    <w:p w14:paraId="6C1CE509">
      <w:pPr>
        <w:widowControl/>
        <w:spacing w:beforeLines="0" w:afterLines="0" w:line="360" w:lineRule="auto"/>
        <w:jc w:val="right"/>
        <w:rPr>
          <w:rFonts w:hint="eastAsia" w:ascii="宋体" w:hAnsi="宋体" w:eastAsia="宋体" w:cs="宋体"/>
          <w:sz w:val="21"/>
          <w:szCs w:val="21"/>
          <w:highlight w:val="none"/>
        </w:rPr>
      </w:pPr>
    </w:p>
    <w:p w14:paraId="2679F900">
      <w:pPr>
        <w:tabs>
          <w:tab w:val="left" w:pos="6521"/>
        </w:tabs>
        <w:spacing w:before="0" w:beforeLines="0" w:after="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356ABA44">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08DC8E5">
      <w:pPr>
        <w:adjustRightInd w:val="0"/>
        <w:snapToGrid w:val="0"/>
        <w:spacing w:before="0" w:beforeLines="0" w:after="0" w:afterLines="0" w:line="360" w:lineRule="auto"/>
        <w:jc w:val="center"/>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 xml:space="preserve">                                     </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 xml:space="preserve"> 年</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月</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日</w:t>
      </w:r>
    </w:p>
    <w:p w14:paraId="70FE7001">
      <w:pPr>
        <w:widowControl/>
        <w:spacing w:before="0" w:after="0"/>
        <w:jc w:val="left"/>
        <w:rPr>
          <w:rFonts w:hint="eastAsia" w:ascii="宋体" w:hAnsi="宋体" w:eastAsia="宋体" w:cs="宋体"/>
          <w:bCs/>
          <w:spacing w:val="8"/>
          <w:szCs w:val="21"/>
          <w:highlight w:val="none"/>
        </w:rPr>
      </w:pPr>
      <w:r>
        <w:rPr>
          <w:rFonts w:hint="eastAsia" w:ascii="宋体" w:hAnsi="宋体" w:eastAsia="宋体" w:cs="宋体"/>
          <w:bCs/>
          <w:spacing w:val="8"/>
          <w:szCs w:val="21"/>
          <w:highlight w:val="none"/>
        </w:rPr>
        <w:br w:type="page"/>
      </w:r>
    </w:p>
    <w:p w14:paraId="0797BFDE">
      <w:pPr>
        <w:keepNext/>
        <w:keepLines/>
        <w:spacing w:before="0" w:after="0" w:line="360" w:lineRule="auto"/>
        <w:ind w:firstLine="3614" w:firstLineChars="1500"/>
        <w:jc w:val="both"/>
        <w:outlineLvl w:val="1"/>
        <w:rPr>
          <w:rFonts w:hint="eastAsia" w:ascii="宋体" w:hAnsi="宋体" w:eastAsia="宋体" w:cs="宋体"/>
          <w:b/>
          <w:bCs/>
          <w:kern w:val="0"/>
          <w:sz w:val="28"/>
          <w:szCs w:val="28"/>
          <w:highlight w:val="none"/>
          <w:lang w:val="en-US" w:eastAsia="zh-CN" w:bidi="ar-SA"/>
        </w:rPr>
      </w:pPr>
      <w:bookmarkStart w:id="917" w:name="_Toc91345079"/>
      <w:bookmarkStart w:id="918" w:name="_Toc32447"/>
      <w:bookmarkStart w:id="919" w:name="_Toc21252"/>
      <w:bookmarkStart w:id="920" w:name="_Toc534572435"/>
      <w:r>
        <w:rPr>
          <w:rFonts w:hint="eastAsia" w:ascii="宋体" w:hAnsi="宋体" w:eastAsia="宋体" w:cs="宋体"/>
          <w:b/>
          <w:bCs/>
          <w:kern w:val="2"/>
          <w:sz w:val="24"/>
          <w:szCs w:val="24"/>
          <w:highlight w:val="none"/>
          <w:lang w:val="en-US" w:eastAsia="zh-CN" w:bidi="ar-SA"/>
        </w:rPr>
        <w:t>六、资格审查资料</w:t>
      </w:r>
      <w:bookmarkEnd w:id="917"/>
      <w:bookmarkEnd w:id="918"/>
      <w:bookmarkEnd w:id="919"/>
    </w:p>
    <w:p w14:paraId="3666F5B2">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（一）基本情况表</w:t>
      </w:r>
    </w:p>
    <w:tbl>
      <w:tblPr>
        <w:tblStyle w:val="2"/>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2"/>
        <w:gridCol w:w="1215"/>
        <w:gridCol w:w="1916"/>
        <w:gridCol w:w="1260"/>
        <w:gridCol w:w="2186"/>
      </w:tblGrid>
      <w:tr w14:paraId="4916D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72C470E5">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投标人名称</w:t>
            </w:r>
          </w:p>
        </w:tc>
        <w:tc>
          <w:tcPr>
            <w:tcW w:w="6577" w:type="dxa"/>
            <w:gridSpan w:val="4"/>
            <w:noWrap w:val="0"/>
            <w:vAlign w:val="center"/>
          </w:tcPr>
          <w:p w14:paraId="35875ACB">
            <w:pPr>
              <w:widowControl/>
              <w:spacing w:beforeLines="0" w:afterLines="0" w:line="360" w:lineRule="auto"/>
              <w:jc w:val="center"/>
              <w:rPr>
                <w:rFonts w:hint="eastAsia" w:ascii="宋体" w:hAnsi="宋体" w:eastAsia="宋体" w:cs="宋体"/>
                <w:sz w:val="21"/>
                <w:szCs w:val="21"/>
                <w:highlight w:val="none"/>
              </w:rPr>
            </w:pPr>
          </w:p>
        </w:tc>
      </w:tr>
      <w:tr w14:paraId="540FC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FB78BD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注册资金</w:t>
            </w:r>
          </w:p>
        </w:tc>
        <w:tc>
          <w:tcPr>
            <w:tcW w:w="3131" w:type="dxa"/>
            <w:gridSpan w:val="2"/>
            <w:noWrap w:val="0"/>
            <w:vAlign w:val="center"/>
          </w:tcPr>
          <w:p w14:paraId="39A97F03">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1C62B10">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成立时间</w:t>
            </w:r>
          </w:p>
        </w:tc>
        <w:tc>
          <w:tcPr>
            <w:tcW w:w="2186" w:type="dxa"/>
            <w:noWrap w:val="0"/>
            <w:vAlign w:val="center"/>
          </w:tcPr>
          <w:p w14:paraId="57284126">
            <w:pPr>
              <w:widowControl/>
              <w:spacing w:beforeLines="0" w:afterLines="0" w:line="360" w:lineRule="auto"/>
              <w:jc w:val="center"/>
              <w:rPr>
                <w:rFonts w:hint="eastAsia" w:ascii="宋体" w:hAnsi="宋体" w:eastAsia="宋体" w:cs="宋体"/>
                <w:sz w:val="21"/>
                <w:szCs w:val="21"/>
                <w:highlight w:val="none"/>
              </w:rPr>
            </w:pPr>
          </w:p>
        </w:tc>
      </w:tr>
      <w:tr w14:paraId="14DB5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59BBD3C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注册地址</w:t>
            </w:r>
          </w:p>
        </w:tc>
        <w:tc>
          <w:tcPr>
            <w:tcW w:w="6577" w:type="dxa"/>
            <w:gridSpan w:val="4"/>
            <w:noWrap w:val="0"/>
            <w:vAlign w:val="center"/>
          </w:tcPr>
          <w:p w14:paraId="1DC090C7">
            <w:pPr>
              <w:widowControl/>
              <w:spacing w:beforeLines="0" w:afterLines="0" w:line="360" w:lineRule="auto"/>
              <w:jc w:val="center"/>
              <w:rPr>
                <w:rFonts w:hint="eastAsia" w:ascii="宋体" w:hAnsi="宋体" w:eastAsia="宋体" w:cs="宋体"/>
                <w:sz w:val="21"/>
                <w:szCs w:val="21"/>
                <w:highlight w:val="none"/>
              </w:rPr>
            </w:pPr>
          </w:p>
        </w:tc>
      </w:tr>
      <w:tr w14:paraId="5E626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0780CC21">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邮政编码</w:t>
            </w:r>
          </w:p>
        </w:tc>
        <w:tc>
          <w:tcPr>
            <w:tcW w:w="3131" w:type="dxa"/>
            <w:gridSpan w:val="2"/>
            <w:noWrap w:val="0"/>
            <w:vAlign w:val="center"/>
          </w:tcPr>
          <w:p w14:paraId="2D2D0029">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636B1C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员工总数</w:t>
            </w:r>
          </w:p>
        </w:tc>
        <w:tc>
          <w:tcPr>
            <w:tcW w:w="2186" w:type="dxa"/>
            <w:noWrap w:val="0"/>
            <w:vAlign w:val="center"/>
          </w:tcPr>
          <w:p w14:paraId="5024F955">
            <w:pPr>
              <w:widowControl/>
              <w:spacing w:beforeLines="0" w:afterLines="0" w:line="360" w:lineRule="auto"/>
              <w:jc w:val="center"/>
              <w:rPr>
                <w:rFonts w:hint="eastAsia" w:ascii="宋体" w:hAnsi="宋体" w:eastAsia="宋体" w:cs="宋体"/>
                <w:sz w:val="21"/>
                <w:szCs w:val="21"/>
                <w:highlight w:val="none"/>
              </w:rPr>
            </w:pPr>
          </w:p>
        </w:tc>
      </w:tr>
      <w:tr w14:paraId="47F01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vMerge w:val="restart"/>
            <w:noWrap w:val="0"/>
            <w:vAlign w:val="center"/>
          </w:tcPr>
          <w:p w14:paraId="4E7FBD3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联系方式</w:t>
            </w:r>
          </w:p>
        </w:tc>
        <w:tc>
          <w:tcPr>
            <w:tcW w:w="1215" w:type="dxa"/>
            <w:noWrap w:val="0"/>
            <w:vAlign w:val="center"/>
          </w:tcPr>
          <w:p w14:paraId="260D615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1916" w:type="dxa"/>
            <w:noWrap w:val="0"/>
            <w:vAlign w:val="center"/>
          </w:tcPr>
          <w:p w14:paraId="28FE5021">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295675D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电话</w:t>
            </w:r>
          </w:p>
        </w:tc>
        <w:tc>
          <w:tcPr>
            <w:tcW w:w="2186" w:type="dxa"/>
            <w:noWrap w:val="0"/>
            <w:vAlign w:val="center"/>
          </w:tcPr>
          <w:p w14:paraId="43090625">
            <w:pPr>
              <w:widowControl/>
              <w:spacing w:beforeLines="0" w:afterLines="0" w:line="360" w:lineRule="auto"/>
              <w:jc w:val="center"/>
              <w:rPr>
                <w:rFonts w:hint="eastAsia" w:ascii="宋体" w:hAnsi="宋体" w:eastAsia="宋体" w:cs="宋体"/>
                <w:sz w:val="21"/>
                <w:szCs w:val="21"/>
                <w:highlight w:val="none"/>
              </w:rPr>
            </w:pPr>
          </w:p>
        </w:tc>
      </w:tr>
      <w:tr w14:paraId="1ED7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vMerge w:val="continue"/>
            <w:noWrap w:val="0"/>
            <w:vAlign w:val="center"/>
          </w:tcPr>
          <w:p w14:paraId="4E8D6BA1">
            <w:pPr>
              <w:widowControl/>
              <w:spacing w:beforeLines="0" w:afterLines="0" w:line="360" w:lineRule="auto"/>
              <w:jc w:val="center"/>
              <w:rPr>
                <w:rFonts w:hint="eastAsia" w:ascii="宋体" w:hAnsi="宋体" w:eastAsia="宋体" w:cs="宋体"/>
                <w:sz w:val="21"/>
                <w:szCs w:val="21"/>
                <w:highlight w:val="none"/>
              </w:rPr>
            </w:pPr>
          </w:p>
        </w:tc>
        <w:tc>
          <w:tcPr>
            <w:tcW w:w="1215" w:type="dxa"/>
            <w:noWrap w:val="0"/>
            <w:vAlign w:val="center"/>
          </w:tcPr>
          <w:p w14:paraId="6CD56A7D">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网址</w:t>
            </w:r>
          </w:p>
        </w:tc>
        <w:tc>
          <w:tcPr>
            <w:tcW w:w="1916" w:type="dxa"/>
            <w:noWrap w:val="0"/>
            <w:vAlign w:val="center"/>
          </w:tcPr>
          <w:p w14:paraId="2593EF40">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3F4FFEB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传真</w:t>
            </w:r>
          </w:p>
        </w:tc>
        <w:tc>
          <w:tcPr>
            <w:tcW w:w="2186" w:type="dxa"/>
            <w:noWrap w:val="0"/>
            <w:vAlign w:val="center"/>
          </w:tcPr>
          <w:p w14:paraId="61971A33">
            <w:pPr>
              <w:widowControl/>
              <w:spacing w:beforeLines="0" w:afterLines="0" w:line="360" w:lineRule="auto"/>
              <w:jc w:val="center"/>
              <w:rPr>
                <w:rFonts w:hint="eastAsia" w:ascii="宋体" w:hAnsi="宋体" w:eastAsia="宋体" w:cs="宋体"/>
                <w:sz w:val="21"/>
                <w:szCs w:val="21"/>
                <w:highlight w:val="none"/>
              </w:rPr>
            </w:pPr>
          </w:p>
        </w:tc>
      </w:tr>
      <w:tr w14:paraId="34A3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7" w:hRule="exact"/>
          <w:jc w:val="center"/>
        </w:trPr>
        <w:tc>
          <w:tcPr>
            <w:tcW w:w="2462" w:type="dxa"/>
            <w:noWrap w:val="0"/>
            <w:vAlign w:val="center"/>
          </w:tcPr>
          <w:p w14:paraId="57A66F3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法定代表人</w:t>
            </w:r>
          </w:p>
          <w:p w14:paraId="5A0DF17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（单位负责人）</w:t>
            </w:r>
          </w:p>
        </w:tc>
        <w:tc>
          <w:tcPr>
            <w:tcW w:w="1215" w:type="dxa"/>
            <w:noWrap w:val="0"/>
            <w:vAlign w:val="center"/>
          </w:tcPr>
          <w:p w14:paraId="392E62B7">
            <w:pPr>
              <w:widowControl w:val="0"/>
              <w:spacing w:beforeLines="0" w:afterLines="0" w:line="360" w:lineRule="auto"/>
              <w:jc w:val="center"/>
              <w:rPr>
                <w:rFonts w:hint="eastAsia" w:ascii="宋体" w:hAnsi="宋体" w:eastAsia="宋体" w:cs="宋体"/>
                <w:kern w:val="0"/>
                <w:sz w:val="21"/>
                <w:szCs w:val="21"/>
                <w:highlight w:val="none"/>
                <w:lang w:val="en-US" w:eastAsia="zh-CN" w:bidi="ar-SA"/>
              </w:rPr>
            </w:pPr>
          </w:p>
          <w:p w14:paraId="7A728C64">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姓名</w:t>
            </w:r>
          </w:p>
        </w:tc>
        <w:tc>
          <w:tcPr>
            <w:tcW w:w="1916" w:type="dxa"/>
            <w:noWrap w:val="0"/>
            <w:vAlign w:val="center"/>
          </w:tcPr>
          <w:p w14:paraId="0C8EE9F6">
            <w:pPr>
              <w:widowControl/>
              <w:spacing w:beforeLines="0" w:afterLines="0" w:line="360" w:lineRule="auto"/>
              <w:jc w:val="center"/>
              <w:rPr>
                <w:rFonts w:hint="eastAsia" w:ascii="宋体" w:hAnsi="宋体" w:eastAsia="宋体" w:cs="宋体"/>
                <w:sz w:val="21"/>
                <w:szCs w:val="21"/>
                <w:highlight w:val="none"/>
              </w:rPr>
            </w:pPr>
          </w:p>
        </w:tc>
        <w:tc>
          <w:tcPr>
            <w:tcW w:w="1260" w:type="dxa"/>
            <w:noWrap w:val="0"/>
            <w:vAlign w:val="center"/>
          </w:tcPr>
          <w:p w14:paraId="03B45EE2">
            <w:pPr>
              <w:widowControl w:val="0"/>
              <w:spacing w:beforeLines="0" w:afterLines="0" w:line="360" w:lineRule="auto"/>
              <w:jc w:val="center"/>
              <w:rPr>
                <w:rFonts w:hint="eastAsia" w:ascii="宋体" w:hAnsi="宋体" w:eastAsia="宋体" w:cs="宋体"/>
                <w:kern w:val="0"/>
                <w:sz w:val="21"/>
                <w:szCs w:val="21"/>
                <w:highlight w:val="none"/>
                <w:lang w:val="en-US" w:eastAsia="en-US" w:bidi="ar-SA"/>
              </w:rPr>
            </w:pPr>
          </w:p>
          <w:p w14:paraId="1593E282">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电话</w:t>
            </w:r>
          </w:p>
        </w:tc>
        <w:tc>
          <w:tcPr>
            <w:tcW w:w="2186" w:type="dxa"/>
            <w:noWrap w:val="0"/>
            <w:vAlign w:val="center"/>
          </w:tcPr>
          <w:p w14:paraId="1ACA3C48">
            <w:pPr>
              <w:widowControl/>
              <w:spacing w:beforeLines="0" w:afterLines="0" w:line="360" w:lineRule="auto"/>
              <w:jc w:val="center"/>
              <w:rPr>
                <w:rFonts w:hint="eastAsia" w:ascii="宋体" w:hAnsi="宋体" w:eastAsia="宋体" w:cs="宋体"/>
                <w:sz w:val="21"/>
                <w:szCs w:val="21"/>
                <w:highlight w:val="none"/>
              </w:rPr>
            </w:pPr>
          </w:p>
        </w:tc>
      </w:tr>
      <w:tr w14:paraId="3139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0" w:hRule="exact"/>
          <w:jc w:val="center"/>
        </w:trPr>
        <w:tc>
          <w:tcPr>
            <w:tcW w:w="2462" w:type="dxa"/>
            <w:noWrap w:val="0"/>
            <w:vAlign w:val="center"/>
          </w:tcPr>
          <w:p w14:paraId="2B32873F">
            <w:pPr>
              <w:widowControl w:val="0"/>
              <w:spacing w:beforeLines="0" w:afterLines="0" w:line="360" w:lineRule="auto"/>
              <w:ind w:left="0" w:righ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投标人须知要求投标人需具有的资质证书</w:t>
            </w:r>
          </w:p>
        </w:tc>
        <w:tc>
          <w:tcPr>
            <w:tcW w:w="6577" w:type="dxa"/>
            <w:gridSpan w:val="4"/>
            <w:noWrap w:val="0"/>
            <w:vAlign w:val="center"/>
          </w:tcPr>
          <w:p w14:paraId="0BDB8BBE">
            <w:pPr>
              <w:widowControl w:val="0"/>
              <w:tabs>
                <w:tab w:val="left" w:pos="2309"/>
                <w:tab w:val="left" w:pos="4409"/>
              </w:tabs>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类型：</w:t>
            </w:r>
            <w:r>
              <w:rPr>
                <w:rFonts w:hint="eastAsia" w:ascii="宋体" w:hAnsi="宋体" w:eastAsia="宋体" w:cs="宋体"/>
                <w:kern w:val="0"/>
                <w:sz w:val="21"/>
                <w:szCs w:val="21"/>
                <w:highlight w:val="none"/>
                <w:lang w:val="en-US" w:eastAsia="zh-CN" w:bidi="ar-SA"/>
              </w:rPr>
              <w:tab/>
            </w:r>
            <w:r>
              <w:rPr>
                <w:rFonts w:hint="eastAsia" w:ascii="宋体" w:hAnsi="宋体" w:eastAsia="宋体" w:cs="宋体"/>
                <w:kern w:val="0"/>
                <w:sz w:val="21"/>
                <w:szCs w:val="21"/>
                <w:highlight w:val="none"/>
                <w:lang w:val="en-US" w:eastAsia="zh-CN" w:bidi="ar-SA"/>
              </w:rPr>
              <w:t>等级：</w:t>
            </w:r>
            <w:r>
              <w:rPr>
                <w:rFonts w:hint="eastAsia" w:ascii="宋体" w:hAnsi="宋体" w:eastAsia="宋体" w:cs="宋体"/>
                <w:kern w:val="0"/>
                <w:sz w:val="21"/>
                <w:szCs w:val="21"/>
                <w:highlight w:val="none"/>
                <w:lang w:val="en-US" w:eastAsia="zh-CN" w:bidi="ar-SA"/>
              </w:rPr>
              <w:tab/>
            </w:r>
            <w:r>
              <w:rPr>
                <w:rFonts w:hint="eastAsia" w:ascii="宋体" w:hAnsi="宋体" w:eastAsia="宋体" w:cs="宋体"/>
                <w:kern w:val="0"/>
                <w:sz w:val="21"/>
                <w:szCs w:val="21"/>
                <w:highlight w:val="none"/>
                <w:lang w:val="en-US" w:eastAsia="zh-CN" w:bidi="ar-SA"/>
              </w:rPr>
              <w:t>证书号：</w:t>
            </w:r>
          </w:p>
        </w:tc>
      </w:tr>
      <w:tr w14:paraId="33A05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4" w:hRule="exact"/>
          <w:jc w:val="center"/>
        </w:trPr>
        <w:tc>
          <w:tcPr>
            <w:tcW w:w="2462" w:type="dxa"/>
            <w:noWrap w:val="0"/>
            <w:vAlign w:val="center"/>
          </w:tcPr>
          <w:p w14:paraId="2EE01FD9">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基本账户开户银行</w:t>
            </w:r>
          </w:p>
        </w:tc>
        <w:tc>
          <w:tcPr>
            <w:tcW w:w="6577" w:type="dxa"/>
            <w:gridSpan w:val="4"/>
            <w:noWrap w:val="0"/>
            <w:vAlign w:val="top"/>
          </w:tcPr>
          <w:p w14:paraId="716ED116">
            <w:pPr>
              <w:widowControl/>
              <w:spacing w:beforeLines="0" w:afterLines="0" w:line="360" w:lineRule="auto"/>
              <w:jc w:val="left"/>
              <w:rPr>
                <w:rFonts w:hint="eastAsia" w:ascii="宋体" w:hAnsi="宋体" w:eastAsia="宋体" w:cs="宋体"/>
                <w:sz w:val="21"/>
                <w:szCs w:val="21"/>
                <w:highlight w:val="none"/>
              </w:rPr>
            </w:pPr>
          </w:p>
        </w:tc>
      </w:tr>
      <w:tr w14:paraId="72C1C5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exact"/>
          <w:jc w:val="center"/>
        </w:trPr>
        <w:tc>
          <w:tcPr>
            <w:tcW w:w="2462" w:type="dxa"/>
            <w:noWrap w:val="0"/>
            <w:vAlign w:val="center"/>
          </w:tcPr>
          <w:p w14:paraId="3B28433B">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基本账户银行账号</w:t>
            </w:r>
          </w:p>
        </w:tc>
        <w:tc>
          <w:tcPr>
            <w:tcW w:w="6577" w:type="dxa"/>
            <w:gridSpan w:val="4"/>
            <w:noWrap w:val="0"/>
            <w:vAlign w:val="top"/>
          </w:tcPr>
          <w:p w14:paraId="517EA122">
            <w:pPr>
              <w:widowControl/>
              <w:spacing w:beforeLines="0" w:afterLines="0" w:line="360" w:lineRule="auto"/>
              <w:jc w:val="left"/>
              <w:rPr>
                <w:rFonts w:hint="eastAsia" w:ascii="宋体" w:hAnsi="宋体" w:eastAsia="宋体" w:cs="宋体"/>
                <w:sz w:val="21"/>
                <w:szCs w:val="21"/>
                <w:highlight w:val="none"/>
              </w:rPr>
            </w:pPr>
          </w:p>
        </w:tc>
      </w:tr>
      <w:tr w14:paraId="0637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0" w:hRule="exact"/>
          <w:jc w:val="center"/>
        </w:trPr>
        <w:tc>
          <w:tcPr>
            <w:tcW w:w="2462" w:type="dxa"/>
            <w:noWrap w:val="0"/>
            <w:vAlign w:val="center"/>
          </w:tcPr>
          <w:p w14:paraId="742BA179">
            <w:pPr>
              <w:widowControl w:val="0"/>
              <w:spacing w:beforeLines="0" w:afterLines="0" w:line="360" w:lineRule="auto"/>
              <w:ind w:left="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投标人关联企业情况</w:t>
            </w:r>
          </w:p>
          <w:p w14:paraId="62BEEE41">
            <w:pPr>
              <w:widowControl w:val="0"/>
              <w:spacing w:beforeLines="0" w:afterLines="0" w:line="360" w:lineRule="auto"/>
              <w:ind w:left="0" w:right="0" w:firstLine="0"/>
              <w:jc w:val="center"/>
              <w:rPr>
                <w:rFonts w:hint="eastAsia" w:ascii="宋体" w:hAnsi="宋体" w:eastAsia="宋体" w:cs="宋体"/>
                <w:kern w:val="0"/>
                <w:sz w:val="21"/>
                <w:szCs w:val="21"/>
                <w:highlight w:val="none"/>
                <w:lang w:val="en-US" w:eastAsia="zh-CN" w:bidi="ar-SA"/>
              </w:rPr>
            </w:pPr>
            <w:r>
              <w:rPr>
                <w:rFonts w:hint="eastAsia" w:ascii="宋体" w:hAnsi="宋体" w:eastAsia="宋体" w:cs="宋体"/>
                <w:kern w:val="0"/>
                <w:sz w:val="21"/>
                <w:szCs w:val="21"/>
                <w:highlight w:val="none"/>
                <w:lang w:val="en-US" w:eastAsia="zh-CN" w:bidi="ar-SA"/>
              </w:rPr>
              <w:t>（包括但不限于与投标人法定代表人（单位负责人）为同一人或者存在控股、管理</w:t>
            </w:r>
            <w:r>
              <w:rPr>
                <w:rFonts w:hint="eastAsia" w:ascii="宋体" w:hAnsi="宋体" w:eastAsia="宋体" w:cs="宋体"/>
                <w:kern w:val="0"/>
                <w:sz w:val="21"/>
                <w:szCs w:val="21"/>
                <w:highlight w:val="none"/>
                <w:lang w:val="en-US" w:eastAsia="en-US" w:bidi="ar-SA"/>
              </w:rPr>
              <w:t>关系的不同单位</w:t>
            </w:r>
          </w:p>
        </w:tc>
        <w:tc>
          <w:tcPr>
            <w:tcW w:w="6577" w:type="dxa"/>
            <w:gridSpan w:val="4"/>
            <w:noWrap w:val="0"/>
            <w:vAlign w:val="top"/>
          </w:tcPr>
          <w:p w14:paraId="58B4F34D">
            <w:pPr>
              <w:widowControl/>
              <w:spacing w:beforeLines="0" w:afterLines="0" w:line="360" w:lineRule="auto"/>
              <w:jc w:val="left"/>
              <w:rPr>
                <w:rFonts w:hint="eastAsia" w:ascii="宋体" w:hAnsi="宋体" w:eastAsia="宋体" w:cs="宋体"/>
                <w:sz w:val="21"/>
                <w:szCs w:val="21"/>
                <w:highlight w:val="none"/>
              </w:rPr>
            </w:pPr>
          </w:p>
        </w:tc>
      </w:tr>
      <w:tr w14:paraId="55CBD6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exact"/>
          <w:jc w:val="center"/>
        </w:trPr>
        <w:tc>
          <w:tcPr>
            <w:tcW w:w="2462" w:type="dxa"/>
            <w:noWrap w:val="0"/>
            <w:vAlign w:val="center"/>
          </w:tcPr>
          <w:p w14:paraId="0BEBAFFE">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投标设备制造商名称</w:t>
            </w:r>
          </w:p>
        </w:tc>
        <w:tc>
          <w:tcPr>
            <w:tcW w:w="6577" w:type="dxa"/>
            <w:gridSpan w:val="4"/>
            <w:noWrap w:val="0"/>
            <w:vAlign w:val="top"/>
          </w:tcPr>
          <w:p w14:paraId="1338AB22">
            <w:pPr>
              <w:widowControl/>
              <w:spacing w:beforeLines="0" w:afterLines="0" w:line="360" w:lineRule="auto"/>
              <w:jc w:val="left"/>
              <w:rPr>
                <w:rFonts w:hint="eastAsia" w:ascii="宋体" w:hAnsi="宋体" w:eastAsia="宋体" w:cs="宋体"/>
                <w:sz w:val="21"/>
                <w:szCs w:val="21"/>
                <w:highlight w:val="none"/>
              </w:rPr>
            </w:pPr>
          </w:p>
        </w:tc>
      </w:tr>
      <w:tr w14:paraId="64FD4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exact"/>
          <w:jc w:val="center"/>
        </w:trPr>
        <w:tc>
          <w:tcPr>
            <w:tcW w:w="2462" w:type="dxa"/>
            <w:noWrap w:val="0"/>
            <w:vAlign w:val="top"/>
          </w:tcPr>
          <w:p w14:paraId="51A7C2DC">
            <w:pPr>
              <w:widowControl w:val="0"/>
              <w:spacing w:beforeLines="0" w:afterLines="0" w:line="360" w:lineRule="auto"/>
              <w:ind w:left="0" w:right="0"/>
              <w:jc w:val="center"/>
              <w:rPr>
                <w:rFonts w:hint="eastAsia" w:ascii="宋体" w:hAnsi="宋体" w:eastAsia="宋体" w:cs="宋体"/>
                <w:kern w:val="0"/>
                <w:sz w:val="21"/>
                <w:szCs w:val="21"/>
                <w:highlight w:val="none"/>
                <w:lang w:val="en-US" w:eastAsia="en-US" w:bidi="ar-SA"/>
              </w:rPr>
            </w:pPr>
            <w:r>
              <w:rPr>
                <w:rFonts w:hint="eastAsia" w:ascii="宋体" w:hAnsi="宋体" w:eastAsia="宋体" w:cs="宋体"/>
                <w:kern w:val="0"/>
                <w:sz w:val="21"/>
                <w:szCs w:val="21"/>
                <w:highlight w:val="none"/>
                <w:lang w:val="en-US" w:eastAsia="en-US" w:bidi="ar-SA"/>
              </w:rPr>
              <w:t>备注</w:t>
            </w:r>
          </w:p>
        </w:tc>
        <w:tc>
          <w:tcPr>
            <w:tcW w:w="6577" w:type="dxa"/>
            <w:gridSpan w:val="4"/>
            <w:noWrap w:val="0"/>
            <w:vAlign w:val="top"/>
          </w:tcPr>
          <w:p w14:paraId="56CFA027">
            <w:pPr>
              <w:widowControl/>
              <w:spacing w:beforeLines="0" w:afterLines="0" w:line="360" w:lineRule="auto"/>
              <w:jc w:val="left"/>
              <w:rPr>
                <w:rFonts w:hint="eastAsia" w:ascii="宋体" w:hAnsi="宋体" w:eastAsia="宋体" w:cs="宋体"/>
                <w:sz w:val="21"/>
                <w:szCs w:val="21"/>
                <w:highlight w:val="none"/>
              </w:rPr>
            </w:pPr>
          </w:p>
        </w:tc>
      </w:tr>
    </w:tbl>
    <w:p w14:paraId="7C69029D">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bCs/>
          <w:szCs w:val="21"/>
          <w:highlight w:val="none"/>
        </w:rPr>
      </w:pPr>
      <w:r>
        <w:rPr>
          <w:rFonts w:hint="eastAsia" w:ascii="宋体" w:hAnsi="宋体" w:eastAsia="宋体" w:cs="宋体"/>
          <w:b w:val="0"/>
          <w:bCs w:val="0"/>
          <w:sz w:val="21"/>
          <w:szCs w:val="21"/>
          <w:highlight w:val="none"/>
        </w:rPr>
        <w:t>注：本表后附营业执照等相关证明材料的原件扫描件。</w:t>
      </w:r>
    </w:p>
    <w:p w14:paraId="46D34697">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rPr>
      </w:pPr>
    </w:p>
    <w:p w14:paraId="3D8AFF2E">
      <w:pPr>
        <w:widowControl/>
        <w:jc w:val="left"/>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br w:type="page"/>
      </w:r>
    </w:p>
    <w:p w14:paraId="6792AA7E">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（二）近年财务状况</w:t>
      </w:r>
    </w:p>
    <w:p w14:paraId="03C23B1F">
      <w:pPr>
        <w:widowControl/>
        <w:spacing w:beforeLines="0" w:afterLines="0"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财务状况表</w:t>
      </w:r>
    </w:p>
    <w:tbl>
      <w:tblPr>
        <w:tblStyle w:val="2"/>
        <w:tblW w:w="8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5"/>
        <w:gridCol w:w="1755"/>
        <w:gridCol w:w="1755"/>
        <w:gridCol w:w="1755"/>
        <w:gridCol w:w="1756"/>
      </w:tblGrid>
      <w:tr w14:paraId="2754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1DA197A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名称</w:t>
            </w:r>
          </w:p>
        </w:tc>
        <w:tc>
          <w:tcPr>
            <w:tcW w:w="1755" w:type="dxa"/>
            <w:noWrap w:val="0"/>
            <w:vAlign w:val="center"/>
          </w:tcPr>
          <w:p w14:paraId="4AB73B01">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755" w:type="dxa"/>
            <w:noWrap w:val="0"/>
            <w:vAlign w:val="center"/>
          </w:tcPr>
          <w:p w14:paraId="1047572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23</w:t>
            </w:r>
            <w:r>
              <w:rPr>
                <w:rFonts w:hint="eastAsia" w:ascii="宋体" w:hAnsi="宋体" w:eastAsia="宋体" w:cs="宋体"/>
                <w:sz w:val="21"/>
                <w:szCs w:val="21"/>
                <w:highlight w:val="none"/>
              </w:rPr>
              <w:t>年度</w:t>
            </w:r>
          </w:p>
        </w:tc>
        <w:tc>
          <w:tcPr>
            <w:tcW w:w="1755" w:type="dxa"/>
            <w:noWrap w:val="0"/>
            <w:vAlign w:val="center"/>
          </w:tcPr>
          <w:p w14:paraId="254D450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w:t>
            </w:r>
            <w:r>
              <w:rPr>
                <w:rFonts w:hint="eastAsia" w:ascii="宋体" w:hAnsi="宋体" w:eastAsia="宋体" w:cs="宋体"/>
                <w:sz w:val="21"/>
                <w:szCs w:val="21"/>
                <w:highlight w:val="none"/>
                <w:lang w:val="en-US" w:eastAsia="zh-CN"/>
              </w:rPr>
              <w:t>24</w:t>
            </w:r>
            <w:r>
              <w:rPr>
                <w:rFonts w:hint="eastAsia" w:ascii="宋体" w:hAnsi="宋体" w:eastAsia="宋体" w:cs="宋体"/>
                <w:sz w:val="21"/>
                <w:szCs w:val="21"/>
                <w:highlight w:val="none"/>
              </w:rPr>
              <w:t>年度</w:t>
            </w:r>
          </w:p>
        </w:tc>
        <w:tc>
          <w:tcPr>
            <w:tcW w:w="1756" w:type="dxa"/>
            <w:noWrap w:val="0"/>
            <w:vAlign w:val="center"/>
          </w:tcPr>
          <w:p w14:paraId="29F5C0C8">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年度</w:t>
            </w:r>
          </w:p>
        </w:tc>
      </w:tr>
      <w:tr w14:paraId="7210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668FBFA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一、注册资金</w:t>
            </w:r>
          </w:p>
        </w:tc>
        <w:tc>
          <w:tcPr>
            <w:tcW w:w="1755" w:type="dxa"/>
            <w:noWrap w:val="0"/>
            <w:vAlign w:val="center"/>
          </w:tcPr>
          <w:p w14:paraId="540D6DD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EF4D92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6200B1A7">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19D7819">
            <w:pPr>
              <w:widowControl/>
              <w:spacing w:beforeLines="0" w:afterLines="0" w:line="360" w:lineRule="auto"/>
              <w:jc w:val="center"/>
              <w:rPr>
                <w:rFonts w:hint="eastAsia" w:ascii="宋体" w:hAnsi="宋体" w:eastAsia="宋体" w:cs="宋体"/>
                <w:sz w:val="21"/>
                <w:szCs w:val="21"/>
                <w:highlight w:val="none"/>
              </w:rPr>
            </w:pPr>
          </w:p>
        </w:tc>
      </w:tr>
      <w:tr w14:paraId="0E765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6A4A736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二、净资产</w:t>
            </w:r>
          </w:p>
        </w:tc>
        <w:tc>
          <w:tcPr>
            <w:tcW w:w="1755" w:type="dxa"/>
            <w:noWrap w:val="0"/>
            <w:vAlign w:val="center"/>
          </w:tcPr>
          <w:p w14:paraId="6D9D6B7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FE0E10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A240AE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0BEDD2E">
            <w:pPr>
              <w:widowControl/>
              <w:spacing w:beforeLines="0" w:afterLines="0" w:line="360" w:lineRule="auto"/>
              <w:jc w:val="center"/>
              <w:rPr>
                <w:rFonts w:hint="eastAsia" w:ascii="宋体" w:hAnsi="宋体" w:eastAsia="宋体" w:cs="宋体"/>
                <w:sz w:val="21"/>
                <w:szCs w:val="21"/>
                <w:highlight w:val="none"/>
              </w:rPr>
            </w:pPr>
          </w:p>
        </w:tc>
      </w:tr>
      <w:tr w14:paraId="6954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462AA28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三、总资产</w:t>
            </w:r>
          </w:p>
        </w:tc>
        <w:tc>
          <w:tcPr>
            <w:tcW w:w="1755" w:type="dxa"/>
            <w:noWrap w:val="0"/>
            <w:vAlign w:val="center"/>
          </w:tcPr>
          <w:p w14:paraId="0D7D8A94">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5ACB5A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D39C82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3D52C23">
            <w:pPr>
              <w:widowControl/>
              <w:spacing w:beforeLines="0" w:afterLines="0" w:line="360" w:lineRule="auto"/>
              <w:jc w:val="center"/>
              <w:rPr>
                <w:rFonts w:hint="eastAsia" w:ascii="宋体" w:hAnsi="宋体" w:eastAsia="宋体" w:cs="宋体"/>
                <w:sz w:val="21"/>
                <w:szCs w:val="21"/>
                <w:highlight w:val="none"/>
              </w:rPr>
            </w:pPr>
          </w:p>
        </w:tc>
      </w:tr>
      <w:tr w14:paraId="7CFEA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4EB232F">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四、固定资产</w:t>
            </w:r>
          </w:p>
        </w:tc>
        <w:tc>
          <w:tcPr>
            <w:tcW w:w="1755" w:type="dxa"/>
            <w:noWrap w:val="0"/>
            <w:vAlign w:val="center"/>
          </w:tcPr>
          <w:p w14:paraId="0259785A">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75F660C">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320628C">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7FA6764A">
            <w:pPr>
              <w:widowControl/>
              <w:spacing w:beforeLines="0" w:afterLines="0" w:line="360" w:lineRule="auto"/>
              <w:jc w:val="center"/>
              <w:rPr>
                <w:rFonts w:hint="eastAsia" w:ascii="宋体" w:hAnsi="宋体" w:eastAsia="宋体" w:cs="宋体"/>
                <w:sz w:val="21"/>
                <w:szCs w:val="21"/>
                <w:highlight w:val="none"/>
              </w:rPr>
            </w:pPr>
          </w:p>
        </w:tc>
      </w:tr>
      <w:tr w14:paraId="6E6FF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5176118B">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五、流动资产</w:t>
            </w:r>
          </w:p>
        </w:tc>
        <w:tc>
          <w:tcPr>
            <w:tcW w:w="1755" w:type="dxa"/>
            <w:noWrap w:val="0"/>
            <w:vAlign w:val="center"/>
          </w:tcPr>
          <w:p w14:paraId="612ACF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59DC6A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1A60841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BB9B673">
            <w:pPr>
              <w:widowControl/>
              <w:spacing w:beforeLines="0" w:afterLines="0" w:line="360" w:lineRule="auto"/>
              <w:jc w:val="center"/>
              <w:rPr>
                <w:rFonts w:hint="eastAsia" w:ascii="宋体" w:hAnsi="宋体" w:eastAsia="宋体" w:cs="宋体"/>
                <w:sz w:val="21"/>
                <w:szCs w:val="21"/>
                <w:highlight w:val="none"/>
              </w:rPr>
            </w:pPr>
          </w:p>
        </w:tc>
      </w:tr>
      <w:tr w14:paraId="7B4B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276CCE5">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六、流动负债</w:t>
            </w:r>
          </w:p>
        </w:tc>
        <w:tc>
          <w:tcPr>
            <w:tcW w:w="1755" w:type="dxa"/>
            <w:noWrap w:val="0"/>
            <w:vAlign w:val="center"/>
          </w:tcPr>
          <w:p w14:paraId="5A698F3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D08E08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9AA1729">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5D13C9E">
            <w:pPr>
              <w:widowControl/>
              <w:spacing w:beforeLines="0" w:afterLines="0" w:line="360" w:lineRule="auto"/>
              <w:jc w:val="center"/>
              <w:rPr>
                <w:rFonts w:hint="eastAsia" w:ascii="宋体" w:hAnsi="宋体" w:eastAsia="宋体" w:cs="宋体"/>
                <w:sz w:val="21"/>
                <w:szCs w:val="21"/>
                <w:highlight w:val="none"/>
              </w:rPr>
            </w:pPr>
          </w:p>
        </w:tc>
      </w:tr>
      <w:tr w14:paraId="2A1E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03701547">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七、负债合计</w:t>
            </w:r>
          </w:p>
        </w:tc>
        <w:tc>
          <w:tcPr>
            <w:tcW w:w="1755" w:type="dxa"/>
            <w:noWrap w:val="0"/>
            <w:vAlign w:val="center"/>
          </w:tcPr>
          <w:p w14:paraId="03F3056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0C06150">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253F4D9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1E0C27F7">
            <w:pPr>
              <w:widowControl/>
              <w:spacing w:beforeLines="0" w:afterLines="0" w:line="360" w:lineRule="auto"/>
              <w:jc w:val="center"/>
              <w:rPr>
                <w:rFonts w:hint="eastAsia" w:ascii="宋体" w:hAnsi="宋体" w:eastAsia="宋体" w:cs="宋体"/>
                <w:sz w:val="21"/>
                <w:szCs w:val="21"/>
                <w:highlight w:val="none"/>
              </w:rPr>
            </w:pPr>
          </w:p>
        </w:tc>
      </w:tr>
      <w:tr w14:paraId="4D2FB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55" w:type="dxa"/>
            <w:noWrap w:val="0"/>
            <w:vAlign w:val="center"/>
          </w:tcPr>
          <w:p w14:paraId="073CE5C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八、营业收入</w:t>
            </w:r>
          </w:p>
        </w:tc>
        <w:tc>
          <w:tcPr>
            <w:tcW w:w="1755" w:type="dxa"/>
            <w:noWrap w:val="0"/>
            <w:vAlign w:val="center"/>
          </w:tcPr>
          <w:p w14:paraId="2B581213">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0B2E362B">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4A0C08EA">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3F6EA4E0">
            <w:pPr>
              <w:widowControl/>
              <w:spacing w:beforeLines="0" w:afterLines="0" w:line="360" w:lineRule="auto"/>
              <w:jc w:val="center"/>
              <w:rPr>
                <w:rFonts w:hint="eastAsia" w:ascii="宋体" w:hAnsi="宋体" w:eastAsia="宋体" w:cs="宋体"/>
                <w:sz w:val="21"/>
                <w:szCs w:val="21"/>
                <w:highlight w:val="none"/>
              </w:rPr>
            </w:pPr>
          </w:p>
        </w:tc>
      </w:tr>
      <w:tr w14:paraId="0737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755" w:type="dxa"/>
            <w:noWrap w:val="0"/>
            <w:vAlign w:val="center"/>
          </w:tcPr>
          <w:p w14:paraId="775EF643">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九、净利润</w:t>
            </w:r>
          </w:p>
        </w:tc>
        <w:tc>
          <w:tcPr>
            <w:tcW w:w="1755" w:type="dxa"/>
            <w:noWrap w:val="0"/>
            <w:vAlign w:val="center"/>
          </w:tcPr>
          <w:p w14:paraId="150D3DE9">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27E20C8">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3056FABE">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498A8B72">
            <w:pPr>
              <w:widowControl/>
              <w:spacing w:beforeLines="0" w:afterLines="0" w:line="360" w:lineRule="auto"/>
              <w:jc w:val="center"/>
              <w:rPr>
                <w:rFonts w:hint="eastAsia" w:ascii="宋体" w:hAnsi="宋体" w:eastAsia="宋体" w:cs="宋体"/>
                <w:sz w:val="21"/>
                <w:szCs w:val="21"/>
                <w:highlight w:val="none"/>
              </w:rPr>
            </w:pPr>
          </w:p>
        </w:tc>
      </w:tr>
      <w:tr w14:paraId="798E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1755" w:type="dxa"/>
            <w:noWrap w:val="0"/>
            <w:vAlign w:val="center"/>
          </w:tcPr>
          <w:p w14:paraId="5A88F559">
            <w:pPr>
              <w:widowControl/>
              <w:spacing w:beforeLines="0" w:afterLines="0"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w:t>
            </w:r>
          </w:p>
        </w:tc>
        <w:tc>
          <w:tcPr>
            <w:tcW w:w="1755" w:type="dxa"/>
            <w:noWrap w:val="0"/>
            <w:vAlign w:val="center"/>
          </w:tcPr>
          <w:p w14:paraId="30363755">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7E3C05FF">
            <w:pPr>
              <w:widowControl/>
              <w:spacing w:beforeLines="0" w:afterLines="0" w:line="360" w:lineRule="auto"/>
              <w:jc w:val="center"/>
              <w:rPr>
                <w:rFonts w:hint="eastAsia" w:ascii="宋体" w:hAnsi="宋体" w:eastAsia="宋体" w:cs="宋体"/>
                <w:sz w:val="21"/>
                <w:szCs w:val="21"/>
                <w:highlight w:val="none"/>
              </w:rPr>
            </w:pPr>
          </w:p>
        </w:tc>
        <w:tc>
          <w:tcPr>
            <w:tcW w:w="1755" w:type="dxa"/>
            <w:noWrap w:val="0"/>
            <w:vAlign w:val="center"/>
          </w:tcPr>
          <w:p w14:paraId="56761453">
            <w:pPr>
              <w:widowControl/>
              <w:spacing w:beforeLines="0" w:afterLines="0" w:line="360" w:lineRule="auto"/>
              <w:jc w:val="center"/>
              <w:rPr>
                <w:rFonts w:hint="eastAsia" w:ascii="宋体" w:hAnsi="宋体" w:eastAsia="宋体" w:cs="宋体"/>
                <w:sz w:val="21"/>
                <w:szCs w:val="21"/>
                <w:highlight w:val="none"/>
              </w:rPr>
            </w:pPr>
          </w:p>
        </w:tc>
        <w:tc>
          <w:tcPr>
            <w:tcW w:w="1756" w:type="dxa"/>
            <w:noWrap w:val="0"/>
            <w:vAlign w:val="center"/>
          </w:tcPr>
          <w:p w14:paraId="588FE325">
            <w:pPr>
              <w:widowControl/>
              <w:spacing w:beforeLines="0" w:afterLines="0" w:line="360" w:lineRule="auto"/>
              <w:jc w:val="center"/>
              <w:rPr>
                <w:rFonts w:hint="eastAsia" w:ascii="宋体" w:hAnsi="宋体" w:eastAsia="宋体" w:cs="宋体"/>
                <w:sz w:val="21"/>
                <w:szCs w:val="21"/>
                <w:highlight w:val="none"/>
              </w:rPr>
            </w:pPr>
          </w:p>
        </w:tc>
      </w:tr>
    </w:tbl>
    <w:p w14:paraId="195095EE">
      <w:pPr>
        <w:widowControl/>
        <w:autoSpaceDE w:val="0"/>
        <w:autoSpaceDN w:val="0"/>
        <w:adjustRightInd w:val="0"/>
        <w:snapToGrid w:val="0"/>
        <w:spacing w:beforeLines="0" w:afterLines="0" w:line="360" w:lineRule="auto"/>
        <w:ind w:firstLine="0" w:firstLineChars="0"/>
        <w:jc w:val="both"/>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注： 提供近三年（20</w:t>
      </w:r>
      <w:r>
        <w:rPr>
          <w:rFonts w:hint="eastAsia" w:ascii="宋体" w:hAnsi="宋体" w:eastAsia="宋体" w:cs="宋体"/>
          <w:b w:val="0"/>
          <w:bCs w:val="0"/>
          <w:szCs w:val="21"/>
          <w:highlight w:val="none"/>
          <w:lang w:val="en-US" w:eastAsia="zh-CN"/>
        </w:rPr>
        <w:t>23</w:t>
      </w:r>
      <w:r>
        <w:rPr>
          <w:rFonts w:hint="eastAsia" w:ascii="宋体" w:hAnsi="宋体" w:eastAsia="宋体" w:cs="宋体"/>
          <w:b w:val="0"/>
          <w:bCs w:val="0"/>
          <w:szCs w:val="21"/>
          <w:highlight w:val="none"/>
        </w:rPr>
        <w:t>、20</w:t>
      </w:r>
      <w:r>
        <w:rPr>
          <w:rFonts w:hint="eastAsia" w:ascii="宋体" w:hAnsi="宋体" w:eastAsia="宋体" w:cs="宋体"/>
          <w:b w:val="0"/>
          <w:bCs w:val="0"/>
          <w:szCs w:val="21"/>
          <w:highlight w:val="none"/>
          <w:lang w:val="en-US" w:eastAsia="zh-CN"/>
        </w:rPr>
        <w:t>24</w:t>
      </w:r>
      <w:r>
        <w:rPr>
          <w:rFonts w:hint="eastAsia" w:ascii="宋体" w:hAnsi="宋体" w:eastAsia="宋体" w:cs="宋体"/>
          <w:b w:val="0"/>
          <w:bCs w:val="0"/>
          <w:szCs w:val="21"/>
          <w:highlight w:val="none"/>
        </w:rPr>
        <w:t>、202</w:t>
      </w:r>
      <w:r>
        <w:rPr>
          <w:rFonts w:hint="eastAsia" w:ascii="宋体" w:hAnsi="宋体" w:eastAsia="宋体" w:cs="宋体"/>
          <w:b w:val="0"/>
          <w:bCs w:val="0"/>
          <w:szCs w:val="21"/>
          <w:highlight w:val="none"/>
          <w:lang w:val="en-US" w:eastAsia="zh-CN"/>
        </w:rPr>
        <w:t>5</w:t>
      </w:r>
      <w:r>
        <w:rPr>
          <w:rFonts w:hint="eastAsia" w:ascii="宋体" w:hAnsi="宋体" w:eastAsia="宋体" w:cs="宋体"/>
          <w:b w:val="0"/>
          <w:bCs w:val="0"/>
          <w:szCs w:val="21"/>
          <w:highlight w:val="none"/>
        </w:rPr>
        <w:t>）经会计师事务所或审计机构审计的财务</w:t>
      </w:r>
      <w:r>
        <w:rPr>
          <w:rFonts w:hint="eastAsia" w:ascii="宋体" w:hAnsi="宋体" w:eastAsia="宋体" w:cs="宋体"/>
          <w:b w:val="0"/>
          <w:bCs w:val="0"/>
          <w:szCs w:val="21"/>
          <w:highlight w:val="none"/>
          <w:lang w:val="en-US" w:eastAsia="zh-CN"/>
        </w:rPr>
        <w:t>审计</w:t>
      </w:r>
      <w:r>
        <w:rPr>
          <w:rFonts w:hint="eastAsia" w:ascii="宋体" w:hAnsi="宋体" w:eastAsia="宋体" w:cs="宋体"/>
          <w:b w:val="0"/>
          <w:bCs w:val="0"/>
          <w:szCs w:val="21"/>
          <w:highlight w:val="none"/>
        </w:rPr>
        <w:t>报告。</w:t>
      </w:r>
    </w:p>
    <w:p w14:paraId="21AFE7FB">
      <w:pPr>
        <w:widowControl/>
        <w:spacing w:before="0" w:beforeLines="0" w:afterLines="0" w:line="240" w:lineRule="auto"/>
        <w:ind w:left="0" w:leftChars="0" w:firstLine="0" w:firstLineChars="0"/>
        <w:jc w:val="left"/>
        <w:rPr>
          <w:rFonts w:hint="eastAsia" w:ascii="宋体" w:hAnsi="宋体" w:eastAsia="宋体" w:cs="宋体"/>
          <w:sz w:val="24"/>
          <w:szCs w:val="24"/>
          <w:highlight w:val="none"/>
        </w:rPr>
      </w:pPr>
    </w:p>
    <w:p w14:paraId="16565956">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2CB87761">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rPr>
      </w:pPr>
      <w:r>
        <w:rPr>
          <w:rFonts w:hint="eastAsia" w:ascii="宋体" w:hAnsi="宋体" w:eastAsia="宋体" w:cs="宋体"/>
          <w:b/>
          <w:szCs w:val="22"/>
          <w:highlight w:val="none"/>
        </w:rPr>
        <w:br w:type="page"/>
      </w:r>
      <w:r>
        <w:rPr>
          <w:rFonts w:hint="eastAsia" w:ascii="宋体" w:hAnsi="宋体" w:eastAsia="宋体" w:cs="宋体"/>
          <w:b/>
          <w:bCs w:val="0"/>
          <w:color w:val="auto"/>
          <w:kern w:val="0"/>
          <w:sz w:val="24"/>
          <w:szCs w:val="24"/>
          <w:highlight w:val="none"/>
          <w:lang w:val="en-US" w:eastAsia="zh-CN" w:bidi="ar-SA"/>
        </w:rPr>
        <w:t>（三）类似项目情况表</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2169"/>
        <w:gridCol w:w="1505"/>
        <w:gridCol w:w="1505"/>
        <w:gridCol w:w="1506"/>
        <w:gridCol w:w="1514"/>
      </w:tblGrid>
      <w:tr w14:paraId="4A11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40" w:type="dxa"/>
            <w:gridSpan w:val="6"/>
            <w:noWrap w:val="0"/>
            <w:vAlign w:val="top"/>
          </w:tcPr>
          <w:p w14:paraId="3E7C76E7">
            <w:pPr>
              <w:keepNext w:val="0"/>
              <w:keepLines w:val="0"/>
              <w:widowControl/>
              <w:suppressLineNumbers w:val="0"/>
              <w:spacing w:before="0" w:beforeLines="0" w:beforeAutospacing="0" w:after="0" w:afterLines="0" w:afterAutospacing="0" w:line="360" w:lineRule="auto"/>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类似项目汇总表</w:t>
            </w:r>
          </w:p>
        </w:tc>
      </w:tr>
      <w:tr w14:paraId="5F4A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4E5B9B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br w:type="page"/>
            </w:r>
            <w:r>
              <w:rPr>
                <w:rFonts w:hint="eastAsia" w:ascii="宋体" w:hAnsi="宋体" w:eastAsia="宋体" w:cs="宋体"/>
                <w:color w:val="auto"/>
                <w:sz w:val="21"/>
                <w:szCs w:val="21"/>
                <w:highlight w:val="none"/>
                <w:vertAlign w:val="baseline"/>
                <w:lang w:val="en-US" w:eastAsia="zh-CN"/>
              </w:rPr>
              <w:t>序号</w:t>
            </w:r>
          </w:p>
        </w:tc>
        <w:tc>
          <w:tcPr>
            <w:tcW w:w="2169" w:type="dxa"/>
            <w:noWrap w:val="0"/>
            <w:vAlign w:val="top"/>
          </w:tcPr>
          <w:p w14:paraId="1F61EDC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项目名称</w:t>
            </w:r>
          </w:p>
        </w:tc>
        <w:tc>
          <w:tcPr>
            <w:tcW w:w="1505" w:type="dxa"/>
            <w:noWrap w:val="0"/>
            <w:vAlign w:val="top"/>
          </w:tcPr>
          <w:p w14:paraId="0B7902B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发包人</w:t>
            </w:r>
          </w:p>
        </w:tc>
        <w:tc>
          <w:tcPr>
            <w:tcW w:w="1505" w:type="dxa"/>
            <w:noWrap w:val="0"/>
            <w:vAlign w:val="top"/>
          </w:tcPr>
          <w:p w14:paraId="65D6EE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合同金额</w:t>
            </w:r>
          </w:p>
        </w:tc>
        <w:tc>
          <w:tcPr>
            <w:tcW w:w="1506" w:type="dxa"/>
            <w:noWrap w:val="0"/>
            <w:vAlign w:val="top"/>
          </w:tcPr>
          <w:p w14:paraId="522BDD9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签订时间</w:t>
            </w:r>
          </w:p>
        </w:tc>
        <w:tc>
          <w:tcPr>
            <w:tcW w:w="1514" w:type="dxa"/>
            <w:noWrap w:val="0"/>
            <w:vAlign w:val="top"/>
          </w:tcPr>
          <w:p w14:paraId="6A35E5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项目负责人</w:t>
            </w:r>
          </w:p>
        </w:tc>
      </w:tr>
      <w:tr w14:paraId="043B7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69BF195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68F0AC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7152B7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91AD66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6F6492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CE085E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43AD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3CE6A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778A3A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2FCE44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DFF3BC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7CE6A04">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AB85D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43187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D0BB13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808EDFA">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FE15D7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D20D645">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B63544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749A413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3AEB8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9E4720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7541477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1816390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84495D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B80947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237D94B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25E1D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546BC2E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0BC38852">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4217FDD1">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2BA8F8DD">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10742F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4818220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7DAB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0602804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1D899267">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357751C">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2AE5C7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55E41C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5C99551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1F9E2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41" w:type="dxa"/>
            <w:noWrap w:val="0"/>
            <w:vAlign w:val="top"/>
          </w:tcPr>
          <w:p w14:paraId="20E4DA0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27A4EE40">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90B6988">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77D98DC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61D5B56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662B8E6F">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r w14:paraId="031CC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841" w:type="dxa"/>
            <w:noWrap w:val="0"/>
            <w:vAlign w:val="top"/>
          </w:tcPr>
          <w:p w14:paraId="3874225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2169" w:type="dxa"/>
            <w:noWrap w:val="0"/>
            <w:vAlign w:val="top"/>
          </w:tcPr>
          <w:p w14:paraId="3566EBBB">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54136826">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5" w:type="dxa"/>
            <w:noWrap w:val="0"/>
            <w:vAlign w:val="top"/>
          </w:tcPr>
          <w:p w14:paraId="3A4AE423">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06" w:type="dxa"/>
            <w:noWrap w:val="0"/>
            <w:vAlign w:val="top"/>
          </w:tcPr>
          <w:p w14:paraId="44F9919E">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c>
          <w:tcPr>
            <w:tcW w:w="1514" w:type="dxa"/>
            <w:noWrap w:val="0"/>
            <w:vAlign w:val="top"/>
          </w:tcPr>
          <w:p w14:paraId="08AA9BD9">
            <w:pPr>
              <w:keepNext w:val="0"/>
              <w:keepLines w:val="0"/>
              <w:widowControl/>
              <w:suppressLineNumbers w:val="0"/>
              <w:spacing w:before="0" w:beforeLines="0" w:beforeAutospacing="0" w:after="0" w:afterLines="0" w:afterAutospacing="0" w:line="360" w:lineRule="auto"/>
              <w:ind w:left="0" w:right="0"/>
              <w:jc w:val="both"/>
              <w:rPr>
                <w:rFonts w:hint="eastAsia" w:ascii="宋体" w:hAnsi="宋体" w:eastAsia="宋体" w:cs="宋体"/>
                <w:color w:val="auto"/>
                <w:sz w:val="21"/>
                <w:szCs w:val="21"/>
                <w:highlight w:val="none"/>
                <w:vertAlign w:val="baseline"/>
              </w:rPr>
            </w:pPr>
          </w:p>
        </w:tc>
      </w:tr>
    </w:tbl>
    <w:p w14:paraId="41EA6E10">
      <w:pPr>
        <w:widowControl/>
        <w:spacing w:beforeLines="0" w:afterLines="0" w:line="360" w:lineRule="auto"/>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注：后附单项情况表。</w:t>
      </w:r>
    </w:p>
    <w:p w14:paraId="000013AB">
      <w:pPr>
        <w:widowControl/>
        <w:spacing w:beforeLines="0" w:afterLines="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2"/>
          <w:highlight w:val="none"/>
        </w:rPr>
        <w:br w:type="page"/>
      </w:r>
      <w:r>
        <w:rPr>
          <w:rFonts w:hint="eastAsia" w:ascii="宋体" w:hAnsi="宋体" w:eastAsia="宋体" w:cs="宋体"/>
          <w:color w:val="auto"/>
          <w:sz w:val="21"/>
          <w:szCs w:val="21"/>
          <w:highlight w:val="none"/>
          <w:lang w:val="en-US" w:eastAsia="zh-CN"/>
        </w:rPr>
        <w:t>序号：</w:t>
      </w:r>
    </w:p>
    <w:tbl>
      <w:tblPr>
        <w:tblStyle w:val="2"/>
        <w:tblW w:w="8499" w:type="dxa"/>
        <w:tblInd w:w="1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351"/>
        <w:gridCol w:w="6148"/>
      </w:tblGrid>
      <w:tr w14:paraId="071C0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8" w:hRule="exact"/>
        </w:trPr>
        <w:tc>
          <w:tcPr>
            <w:tcW w:w="2351" w:type="dxa"/>
            <w:noWrap w:val="0"/>
            <w:vAlign w:val="center"/>
          </w:tcPr>
          <w:p w14:paraId="2F82758B">
            <w:pPr>
              <w:widowControl/>
              <w:jc w:val="left"/>
              <w:rPr>
                <w:rFonts w:ascii="Times New Roman" w:hAnsi="Times New Roman" w:eastAsia="宋体" w:cs="Times New Roman"/>
                <w:szCs w:val="22"/>
              </w:rPr>
            </w:pPr>
          </w:p>
          <w:p w14:paraId="2DE4640E">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设备名称</w:t>
            </w:r>
          </w:p>
        </w:tc>
        <w:tc>
          <w:tcPr>
            <w:tcW w:w="6148" w:type="dxa"/>
            <w:noWrap w:val="0"/>
            <w:vAlign w:val="top"/>
          </w:tcPr>
          <w:p w14:paraId="296BA194">
            <w:pPr>
              <w:widowControl/>
              <w:spacing w:beforeLines="0" w:afterLines="0" w:line="360" w:lineRule="auto"/>
              <w:jc w:val="left"/>
              <w:rPr>
                <w:rFonts w:hint="eastAsia" w:ascii="宋体" w:hAnsi="宋体" w:eastAsia="宋体" w:cs="宋体"/>
                <w:color w:val="auto"/>
                <w:sz w:val="21"/>
                <w:szCs w:val="21"/>
                <w:highlight w:val="none"/>
              </w:rPr>
            </w:pPr>
          </w:p>
        </w:tc>
      </w:tr>
      <w:tr w14:paraId="2202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3" w:hRule="exact"/>
        </w:trPr>
        <w:tc>
          <w:tcPr>
            <w:tcW w:w="2351" w:type="dxa"/>
            <w:noWrap w:val="0"/>
            <w:vAlign w:val="center"/>
          </w:tcPr>
          <w:p w14:paraId="11A2D636">
            <w:pPr>
              <w:widowControl/>
              <w:jc w:val="left"/>
              <w:rPr>
                <w:rFonts w:ascii="Times New Roman" w:hAnsi="Times New Roman" w:eastAsia="宋体" w:cs="Times New Roman"/>
                <w:szCs w:val="22"/>
              </w:rPr>
            </w:pPr>
          </w:p>
          <w:p w14:paraId="50CCA959">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规格和型号</w:t>
            </w:r>
          </w:p>
        </w:tc>
        <w:tc>
          <w:tcPr>
            <w:tcW w:w="6148" w:type="dxa"/>
            <w:noWrap w:val="0"/>
            <w:vAlign w:val="top"/>
          </w:tcPr>
          <w:p w14:paraId="72FBBC61">
            <w:pPr>
              <w:widowControl/>
              <w:spacing w:beforeLines="0" w:afterLines="0" w:line="360" w:lineRule="auto"/>
              <w:jc w:val="left"/>
              <w:rPr>
                <w:rFonts w:hint="eastAsia" w:ascii="宋体" w:hAnsi="宋体" w:eastAsia="宋体" w:cs="宋体"/>
                <w:color w:val="auto"/>
                <w:sz w:val="21"/>
                <w:szCs w:val="21"/>
                <w:highlight w:val="none"/>
              </w:rPr>
            </w:pPr>
          </w:p>
        </w:tc>
      </w:tr>
      <w:tr w14:paraId="64EA8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1" w:hRule="exact"/>
        </w:trPr>
        <w:tc>
          <w:tcPr>
            <w:tcW w:w="2351" w:type="dxa"/>
            <w:noWrap w:val="0"/>
            <w:vAlign w:val="center"/>
          </w:tcPr>
          <w:p w14:paraId="6ECC707C">
            <w:pPr>
              <w:widowControl/>
              <w:jc w:val="left"/>
              <w:rPr>
                <w:rFonts w:ascii="Times New Roman" w:hAnsi="Times New Roman" w:eastAsia="宋体" w:cs="Times New Roman"/>
                <w:szCs w:val="22"/>
              </w:rPr>
            </w:pPr>
          </w:p>
          <w:p w14:paraId="6941C823">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项目名称</w:t>
            </w:r>
          </w:p>
        </w:tc>
        <w:tc>
          <w:tcPr>
            <w:tcW w:w="6148" w:type="dxa"/>
            <w:noWrap w:val="0"/>
            <w:vAlign w:val="top"/>
          </w:tcPr>
          <w:p w14:paraId="3204AC7D">
            <w:pPr>
              <w:widowControl/>
              <w:spacing w:beforeLines="0" w:afterLines="0" w:line="360" w:lineRule="auto"/>
              <w:jc w:val="left"/>
              <w:rPr>
                <w:rFonts w:hint="eastAsia" w:ascii="宋体" w:hAnsi="宋体" w:eastAsia="宋体" w:cs="宋体"/>
                <w:color w:val="auto"/>
                <w:sz w:val="21"/>
                <w:szCs w:val="21"/>
                <w:highlight w:val="none"/>
              </w:rPr>
            </w:pPr>
          </w:p>
        </w:tc>
      </w:tr>
      <w:tr w14:paraId="0C0CD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4" w:hRule="exact"/>
        </w:trPr>
        <w:tc>
          <w:tcPr>
            <w:tcW w:w="2351" w:type="dxa"/>
            <w:noWrap w:val="0"/>
            <w:vAlign w:val="center"/>
          </w:tcPr>
          <w:p w14:paraId="597504DF">
            <w:pPr>
              <w:widowControl/>
              <w:jc w:val="left"/>
              <w:rPr>
                <w:rFonts w:ascii="Times New Roman" w:hAnsi="Times New Roman" w:eastAsia="宋体" w:cs="Times New Roman"/>
                <w:szCs w:val="22"/>
              </w:rPr>
            </w:pPr>
          </w:p>
          <w:p w14:paraId="3C50958F">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买方名称</w:t>
            </w:r>
          </w:p>
        </w:tc>
        <w:tc>
          <w:tcPr>
            <w:tcW w:w="6148" w:type="dxa"/>
            <w:noWrap w:val="0"/>
            <w:vAlign w:val="top"/>
          </w:tcPr>
          <w:p w14:paraId="552627DF">
            <w:pPr>
              <w:widowControl/>
              <w:spacing w:beforeLines="0" w:afterLines="0" w:line="360" w:lineRule="auto"/>
              <w:jc w:val="left"/>
              <w:rPr>
                <w:rFonts w:hint="eastAsia" w:ascii="宋体" w:hAnsi="宋体" w:eastAsia="宋体" w:cs="宋体"/>
                <w:color w:val="auto"/>
                <w:sz w:val="21"/>
                <w:szCs w:val="21"/>
                <w:highlight w:val="none"/>
              </w:rPr>
            </w:pPr>
          </w:p>
        </w:tc>
      </w:tr>
      <w:tr w14:paraId="4645E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8" w:hRule="exact"/>
        </w:trPr>
        <w:tc>
          <w:tcPr>
            <w:tcW w:w="2351" w:type="dxa"/>
            <w:noWrap w:val="0"/>
            <w:vAlign w:val="center"/>
          </w:tcPr>
          <w:p w14:paraId="2B9D79BC">
            <w:pPr>
              <w:widowControl/>
              <w:jc w:val="left"/>
              <w:rPr>
                <w:rFonts w:ascii="Times New Roman" w:hAnsi="Times New Roman" w:eastAsia="宋体" w:cs="Times New Roman"/>
                <w:szCs w:val="22"/>
              </w:rPr>
            </w:pPr>
          </w:p>
          <w:p w14:paraId="5AB85AB0">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买方联系人及电话</w:t>
            </w:r>
          </w:p>
        </w:tc>
        <w:tc>
          <w:tcPr>
            <w:tcW w:w="6148" w:type="dxa"/>
            <w:noWrap w:val="0"/>
            <w:vAlign w:val="top"/>
          </w:tcPr>
          <w:p w14:paraId="48B5089F">
            <w:pPr>
              <w:widowControl/>
              <w:spacing w:beforeLines="0" w:afterLines="0" w:line="360" w:lineRule="auto"/>
              <w:jc w:val="left"/>
              <w:rPr>
                <w:rFonts w:hint="eastAsia" w:ascii="宋体" w:hAnsi="宋体" w:eastAsia="宋体" w:cs="宋体"/>
                <w:color w:val="auto"/>
                <w:sz w:val="21"/>
                <w:szCs w:val="21"/>
                <w:highlight w:val="none"/>
              </w:rPr>
            </w:pPr>
          </w:p>
        </w:tc>
      </w:tr>
      <w:tr w14:paraId="65DC0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exact"/>
        </w:trPr>
        <w:tc>
          <w:tcPr>
            <w:tcW w:w="2351" w:type="dxa"/>
            <w:noWrap w:val="0"/>
            <w:vAlign w:val="center"/>
          </w:tcPr>
          <w:p w14:paraId="156B94C2">
            <w:pPr>
              <w:widowControl/>
              <w:jc w:val="left"/>
              <w:rPr>
                <w:rFonts w:ascii="Times New Roman" w:hAnsi="Times New Roman" w:eastAsia="宋体" w:cs="Times New Roman"/>
                <w:szCs w:val="22"/>
              </w:rPr>
            </w:pPr>
          </w:p>
          <w:p w14:paraId="377AEEC6">
            <w:pPr>
              <w:widowControl w:val="0"/>
              <w:spacing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签约合同价</w:t>
            </w:r>
          </w:p>
        </w:tc>
        <w:tc>
          <w:tcPr>
            <w:tcW w:w="6148" w:type="dxa"/>
            <w:noWrap w:val="0"/>
            <w:vAlign w:val="top"/>
          </w:tcPr>
          <w:p w14:paraId="42EF9365">
            <w:pPr>
              <w:widowControl/>
              <w:spacing w:beforeLines="0" w:afterLines="0" w:line="360" w:lineRule="auto"/>
              <w:jc w:val="left"/>
              <w:rPr>
                <w:rFonts w:hint="eastAsia" w:ascii="宋体" w:hAnsi="宋体" w:eastAsia="宋体" w:cs="宋体"/>
                <w:color w:val="auto"/>
                <w:sz w:val="21"/>
                <w:szCs w:val="21"/>
                <w:highlight w:val="none"/>
              </w:rPr>
            </w:pPr>
          </w:p>
        </w:tc>
      </w:tr>
      <w:tr w14:paraId="153F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22" w:hRule="exact"/>
        </w:trPr>
        <w:tc>
          <w:tcPr>
            <w:tcW w:w="2351" w:type="dxa"/>
            <w:noWrap w:val="0"/>
            <w:vAlign w:val="center"/>
          </w:tcPr>
          <w:p w14:paraId="5A4D8B6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4AD4915F">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028BB9F8">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65565C46">
            <w:pPr>
              <w:widowControl w:val="0"/>
              <w:spacing w:beforeLines="0" w:afterLines="0" w:line="360" w:lineRule="auto"/>
              <w:jc w:val="center"/>
              <w:rPr>
                <w:rFonts w:hint="eastAsia" w:ascii="宋体" w:hAnsi="宋体" w:eastAsia="宋体" w:cs="宋体"/>
                <w:color w:val="auto"/>
                <w:kern w:val="0"/>
                <w:sz w:val="21"/>
                <w:szCs w:val="21"/>
                <w:highlight w:val="none"/>
                <w:lang w:val="en-US" w:eastAsia="zh-CN" w:bidi="ar-SA"/>
              </w:rPr>
            </w:pPr>
          </w:p>
          <w:p w14:paraId="199CAD02">
            <w:pPr>
              <w:widowControl w:val="0"/>
              <w:spacing w:before="0" w:beforeLines="0" w:afterLines="0" w:line="360" w:lineRule="auto"/>
              <w:ind w:left="0" w:right="0" w:firstLine="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项目概况及投标人履 约情况</w:t>
            </w:r>
          </w:p>
        </w:tc>
        <w:tc>
          <w:tcPr>
            <w:tcW w:w="6148" w:type="dxa"/>
            <w:noWrap w:val="0"/>
            <w:vAlign w:val="top"/>
          </w:tcPr>
          <w:p w14:paraId="39C7684E">
            <w:pPr>
              <w:widowControl/>
              <w:spacing w:beforeLines="0" w:afterLines="0" w:line="360" w:lineRule="auto"/>
              <w:jc w:val="left"/>
              <w:rPr>
                <w:rFonts w:hint="eastAsia" w:ascii="宋体" w:hAnsi="宋体" w:eastAsia="宋体" w:cs="宋体"/>
                <w:color w:val="auto"/>
                <w:sz w:val="21"/>
                <w:szCs w:val="21"/>
                <w:highlight w:val="none"/>
              </w:rPr>
            </w:pPr>
          </w:p>
        </w:tc>
      </w:tr>
      <w:tr w14:paraId="12181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exact"/>
        </w:trPr>
        <w:tc>
          <w:tcPr>
            <w:tcW w:w="2351" w:type="dxa"/>
            <w:noWrap w:val="0"/>
            <w:vAlign w:val="center"/>
          </w:tcPr>
          <w:p w14:paraId="1B50BE4F">
            <w:pPr>
              <w:widowControl/>
              <w:jc w:val="left"/>
              <w:rPr>
                <w:rFonts w:ascii="Times New Roman" w:hAnsi="Times New Roman" w:eastAsia="宋体" w:cs="Times New Roman"/>
                <w:szCs w:val="22"/>
              </w:rPr>
            </w:pPr>
          </w:p>
          <w:p w14:paraId="1860FDA1">
            <w:pPr>
              <w:widowControl w:val="0"/>
              <w:spacing w:before="0" w:beforeLines="0" w:afterLines="0" w:line="360" w:lineRule="auto"/>
              <w:ind w:left="0" w:right="0"/>
              <w:jc w:val="center"/>
              <w:rPr>
                <w:rFonts w:hint="eastAsia" w:ascii="宋体" w:hAnsi="宋体" w:eastAsia="宋体" w:cs="宋体"/>
                <w:color w:val="auto"/>
                <w:kern w:val="0"/>
                <w:sz w:val="21"/>
                <w:szCs w:val="21"/>
                <w:highlight w:val="none"/>
                <w:lang w:val="en-US" w:eastAsia="en-US" w:bidi="ar-SA"/>
              </w:rPr>
            </w:pPr>
            <w:r>
              <w:rPr>
                <w:rFonts w:hint="eastAsia" w:ascii="宋体" w:hAnsi="宋体" w:eastAsia="宋体" w:cs="宋体"/>
                <w:color w:val="auto"/>
                <w:kern w:val="0"/>
                <w:sz w:val="21"/>
                <w:szCs w:val="21"/>
                <w:highlight w:val="none"/>
                <w:lang w:val="en-US" w:eastAsia="en-US" w:bidi="ar-SA"/>
              </w:rPr>
              <w:t>备注</w:t>
            </w:r>
          </w:p>
        </w:tc>
        <w:tc>
          <w:tcPr>
            <w:tcW w:w="6148" w:type="dxa"/>
            <w:noWrap w:val="0"/>
            <w:vAlign w:val="top"/>
          </w:tcPr>
          <w:p w14:paraId="2FC47538">
            <w:pPr>
              <w:widowControl/>
              <w:spacing w:beforeLines="0" w:afterLines="0" w:line="360" w:lineRule="auto"/>
              <w:jc w:val="left"/>
              <w:rPr>
                <w:rFonts w:hint="eastAsia" w:ascii="宋体" w:hAnsi="宋体" w:eastAsia="宋体" w:cs="宋体"/>
                <w:color w:val="auto"/>
                <w:sz w:val="21"/>
                <w:szCs w:val="21"/>
                <w:highlight w:val="none"/>
              </w:rPr>
            </w:pPr>
          </w:p>
        </w:tc>
      </w:tr>
    </w:tbl>
    <w:p w14:paraId="02891EA9">
      <w:pPr>
        <w:spacing w:before="0" w:beforeLines="0" w:after="0" w:afterLines="0" w:line="360" w:lineRule="auto"/>
        <w:ind w:left="0" w:right="0" w:firstLine="0"/>
        <w:rPr>
          <w:rFonts w:hint="eastAsia" w:ascii="宋体" w:hAnsi="宋体" w:eastAsia="宋体" w:cs="宋体"/>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注：投标人如实填写表格中内容并在本表后附中标通知书、合同协议书原件的扫描件（或照片）</w:t>
      </w:r>
      <w:r>
        <w:rPr>
          <w:rFonts w:hint="eastAsia" w:ascii="宋体" w:hAnsi="宋体" w:eastAsia="宋体" w:cs="宋体"/>
          <w:b/>
          <w:bCs/>
          <w:kern w:val="2"/>
          <w:sz w:val="21"/>
          <w:szCs w:val="21"/>
          <w:highlight w:val="none"/>
          <w:lang w:val="en-US" w:eastAsia="zh-CN" w:bidi="ar-SA"/>
        </w:rPr>
        <w:t>。</w:t>
      </w:r>
    </w:p>
    <w:p w14:paraId="7BD54250">
      <w:pPr>
        <w:spacing w:before="0" w:beforeLines="0" w:after="0" w:afterLines="0" w:line="240" w:lineRule="auto"/>
        <w:ind w:left="0" w:right="0" w:firstLine="0"/>
        <w:rPr>
          <w:rFonts w:hint="eastAsia" w:ascii="宋体" w:hAnsi="宋体" w:eastAsia="宋体" w:cs="宋体"/>
          <w:b/>
          <w:kern w:val="2"/>
          <w:sz w:val="21"/>
          <w:szCs w:val="22"/>
          <w:highlight w:val="none"/>
          <w:lang w:val="en-US" w:eastAsia="zh-CN" w:bidi="ar-SA"/>
        </w:rPr>
      </w:pPr>
    </w:p>
    <w:p w14:paraId="557E1AA5">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4"/>
          <w:szCs w:val="24"/>
          <w:highlight w:val="none"/>
        </w:rPr>
      </w:pPr>
      <w:r>
        <w:rPr>
          <w:rFonts w:hint="eastAsia" w:ascii="宋体" w:hAnsi="宋体" w:eastAsia="宋体" w:cs="宋体"/>
          <w:b/>
          <w:szCs w:val="22"/>
          <w:highlight w:val="none"/>
        </w:rPr>
        <w:br w:type="page"/>
      </w:r>
      <w:bookmarkStart w:id="921" w:name="_Toc32663"/>
      <w:r>
        <w:rPr>
          <w:rFonts w:hint="eastAsia" w:ascii="宋体" w:hAnsi="宋体" w:eastAsia="宋体" w:cs="宋体"/>
          <w:b/>
          <w:bCs w:val="0"/>
          <w:color w:val="auto"/>
          <w:kern w:val="0"/>
          <w:sz w:val="24"/>
          <w:szCs w:val="24"/>
          <w:highlight w:val="none"/>
          <w:lang w:val="en-US" w:eastAsia="zh-CN" w:bidi="ar-SA"/>
        </w:rPr>
        <w:t>（四）项目实施团队人员配置表</w:t>
      </w:r>
      <w:bookmarkEnd w:id="921"/>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034"/>
        <w:gridCol w:w="1035"/>
        <w:gridCol w:w="1157"/>
        <w:gridCol w:w="913"/>
        <w:gridCol w:w="1035"/>
        <w:gridCol w:w="1035"/>
        <w:gridCol w:w="1169"/>
      </w:tblGrid>
      <w:tr w14:paraId="1B3F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7" w:hRule="atLeast"/>
          <w:jc w:val="center"/>
        </w:trPr>
        <w:tc>
          <w:tcPr>
            <w:tcW w:w="1034" w:type="dxa"/>
            <w:noWrap w:val="0"/>
            <w:vAlign w:val="center"/>
          </w:tcPr>
          <w:p w14:paraId="7725C38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序号</w:t>
            </w:r>
          </w:p>
        </w:tc>
        <w:tc>
          <w:tcPr>
            <w:tcW w:w="1034" w:type="dxa"/>
            <w:noWrap w:val="0"/>
            <w:vAlign w:val="center"/>
          </w:tcPr>
          <w:p w14:paraId="7F3BF9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1035" w:type="dxa"/>
            <w:noWrap w:val="0"/>
            <w:vAlign w:val="center"/>
          </w:tcPr>
          <w:p w14:paraId="4B12E5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职称</w:t>
            </w:r>
          </w:p>
        </w:tc>
        <w:tc>
          <w:tcPr>
            <w:tcW w:w="1157" w:type="dxa"/>
            <w:noWrap w:val="0"/>
            <w:vAlign w:val="center"/>
          </w:tcPr>
          <w:p w14:paraId="65A1CB0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证书名称</w:t>
            </w:r>
          </w:p>
        </w:tc>
        <w:tc>
          <w:tcPr>
            <w:tcW w:w="913" w:type="dxa"/>
            <w:noWrap w:val="0"/>
            <w:vAlign w:val="center"/>
          </w:tcPr>
          <w:p w14:paraId="1AE5DB4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级别</w:t>
            </w:r>
          </w:p>
        </w:tc>
        <w:tc>
          <w:tcPr>
            <w:tcW w:w="1035" w:type="dxa"/>
            <w:noWrap w:val="0"/>
            <w:vAlign w:val="center"/>
          </w:tcPr>
          <w:p w14:paraId="2E076C9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证书编号</w:t>
            </w:r>
          </w:p>
        </w:tc>
        <w:tc>
          <w:tcPr>
            <w:tcW w:w="1035" w:type="dxa"/>
            <w:noWrap w:val="0"/>
            <w:vAlign w:val="center"/>
          </w:tcPr>
          <w:p w14:paraId="1502DB4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w:t>
            </w:r>
          </w:p>
        </w:tc>
        <w:tc>
          <w:tcPr>
            <w:tcW w:w="1169" w:type="dxa"/>
            <w:noWrap w:val="0"/>
            <w:vAlign w:val="center"/>
          </w:tcPr>
          <w:p w14:paraId="0F80C73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54CFD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1949A2A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978D15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246C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2967C4F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131EAD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E871B2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4E8D6B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0FAD803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E5E0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2BA2DC2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9AFFD1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D85216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4A863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28040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96C737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6A7E1F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B03D0A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C05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514F349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7A200AC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BD81C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5430CD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0829E7E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558784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F4FC0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02FA0A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951A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63382A5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C7828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59C23E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98B7B6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B64FA9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F46D9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648C94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F4C762B">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37F85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73CA988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35D05E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B5B33D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5F2E16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35AE6A6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268872F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BC90D7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5D4D3DB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087B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02DDD7C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5501C6D9">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ADAE47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716154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4647085D">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1BE012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74FE483">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4CA996A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B28B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C0362A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10E56FD4">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3E8E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0AA5B17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1888BC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9FBCA5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D2DDBC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7194E05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4DE07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1034" w:type="dxa"/>
            <w:noWrap w:val="0"/>
            <w:vAlign w:val="center"/>
          </w:tcPr>
          <w:p w14:paraId="3F0585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2BA8177C">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92836A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3EEF58A">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229CC8C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D4C9DF">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0B0C7E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33480F1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51CC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642C5F35">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35F97E16">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4989D35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1C96654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6C5F55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086A3C9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7C46FCF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A91B83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r w14:paraId="1658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034" w:type="dxa"/>
            <w:noWrap w:val="0"/>
            <w:vAlign w:val="center"/>
          </w:tcPr>
          <w:p w14:paraId="0E927CA0">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4" w:type="dxa"/>
            <w:noWrap w:val="0"/>
            <w:vAlign w:val="center"/>
          </w:tcPr>
          <w:p w14:paraId="6C73C9B7">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605C19B8">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57" w:type="dxa"/>
            <w:noWrap w:val="0"/>
            <w:vAlign w:val="center"/>
          </w:tcPr>
          <w:p w14:paraId="6BDEE3C1">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913" w:type="dxa"/>
            <w:noWrap w:val="0"/>
            <w:vAlign w:val="center"/>
          </w:tcPr>
          <w:p w14:paraId="5901ED0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354C73FE">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035" w:type="dxa"/>
            <w:noWrap w:val="0"/>
            <w:vAlign w:val="center"/>
          </w:tcPr>
          <w:p w14:paraId="520FF08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c>
          <w:tcPr>
            <w:tcW w:w="1169" w:type="dxa"/>
            <w:noWrap w:val="0"/>
            <w:vAlign w:val="center"/>
          </w:tcPr>
          <w:p w14:paraId="6B98BEE2">
            <w:pPr>
              <w:widowControl/>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4"/>
                <w:highlight w:val="none"/>
              </w:rPr>
            </w:pPr>
          </w:p>
        </w:tc>
      </w:tr>
    </w:tbl>
    <w:p w14:paraId="599392BD">
      <w:pPr>
        <w:widowControl w:val="0"/>
        <w:autoSpaceDE w:val="0"/>
        <w:autoSpaceDN w:val="0"/>
        <w:adjustRightInd w:val="0"/>
        <w:spacing w:beforeLines="0" w:afterLines="0" w:line="360" w:lineRule="auto"/>
        <w:ind w:left="120" w:hanging="120"/>
        <w:jc w:val="left"/>
        <w:rPr>
          <w:rFonts w:hint="eastAsia" w:ascii="宋体" w:hAnsi="宋体" w:eastAsia="宋体" w:cs="宋体"/>
          <w:b w:val="0"/>
          <w:bCs w:val="0"/>
          <w:color w:val="000000"/>
          <w:kern w:val="0"/>
          <w:sz w:val="21"/>
          <w:szCs w:val="21"/>
          <w:highlight w:val="none"/>
          <w:lang w:val="en-US" w:eastAsia="zh-CN" w:bidi="ar-SA"/>
        </w:rPr>
      </w:pPr>
      <w:r>
        <w:rPr>
          <w:rFonts w:hint="eastAsia" w:ascii="宋体" w:hAnsi="宋体" w:eastAsia="宋体" w:cs="宋体"/>
          <w:b w:val="0"/>
          <w:bCs w:val="0"/>
          <w:color w:val="000000"/>
          <w:kern w:val="0"/>
          <w:sz w:val="21"/>
          <w:szCs w:val="21"/>
          <w:highlight w:val="none"/>
          <w:lang w:val="en-US" w:eastAsia="zh-CN" w:bidi="ar-SA"/>
        </w:rPr>
        <w:t>注：本表投标人须附人员有效身份证正反面、对应资格证书、2025年9月1日以来任意一个月社保证明。</w:t>
      </w:r>
    </w:p>
    <w:p w14:paraId="30128ECD">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421E067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8B26EB">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17D63051">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6E13A14C">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70DEF8F6">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069BAE05">
      <w:pPr>
        <w:widowControl/>
        <w:adjustRightInd/>
        <w:snapToGrid/>
        <w:spacing w:before="0" w:beforeLines="-2147483648" w:afterLines="-2147483648" w:line="240" w:lineRule="auto"/>
        <w:jc w:val="left"/>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br w:type="page"/>
      </w:r>
    </w:p>
    <w:p w14:paraId="021E74A3">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（五）投标资料真实性承诺书</w:t>
      </w:r>
    </w:p>
    <w:p w14:paraId="6885C823">
      <w:pPr>
        <w:keepNext/>
        <w:keepLines/>
        <w:pageBreakBefore w:val="0"/>
        <w:widowControl w:val="0"/>
        <w:kinsoku/>
        <w:wordWrap/>
        <w:overflowPunct/>
        <w:topLinePunct w:val="0"/>
        <w:autoSpaceDE/>
        <w:autoSpaceDN/>
        <w:bidi w:val="0"/>
        <w:adjustRightInd/>
        <w:snapToGrid/>
        <w:spacing w:before="0" w:beforeLines="0" w:after="0" w:afterLines="0" w:line="360" w:lineRule="auto"/>
        <w:jc w:val="center"/>
        <w:textAlignment w:val="auto"/>
        <w:outlineLvl w:val="9"/>
        <w:rPr>
          <w:rFonts w:hint="eastAsia" w:ascii="宋体" w:hAnsi="宋体" w:eastAsia="宋体" w:cs="宋体"/>
          <w:b w:val="0"/>
          <w:bCs w:val="0"/>
          <w:color w:val="auto"/>
          <w:kern w:val="0"/>
          <w:sz w:val="21"/>
          <w:szCs w:val="21"/>
          <w:highlight w:val="none"/>
          <w:lang w:val="en-US" w:eastAsia="zh-CN" w:bidi="ar-SA"/>
        </w:rPr>
      </w:pPr>
      <w:r>
        <w:rPr>
          <w:rFonts w:hint="eastAsia" w:ascii="宋体" w:hAnsi="宋体" w:eastAsia="宋体" w:cs="宋体"/>
          <w:b w:val="0"/>
          <w:bCs w:val="0"/>
          <w:color w:val="auto"/>
          <w:kern w:val="0"/>
          <w:sz w:val="21"/>
          <w:szCs w:val="21"/>
          <w:highlight w:val="none"/>
          <w:lang w:val="en-US" w:eastAsia="zh-CN" w:bidi="ar-SA"/>
        </w:rPr>
        <w:t>投标资料真实性承诺书</w:t>
      </w:r>
    </w:p>
    <w:p w14:paraId="0C3FD6BD">
      <w:pPr>
        <w:widowControl/>
        <w:spacing w:beforeLines="0" w:afterLines="0" w:line="360" w:lineRule="auto"/>
        <w:ind w:left="0" w:firstLine="0" w:firstLineChars="0"/>
        <w:jc w:val="left"/>
        <w:rPr>
          <w:rFonts w:hint="eastAsia" w:ascii="宋体" w:hAnsi="宋体" w:eastAsia="宋体" w:cs="宋体"/>
          <w:color w:val="auto"/>
          <w:sz w:val="21"/>
          <w:szCs w:val="21"/>
          <w:highlight w:val="none"/>
        </w:rPr>
      </w:pPr>
    </w:p>
    <w:p w14:paraId="59A7738F">
      <w:pPr>
        <w:widowControl/>
        <w:spacing w:beforeLines="0" w:afterLines="0" w:line="360" w:lineRule="auto"/>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（招标人名称）：</w:t>
      </w:r>
    </w:p>
    <w:p w14:paraId="42F2D014">
      <w:pPr>
        <w:keepNext w:val="0"/>
        <w:keepLines w:val="0"/>
        <w:pageBreakBefore w:val="0"/>
        <w:widowControl w:val="0"/>
        <w:kinsoku/>
        <w:wordWrap/>
        <w:overflowPunct/>
        <w:topLinePunct w:val="0"/>
        <w:autoSpaceDE/>
        <w:autoSpaceDN/>
        <w:bidi w:val="0"/>
        <w:adjustRightInd/>
        <w:snapToGrid/>
        <w:spacing w:before="0" w:beforeLines="0" w:afterLines="0" w:line="360" w:lineRule="auto"/>
        <w:ind w:firstLine="420" w:firstLineChars="200"/>
        <w:jc w:val="left"/>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我方在此郑重承诺：</w:t>
      </w:r>
    </w:p>
    <w:p w14:paraId="6B9E2861">
      <w:pPr>
        <w:widowControl/>
        <w:spacing w:before="0" w:beforeLines="0" w:after="0" w:afterLines="0"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w:t>
      </w:r>
      <w:r>
        <w:rPr>
          <w:rFonts w:hint="eastAsia" w:ascii="宋体" w:hAnsi="宋体" w:eastAsia="宋体" w:cs="宋体"/>
          <w:color w:val="auto"/>
          <w:sz w:val="21"/>
          <w:szCs w:val="21"/>
          <w:highlight w:val="none"/>
          <w:u w:val="single"/>
          <w:lang w:val="en-US" w:eastAsia="zh-CN"/>
        </w:rPr>
        <w:t xml:space="preserve">                                   （项目名称、标段名称）</w:t>
      </w:r>
      <w:r>
        <w:rPr>
          <w:rFonts w:hint="eastAsia" w:ascii="宋体" w:hAnsi="宋体" w:eastAsia="宋体" w:cs="宋体"/>
          <w:color w:val="auto"/>
          <w:sz w:val="21"/>
          <w:szCs w:val="21"/>
          <w:highlight w:val="none"/>
        </w:rPr>
        <w:t>招标项目投标活动中，我公司提交投标文件所有的投标资料都是真实的，如有虚假，本单位愿意接受招标人做出的取消投标资格、中标资格及没收投标保证金等</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决定，同时愿意接受有关部门依法</w:t>
      </w:r>
      <w:r>
        <w:rPr>
          <w:rFonts w:hint="eastAsia" w:ascii="宋体" w:hAnsi="宋体" w:eastAsia="宋体" w:cs="宋体"/>
          <w:color w:val="auto"/>
          <w:sz w:val="21"/>
          <w:szCs w:val="21"/>
          <w:highlight w:val="none"/>
          <w:lang w:val="en-US" w:eastAsia="zh-CN"/>
        </w:rPr>
        <w:t>依规</w:t>
      </w:r>
      <w:r>
        <w:rPr>
          <w:rFonts w:hint="eastAsia" w:ascii="宋体" w:hAnsi="宋体" w:eastAsia="宋体" w:cs="宋体"/>
          <w:color w:val="auto"/>
          <w:sz w:val="21"/>
          <w:szCs w:val="21"/>
          <w:highlight w:val="none"/>
        </w:rPr>
        <w:t>做出的处罚。</w:t>
      </w:r>
    </w:p>
    <w:p w14:paraId="1496D380">
      <w:pPr>
        <w:widowControl/>
        <w:spacing w:beforeLines="0" w:afterLines="0" w:line="360" w:lineRule="auto"/>
        <w:ind w:firstLine="0"/>
        <w:jc w:val="left"/>
        <w:rPr>
          <w:rFonts w:hint="eastAsia" w:ascii="宋体" w:hAnsi="宋体" w:eastAsia="宋体" w:cs="宋体"/>
          <w:color w:val="auto"/>
          <w:sz w:val="21"/>
          <w:szCs w:val="21"/>
          <w:highlight w:val="none"/>
        </w:rPr>
      </w:pPr>
    </w:p>
    <w:p w14:paraId="72695CC1">
      <w:pPr>
        <w:widowControl/>
        <w:spacing w:beforeLines="0" w:afterLines="0" w:line="360" w:lineRule="auto"/>
        <w:ind w:firstLine="0"/>
        <w:jc w:val="left"/>
        <w:rPr>
          <w:rFonts w:hint="eastAsia" w:ascii="宋体" w:hAnsi="宋体" w:eastAsia="宋体" w:cs="宋体"/>
          <w:color w:val="auto"/>
          <w:sz w:val="21"/>
          <w:szCs w:val="21"/>
          <w:highlight w:val="none"/>
        </w:rPr>
      </w:pPr>
    </w:p>
    <w:p w14:paraId="6E6C334A">
      <w:pPr>
        <w:widowControl/>
        <w:spacing w:beforeLines="0" w:afterLines="0" w:line="360" w:lineRule="auto"/>
        <w:ind w:firstLine="0"/>
        <w:jc w:val="left"/>
        <w:rPr>
          <w:rFonts w:hint="eastAsia" w:ascii="宋体" w:hAnsi="宋体" w:eastAsia="宋体" w:cs="宋体"/>
          <w:color w:val="auto"/>
          <w:sz w:val="21"/>
          <w:szCs w:val="21"/>
          <w:highlight w:val="none"/>
        </w:rPr>
      </w:pPr>
    </w:p>
    <w:p w14:paraId="216FA691">
      <w:pPr>
        <w:widowControl/>
        <w:spacing w:beforeLines="0" w:afterLines="0" w:line="360" w:lineRule="auto"/>
        <w:ind w:firstLine="0"/>
        <w:jc w:val="left"/>
        <w:rPr>
          <w:rFonts w:hint="eastAsia" w:ascii="宋体" w:hAnsi="宋体" w:eastAsia="宋体" w:cs="宋体"/>
          <w:color w:val="auto"/>
          <w:sz w:val="21"/>
          <w:szCs w:val="21"/>
          <w:highlight w:val="none"/>
        </w:rPr>
      </w:pPr>
    </w:p>
    <w:p w14:paraId="54D69DD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6030807B">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0F6EAE3E">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8EB977A">
      <w:pPr>
        <w:widowControl/>
        <w:spacing w:beforeLines="0" w:afterLines="0" w:line="360" w:lineRule="auto"/>
        <w:jc w:val="left"/>
        <w:rPr>
          <w:rFonts w:hint="eastAsia" w:ascii="宋体" w:hAnsi="宋体" w:eastAsia="宋体" w:cs="宋体"/>
          <w:kern w:val="0"/>
          <w:szCs w:val="21"/>
          <w:highlight w:val="none"/>
        </w:rPr>
      </w:pPr>
    </w:p>
    <w:p w14:paraId="32C8FB75">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22BD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6B9BD5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737F63D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9019DE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30ABC79">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215C2D4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1B213F4">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DBF225B">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5804DEA3">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C7BE18E">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B9FF416">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EE7DDC">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0708560">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338F93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3F53BC4A">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0FE72741">
      <w:pPr>
        <w:widowControl w:val="0"/>
        <w:autoSpaceDE w:val="0"/>
        <w:autoSpaceDN w:val="0"/>
        <w:adjustRightInd w:val="0"/>
        <w:spacing w:beforeLines="0" w:afterLines="0" w:line="240" w:lineRule="auto"/>
        <w:ind w:left="120" w:hanging="120"/>
        <w:jc w:val="center"/>
        <w:rPr>
          <w:rFonts w:hint="eastAsia" w:ascii="宋体" w:hAnsi="宋体" w:eastAsia="宋体" w:cs="宋体"/>
          <w:color w:val="auto"/>
          <w:kern w:val="0"/>
          <w:sz w:val="24"/>
          <w:szCs w:val="24"/>
          <w:highlight w:val="none"/>
          <w:lang w:val="en-US" w:eastAsia="zh-CN" w:bidi="ar-SA"/>
        </w:rPr>
      </w:pPr>
    </w:p>
    <w:p w14:paraId="12501116">
      <w:pPr>
        <w:widowControl/>
        <w:spacing w:beforeLines="0" w:afterLines="0" w:line="24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3549A1AA">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（六）信用信誉查询</w:t>
      </w:r>
    </w:p>
    <w:p w14:paraId="77F5D97C">
      <w:pPr>
        <w:widowControl w:val="0"/>
        <w:numPr>
          <w:ilvl w:val="0"/>
          <w:numId w:val="0"/>
        </w:numPr>
        <w:spacing w:beforeLines="0" w:afterLines="0" w:line="360" w:lineRule="auto"/>
        <w:jc w:val="both"/>
        <w:rPr>
          <w:rFonts w:hint="eastAsia" w:ascii="宋体" w:hAnsi="宋体" w:eastAsia="宋体" w:cs="宋体"/>
          <w:szCs w:val="21"/>
          <w:highlight w:val="none"/>
        </w:rPr>
      </w:pPr>
    </w:p>
    <w:p w14:paraId="71E55981">
      <w:pPr>
        <w:keepNext w:val="0"/>
        <w:keepLines w:val="0"/>
        <w:pageBreakBefore w:val="0"/>
        <w:widowControl/>
        <w:numPr>
          <w:ilvl w:val="0"/>
          <w:numId w:val="1"/>
        </w:numPr>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全国</w:t>
      </w:r>
      <w:r>
        <w:rPr>
          <w:rFonts w:hint="eastAsia" w:ascii="宋体" w:hAnsi="宋体" w:eastAsia="宋体" w:cs="宋体"/>
          <w:b w:val="0"/>
          <w:bCs w:val="0"/>
          <w:color w:val="auto"/>
          <w:sz w:val="21"/>
          <w:szCs w:val="21"/>
          <w:highlight w:val="none"/>
        </w:rPr>
        <w:t>水利建设市场监管平台</w:t>
      </w:r>
      <w:r>
        <w:rPr>
          <w:rFonts w:hint="eastAsia" w:ascii="宋体" w:hAnsi="宋体" w:eastAsia="宋体" w:cs="宋体"/>
          <w:color w:val="auto"/>
          <w:sz w:val="21"/>
          <w:szCs w:val="21"/>
          <w:highlight w:val="none"/>
        </w:rPr>
        <w:t>信用信息查询材料</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查询包含投标人的行政处罚等网页查询证明材料</w:t>
      </w:r>
      <w:r>
        <w:rPr>
          <w:rFonts w:hint="eastAsia" w:ascii="宋体" w:hAnsi="宋体" w:eastAsia="宋体" w:cs="宋体"/>
          <w:b w:val="0"/>
          <w:bCs w:val="0"/>
          <w:color w:val="auto"/>
          <w:sz w:val="21"/>
          <w:szCs w:val="21"/>
          <w:highlight w:val="none"/>
        </w:rPr>
        <w:t>）；</w:t>
      </w:r>
    </w:p>
    <w:p w14:paraId="320003F9">
      <w:pPr>
        <w:keepNext w:val="0"/>
        <w:keepLines w:val="0"/>
        <w:pageBreakBefore w:val="0"/>
        <w:widowControl/>
        <w:numPr>
          <w:ilvl w:val="0"/>
          <w:numId w:val="0"/>
        </w:numPr>
        <w:kinsoku/>
        <w:wordWrap/>
        <w:overflowPunct/>
        <w:topLinePunct w:val="0"/>
        <w:autoSpaceDE/>
        <w:autoSpaceDN/>
        <w:bidi w:val="0"/>
        <w:adjustRightInd/>
        <w:snapToGrid/>
        <w:spacing w:beforeLines="0" w:afterLines="0" w:line="360" w:lineRule="auto"/>
        <w:ind w:firstLine="422"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w:t>
      </w:r>
      <w:r>
        <w:rPr>
          <w:rFonts w:hint="eastAsia" w:ascii="宋体" w:hAnsi="宋体" w:eastAsia="宋体" w:cs="宋体"/>
          <w:color w:val="auto"/>
          <w:sz w:val="21"/>
          <w:szCs w:val="21"/>
          <w:highlight w:val="none"/>
          <w:lang w:val="en-US" w:eastAsia="zh-CN"/>
        </w:rPr>
        <w:t>1.信用信息查询材料应清晰、完整、准确，查询日期应为招标公告发布后，并保证上述信息的真实性，愿意承担因弄虚作假所引起的一切后果。</w:t>
      </w:r>
    </w:p>
    <w:p w14:paraId="5371B3E7">
      <w:pPr>
        <w:keepNext w:val="0"/>
        <w:keepLines w:val="0"/>
        <w:pageBreakBefore w:val="0"/>
        <w:widowControl/>
        <w:kinsoku/>
        <w:wordWrap/>
        <w:overflowPunct/>
        <w:topLinePunct w:val="0"/>
        <w:autoSpaceDE/>
        <w:autoSpaceDN/>
        <w:bidi w:val="0"/>
        <w:adjustRightInd/>
        <w:snapToGrid/>
        <w:spacing w:beforeLines="0" w:afterLines="0" w:line="360" w:lineRule="auto"/>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2.查询上述材料时如遇网址或者查询菜单（搜索栏）、功能、内容等有调整或变化，可以提供调整或变化后的查询证明材料。</w:t>
      </w:r>
    </w:p>
    <w:p w14:paraId="2CE52365">
      <w:pPr>
        <w:keepNext/>
        <w:keepLines/>
        <w:widowControl w:val="0"/>
        <w:spacing w:before="0" w:beforeLines="0" w:beforeAutospacing="0" w:after="0" w:afterLines="0" w:afterAutospacing="0" w:line="360" w:lineRule="auto"/>
        <w:jc w:val="center"/>
        <w:outlineLvl w:val="2"/>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br w:type="page"/>
      </w:r>
      <w:r>
        <w:rPr>
          <w:rFonts w:hint="eastAsia" w:ascii="宋体" w:hAnsi="宋体" w:eastAsia="宋体" w:cs="宋体"/>
          <w:b/>
          <w:bCs w:val="0"/>
          <w:color w:val="auto"/>
          <w:kern w:val="0"/>
          <w:sz w:val="24"/>
          <w:szCs w:val="24"/>
          <w:highlight w:val="none"/>
          <w:lang w:val="en-US" w:eastAsia="zh-CN" w:bidi="ar-SA"/>
        </w:rPr>
        <w:t>（七）资信承诺书</w:t>
      </w:r>
    </w:p>
    <w:p w14:paraId="1DE80A69">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p>
    <w:p w14:paraId="2F161A01">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color w:val="auto"/>
          <w:sz w:val="21"/>
          <w:szCs w:val="21"/>
          <w:highlight w:val="none"/>
          <w:u w:val="none"/>
          <w:lang w:val="en-US" w:eastAsia="zh-CN" w:bidi="ar"/>
        </w:rPr>
        <w:t>至：</w:t>
      </w:r>
      <w:r>
        <w:rPr>
          <w:rFonts w:hint="eastAsia" w:ascii="宋体" w:hAnsi="宋体" w:eastAsia="宋体" w:cs="宋体"/>
          <w:color w:val="auto"/>
          <w:sz w:val="21"/>
          <w:szCs w:val="21"/>
          <w:highlight w:val="none"/>
          <w:u w:val="single"/>
          <w:lang w:val="en-US" w:eastAsia="zh-CN" w:bidi="ar"/>
        </w:rPr>
        <w:t xml:space="preserve">   （招标人）    </w:t>
      </w:r>
    </w:p>
    <w:p w14:paraId="530C8678">
      <w:pPr>
        <w:widowControl/>
        <w:pBdr>
          <w:top w:val="none" w:color="auto" w:sz="0" w:space="0"/>
          <w:left w:val="none" w:color="auto" w:sz="0" w:space="0"/>
          <w:bottom w:val="none" w:color="auto" w:sz="0" w:space="0"/>
          <w:right w:val="none" w:color="auto" w:sz="0" w:space="0"/>
        </w:pBdr>
        <w:autoSpaceDE/>
        <w:autoSpaceDN/>
        <w:adjustRightInd/>
        <w:spacing w:beforeLines="0" w:afterLines="0"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我单位如下承诺：</w:t>
      </w:r>
    </w:p>
    <w:p w14:paraId="7906354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（1）我单位近三年财务状况良好，未处于财产被接管、冻结和破产状态；</w:t>
      </w:r>
    </w:p>
    <w:p w14:paraId="34F59BE2">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（2）我单位、法定代表人、拟派项目经理，近三年不存在行贿犯罪行为；</w:t>
      </w:r>
    </w:p>
    <w:p w14:paraId="26EB0A7F">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（3）我单位、法定代表人及拟派项目负责人未被列入“中国执行信息公开网—全国法院失信被执行人名单信息公布与查询平台-失信被执行人”；</w:t>
      </w:r>
    </w:p>
    <w:p w14:paraId="04DBC96A">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（4） 我单位未被列入“中国政府采购网—政府采购严重违法失信行为记录名单”；</w:t>
      </w:r>
    </w:p>
    <w:p w14:paraId="11EFA15D">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（5） 我单位未被列入“国家税务总局—重大税收违法失信案件信息公布栏—重大税收违法失信主体”；</w:t>
      </w:r>
    </w:p>
    <w:p w14:paraId="189C28F4">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（6）我单位未被列入“信用中国—严重失信主体名单”；</w:t>
      </w:r>
    </w:p>
    <w:p w14:paraId="3DD109A0">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（7）我单位未被列入“信用河南—失信惩戒对象名单”；</w:t>
      </w:r>
    </w:p>
    <w:p w14:paraId="7A4D1453">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（8）我单位不存在“单位负责人为同一人或者存在控股、管理关系的不同单位，参加同一标段投标或者未划分标段的同一招标项目投标”的情况；</w:t>
      </w:r>
    </w:p>
    <w:p w14:paraId="51A0AFAE">
      <w:pPr>
        <w:widowControl/>
        <w:pBdr>
          <w:top w:val="none" w:color="auto" w:sz="0" w:space="0"/>
          <w:left w:val="none" w:color="auto" w:sz="0" w:space="0"/>
          <w:bottom w:val="none" w:color="auto" w:sz="0" w:space="0"/>
          <w:right w:val="none" w:color="auto" w:sz="0" w:space="0"/>
        </w:pBdr>
        <w:autoSpaceDE/>
        <w:autoSpaceDN/>
        <w:adjustRightInd/>
        <w:spacing w:line="360" w:lineRule="auto"/>
        <w:ind w:firstLine="420" w:firstLineChars="200"/>
        <w:jc w:val="both"/>
        <w:rPr>
          <w:rFonts w:hint="eastAsia" w:ascii="宋体" w:hAnsi="宋体" w:eastAsia="宋体" w:cs="宋体"/>
          <w:color w:val="auto"/>
          <w:sz w:val="21"/>
          <w:szCs w:val="21"/>
          <w:highlight w:val="none"/>
          <w:u w:val="none"/>
          <w:lang w:val="en-US" w:eastAsia="zh-CN" w:bidi="ar"/>
        </w:rPr>
      </w:pPr>
      <w:r>
        <w:rPr>
          <w:rFonts w:hint="eastAsia" w:ascii="宋体" w:hAnsi="宋体" w:eastAsia="宋体" w:cs="宋体"/>
          <w:color w:val="auto"/>
          <w:sz w:val="21"/>
          <w:szCs w:val="21"/>
          <w:highlight w:val="none"/>
          <w:u w:val="none"/>
          <w:lang w:val="en-US" w:eastAsia="zh-CN" w:bidi="ar"/>
        </w:rPr>
        <w:t>（9）我单位不存在招标文件“1.4.3 投标人不得存在下列情形之一”中的任意情形。</w:t>
      </w:r>
    </w:p>
    <w:p w14:paraId="1F9BEEA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360" w:lineRule="auto"/>
        <w:ind w:right="0" w:firstLine="420" w:firstLineChars="200"/>
        <w:jc w:val="both"/>
        <w:textAlignment w:val="auto"/>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pPr>
      <w:r>
        <w:rPr>
          <w:rFonts w:hint="eastAsia" w:ascii="宋体" w:hAnsi="宋体" w:eastAsia="宋体" w:cs="宋体"/>
          <w:i w:val="0"/>
          <w:iCs w:val="0"/>
          <w:caps w:val="0"/>
          <w:color w:val="auto"/>
          <w:spacing w:val="0"/>
          <w:kern w:val="0"/>
          <w:sz w:val="21"/>
          <w:szCs w:val="21"/>
          <w:highlight w:val="none"/>
          <w:u w:val="none"/>
          <w:shd w:val="clear" w:color="auto" w:fill="auto"/>
          <w:lang w:val="en-US" w:eastAsia="zh-CN" w:bidi="ar"/>
        </w:rPr>
        <w:t>特此承诺</w:t>
      </w:r>
    </w:p>
    <w:p w14:paraId="75141756">
      <w:pPr>
        <w:widowControl/>
        <w:spacing w:beforeLines="0" w:afterLines="0" w:line="360" w:lineRule="auto"/>
        <w:jc w:val="left"/>
        <w:rPr>
          <w:rFonts w:hint="eastAsia" w:ascii="宋体" w:hAnsi="宋体" w:eastAsia="宋体" w:cs="宋体"/>
          <w:color w:val="auto"/>
          <w:sz w:val="21"/>
          <w:szCs w:val="21"/>
          <w:highlight w:val="none"/>
          <w:u w:val="none"/>
        </w:rPr>
      </w:pPr>
    </w:p>
    <w:p w14:paraId="628F8D48">
      <w:pPr>
        <w:tabs>
          <w:tab w:val="left" w:pos="6521"/>
        </w:tabs>
        <w:spacing w:before="0" w:beforeLines="0" w:after="0" w:afterLines="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 标 人：</w:t>
      </w:r>
      <w:r>
        <w:rPr>
          <w:rFonts w:hint="eastAsia" w:ascii="宋体" w:hAnsi="宋体" w:eastAsia="宋体" w:cs="宋体"/>
          <w:kern w:val="2"/>
          <w:sz w:val="21"/>
          <w:szCs w:val="21"/>
          <w:highlight w:val="none"/>
          <w:u w:val="single"/>
          <w:lang w:val="en-US" w:eastAsia="zh-CN" w:bidi="ar-SA"/>
        </w:rPr>
        <w:t xml:space="preserve">                 </w:t>
      </w:r>
      <w:r>
        <w:rPr>
          <w:rFonts w:hint="eastAsia" w:ascii="宋体" w:hAnsi="宋体" w:eastAsia="宋体" w:cs="宋体"/>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盖单位章</w:t>
      </w:r>
      <w:r>
        <w:rPr>
          <w:rFonts w:hint="eastAsia" w:ascii="宋体" w:hAnsi="宋体" w:eastAsia="宋体" w:cs="宋体"/>
          <w:kern w:val="2"/>
          <w:sz w:val="21"/>
          <w:szCs w:val="21"/>
          <w:highlight w:val="none"/>
          <w:lang w:val="en-US" w:eastAsia="zh-CN" w:bidi="ar-SA"/>
        </w:rPr>
        <w:t>）</w:t>
      </w:r>
    </w:p>
    <w:p w14:paraId="03F3140D">
      <w:pPr>
        <w:widowControl/>
        <w:wordWrap w:val="0"/>
        <w:spacing w:beforeLines="0" w:afterLines="0" w:line="360" w:lineRule="auto"/>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法定代表人或委托代理人：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color w:val="auto"/>
          <w:sz w:val="21"/>
          <w:szCs w:val="21"/>
          <w:highlight w:val="none"/>
        </w:rPr>
        <w:t>签字或盖章</w:t>
      </w:r>
      <w:r>
        <w:rPr>
          <w:rFonts w:hint="eastAsia" w:ascii="宋体" w:hAnsi="宋体" w:eastAsia="宋体" w:cs="宋体"/>
          <w:sz w:val="21"/>
          <w:szCs w:val="21"/>
          <w:highlight w:val="none"/>
        </w:rPr>
        <w:t>）</w:t>
      </w:r>
    </w:p>
    <w:p w14:paraId="3D7ABE1B">
      <w:pPr>
        <w:widowControl/>
        <w:spacing w:beforeLines="0" w:afterLines="0" w:line="360" w:lineRule="auto"/>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15F0F303">
      <w:pPr>
        <w:widowControl/>
        <w:spacing w:beforeLines="0" w:afterLines="0" w:line="360" w:lineRule="auto"/>
        <w:jc w:val="left"/>
        <w:rPr>
          <w:rFonts w:hint="eastAsia" w:ascii="宋体" w:hAnsi="宋体" w:eastAsia="宋体" w:cs="宋体"/>
          <w:kern w:val="0"/>
          <w:szCs w:val="21"/>
          <w:highlight w:val="none"/>
        </w:rPr>
      </w:pPr>
    </w:p>
    <w:p w14:paraId="3760F91D">
      <w:pPr>
        <w:keepNext/>
        <w:keepLines/>
        <w:widowControl w:val="0"/>
        <w:spacing w:before="0" w:beforeLines="0" w:beforeAutospacing="0" w:after="0" w:afterLines="0" w:afterAutospacing="0" w:line="360" w:lineRule="auto"/>
        <w:jc w:val="center"/>
        <w:outlineLvl w:val="2"/>
        <w:rPr>
          <w:rFonts w:hint="eastAsia" w:ascii="宋体" w:hAnsi="宋体" w:eastAsia="宋体" w:cs="宋体"/>
          <w:b/>
          <w:bCs/>
          <w:sz w:val="21"/>
          <w:szCs w:val="21"/>
          <w:highlight w:val="none"/>
        </w:rPr>
      </w:pPr>
      <w:r>
        <w:rPr>
          <w:rFonts w:hint="eastAsia" w:ascii="宋体" w:hAnsi="宋体" w:eastAsia="宋体" w:cs="宋体"/>
          <w:b/>
          <w:bCs/>
          <w:sz w:val="24"/>
          <w:szCs w:val="24"/>
          <w:highlight w:val="none"/>
        </w:rPr>
        <w:br w:type="page"/>
      </w:r>
      <w:r>
        <w:rPr>
          <w:rFonts w:hint="eastAsia" w:ascii="宋体" w:hAnsi="宋体" w:eastAsia="宋体" w:cs="宋体"/>
          <w:b/>
          <w:bCs w:val="0"/>
          <w:color w:val="auto"/>
          <w:kern w:val="0"/>
          <w:sz w:val="24"/>
          <w:szCs w:val="24"/>
          <w:highlight w:val="none"/>
          <w:lang w:val="en-US" w:eastAsia="zh-CN" w:bidi="ar-SA"/>
        </w:rPr>
        <w:t>（八）近年发生的诉讼及仲裁情况</w:t>
      </w:r>
    </w:p>
    <w:tbl>
      <w:tblPr>
        <w:tblStyle w:val="2"/>
        <w:tblW w:w="9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6"/>
        <w:gridCol w:w="1910"/>
        <w:gridCol w:w="1758"/>
        <w:gridCol w:w="1289"/>
        <w:gridCol w:w="1146"/>
        <w:gridCol w:w="1767"/>
      </w:tblGrid>
      <w:tr w14:paraId="000D3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1146" w:type="dxa"/>
            <w:noWrap w:val="0"/>
            <w:vAlign w:val="center"/>
          </w:tcPr>
          <w:p w14:paraId="4C55BDD1">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910" w:type="dxa"/>
            <w:noWrap w:val="0"/>
            <w:vAlign w:val="center"/>
          </w:tcPr>
          <w:p w14:paraId="098457E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诉讼及仲裁内容</w:t>
            </w:r>
          </w:p>
        </w:tc>
        <w:tc>
          <w:tcPr>
            <w:tcW w:w="1758" w:type="dxa"/>
            <w:noWrap w:val="0"/>
            <w:vAlign w:val="center"/>
          </w:tcPr>
          <w:p w14:paraId="1E3C51D5">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诉讼及仲裁中的地位</w:t>
            </w:r>
          </w:p>
        </w:tc>
        <w:tc>
          <w:tcPr>
            <w:tcW w:w="1289" w:type="dxa"/>
            <w:noWrap w:val="0"/>
            <w:vAlign w:val="center"/>
          </w:tcPr>
          <w:p w14:paraId="7F3DD95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缘由</w:t>
            </w:r>
          </w:p>
        </w:tc>
        <w:tc>
          <w:tcPr>
            <w:tcW w:w="1146" w:type="dxa"/>
            <w:noWrap w:val="0"/>
            <w:vAlign w:val="center"/>
          </w:tcPr>
          <w:p w14:paraId="5D27FF9D">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结果</w:t>
            </w:r>
          </w:p>
        </w:tc>
        <w:tc>
          <w:tcPr>
            <w:tcW w:w="1767" w:type="dxa"/>
            <w:noWrap w:val="0"/>
            <w:vAlign w:val="center"/>
          </w:tcPr>
          <w:p w14:paraId="18FAFFBA">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3E65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5320B10C">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一</w:t>
            </w:r>
          </w:p>
        </w:tc>
        <w:tc>
          <w:tcPr>
            <w:tcW w:w="1910" w:type="dxa"/>
            <w:noWrap w:val="0"/>
            <w:vAlign w:val="center"/>
          </w:tcPr>
          <w:p w14:paraId="40E71AD6">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诉讼事项</w:t>
            </w:r>
          </w:p>
        </w:tc>
        <w:tc>
          <w:tcPr>
            <w:tcW w:w="1758" w:type="dxa"/>
            <w:noWrap w:val="0"/>
            <w:vAlign w:val="center"/>
          </w:tcPr>
          <w:p w14:paraId="313555F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1384EDD">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1DE691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13952CE">
            <w:pPr>
              <w:widowControl/>
              <w:spacing w:beforeLines="0" w:afterLines="0" w:line="360" w:lineRule="auto"/>
              <w:jc w:val="center"/>
              <w:rPr>
                <w:rFonts w:hint="eastAsia" w:ascii="宋体" w:hAnsi="宋体" w:eastAsia="宋体" w:cs="宋体"/>
                <w:szCs w:val="21"/>
                <w:highlight w:val="none"/>
              </w:rPr>
            </w:pPr>
          </w:p>
        </w:tc>
      </w:tr>
      <w:tr w14:paraId="0D2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648B8D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4A60DC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D112CFD">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B42B87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75401F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435A52A">
            <w:pPr>
              <w:widowControl/>
              <w:spacing w:beforeLines="0" w:afterLines="0" w:line="360" w:lineRule="auto"/>
              <w:jc w:val="center"/>
              <w:rPr>
                <w:rFonts w:hint="eastAsia" w:ascii="宋体" w:hAnsi="宋体" w:eastAsia="宋体" w:cs="宋体"/>
                <w:szCs w:val="21"/>
                <w:highlight w:val="none"/>
              </w:rPr>
            </w:pPr>
          </w:p>
        </w:tc>
      </w:tr>
      <w:tr w14:paraId="56A6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0398A8D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6E154A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650C6C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A5B9844">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5F7379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11F8A">
            <w:pPr>
              <w:widowControl/>
              <w:spacing w:beforeLines="0" w:afterLines="0" w:line="360" w:lineRule="auto"/>
              <w:jc w:val="center"/>
              <w:rPr>
                <w:rFonts w:hint="eastAsia" w:ascii="宋体" w:hAnsi="宋体" w:eastAsia="宋体" w:cs="宋体"/>
                <w:szCs w:val="21"/>
                <w:highlight w:val="none"/>
              </w:rPr>
            </w:pPr>
          </w:p>
        </w:tc>
      </w:tr>
      <w:tr w14:paraId="71F67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146" w:type="dxa"/>
            <w:noWrap w:val="0"/>
            <w:vAlign w:val="center"/>
          </w:tcPr>
          <w:p w14:paraId="4A117A4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7EF4FB14">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7A7ECB26">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491FFCE2">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EA4985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7059866">
            <w:pPr>
              <w:widowControl/>
              <w:spacing w:beforeLines="0" w:afterLines="0" w:line="360" w:lineRule="auto"/>
              <w:jc w:val="center"/>
              <w:rPr>
                <w:rFonts w:hint="eastAsia" w:ascii="宋体" w:hAnsi="宋体" w:eastAsia="宋体" w:cs="宋体"/>
                <w:szCs w:val="21"/>
                <w:highlight w:val="none"/>
              </w:rPr>
            </w:pPr>
          </w:p>
        </w:tc>
      </w:tr>
      <w:tr w14:paraId="38BB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46" w:type="dxa"/>
            <w:noWrap w:val="0"/>
            <w:vAlign w:val="center"/>
          </w:tcPr>
          <w:p w14:paraId="7EA9C29F">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3CF64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66A7D6E">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D4BD7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6B1B872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211A80B0">
            <w:pPr>
              <w:widowControl/>
              <w:spacing w:beforeLines="0" w:afterLines="0" w:line="360" w:lineRule="auto"/>
              <w:jc w:val="center"/>
              <w:rPr>
                <w:rFonts w:hint="eastAsia" w:ascii="宋体" w:hAnsi="宋体" w:eastAsia="宋体" w:cs="宋体"/>
                <w:szCs w:val="21"/>
                <w:highlight w:val="none"/>
              </w:rPr>
            </w:pPr>
          </w:p>
        </w:tc>
      </w:tr>
      <w:tr w14:paraId="0F9A1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A1C4478">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二</w:t>
            </w:r>
          </w:p>
        </w:tc>
        <w:tc>
          <w:tcPr>
            <w:tcW w:w="1910" w:type="dxa"/>
            <w:noWrap w:val="0"/>
            <w:vAlign w:val="center"/>
          </w:tcPr>
          <w:p w14:paraId="29218394">
            <w:pPr>
              <w:widowControl/>
              <w:spacing w:beforeLines="0" w:afterLines="0"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仲裁事项</w:t>
            </w:r>
          </w:p>
        </w:tc>
        <w:tc>
          <w:tcPr>
            <w:tcW w:w="1758" w:type="dxa"/>
            <w:noWrap w:val="0"/>
            <w:vAlign w:val="center"/>
          </w:tcPr>
          <w:p w14:paraId="673858B9">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DAC4B5E">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56250C9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0E136255">
            <w:pPr>
              <w:widowControl/>
              <w:spacing w:beforeLines="0" w:afterLines="0" w:line="360" w:lineRule="auto"/>
              <w:jc w:val="center"/>
              <w:rPr>
                <w:rFonts w:hint="eastAsia" w:ascii="宋体" w:hAnsi="宋体" w:eastAsia="宋体" w:cs="宋体"/>
                <w:szCs w:val="21"/>
                <w:highlight w:val="none"/>
              </w:rPr>
            </w:pPr>
          </w:p>
        </w:tc>
      </w:tr>
      <w:tr w14:paraId="34E8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50AC2A9A">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53EB05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8E54AD5">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3598BB0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F8DC5E2">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1F3F41E">
            <w:pPr>
              <w:widowControl/>
              <w:spacing w:beforeLines="0" w:afterLines="0" w:line="360" w:lineRule="auto"/>
              <w:jc w:val="center"/>
              <w:rPr>
                <w:rFonts w:hint="eastAsia" w:ascii="宋体" w:hAnsi="宋体" w:eastAsia="宋体" w:cs="宋体"/>
                <w:szCs w:val="21"/>
                <w:highlight w:val="none"/>
              </w:rPr>
            </w:pPr>
          </w:p>
        </w:tc>
      </w:tr>
      <w:tr w14:paraId="54A9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341D1D14">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132BC42">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F0F8B33">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0FA7F01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3F4E97">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3D00ED11">
            <w:pPr>
              <w:widowControl/>
              <w:spacing w:beforeLines="0" w:afterLines="0" w:line="360" w:lineRule="auto"/>
              <w:jc w:val="center"/>
              <w:rPr>
                <w:rFonts w:hint="eastAsia" w:ascii="宋体" w:hAnsi="宋体" w:eastAsia="宋体" w:cs="宋体"/>
                <w:szCs w:val="21"/>
                <w:highlight w:val="none"/>
              </w:rPr>
            </w:pPr>
          </w:p>
        </w:tc>
      </w:tr>
      <w:tr w14:paraId="7F4F1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6" w:type="dxa"/>
            <w:noWrap w:val="0"/>
            <w:vAlign w:val="center"/>
          </w:tcPr>
          <w:p w14:paraId="47F54F1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2BF4156F">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8F0F01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16BD9E1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F017D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0CEA4DD">
            <w:pPr>
              <w:widowControl/>
              <w:spacing w:beforeLines="0" w:afterLines="0" w:line="360" w:lineRule="auto"/>
              <w:jc w:val="center"/>
              <w:rPr>
                <w:rFonts w:hint="eastAsia" w:ascii="宋体" w:hAnsi="宋体" w:eastAsia="宋体" w:cs="宋体"/>
                <w:szCs w:val="21"/>
                <w:highlight w:val="none"/>
              </w:rPr>
            </w:pPr>
          </w:p>
        </w:tc>
      </w:tr>
      <w:tr w14:paraId="42234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146" w:type="dxa"/>
            <w:noWrap w:val="0"/>
            <w:vAlign w:val="center"/>
          </w:tcPr>
          <w:p w14:paraId="4B88F61E">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6C771F45">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4D7654E4">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6161445">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0ECB58F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F2CD336">
            <w:pPr>
              <w:widowControl/>
              <w:spacing w:beforeLines="0" w:afterLines="0" w:line="360" w:lineRule="auto"/>
              <w:jc w:val="center"/>
              <w:rPr>
                <w:rFonts w:hint="eastAsia" w:ascii="宋体" w:hAnsi="宋体" w:eastAsia="宋体" w:cs="宋体"/>
                <w:szCs w:val="21"/>
                <w:highlight w:val="none"/>
              </w:rPr>
            </w:pPr>
          </w:p>
        </w:tc>
      </w:tr>
      <w:tr w14:paraId="4A2B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146" w:type="dxa"/>
            <w:noWrap w:val="0"/>
            <w:vAlign w:val="center"/>
          </w:tcPr>
          <w:p w14:paraId="2E7040C6">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18FCA09">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30EA196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AD4D696">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75FCD48E">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6742C98F">
            <w:pPr>
              <w:widowControl/>
              <w:spacing w:beforeLines="0" w:afterLines="0" w:line="360" w:lineRule="auto"/>
              <w:jc w:val="center"/>
              <w:rPr>
                <w:rFonts w:hint="eastAsia" w:ascii="宋体" w:hAnsi="宋体" w:eastAsia="宋体" w:cs="宋体"/>
                <w:szCs w:val="21"/>
                <w:highlight w:val="none"/>
              </w:rPr>
            </w:pPr>
          </w:p>
        </w:tc>
      </w:tr>
      <w:tr w14:paraId="3C38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13557705">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4E206B17">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4F23962">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65F846EC">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300602A4">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680CB6">
            <w:pPr>
              <w:widowControl/>
              <w:spacing w:beforeLines="0" w:afterLines="0" w:line="360" w:lineRule="auto"/>
              <w:jc w:val="center"/>
              <w:rPr>
                <w:rFonts w:hint="eastAsia" w:ascii="宋体" w:hAnsi="宋体" w:eastAsia="宋体" w:cs="宋体"/>
                <w:szCs w:val="21"/>
                <w:highlight w:val="none"/>
              </w:rPr>
            </w:pPr>
          </w:p>
        </w:tc>
      </w:tr>
      <w:tr w14:paraId="3F171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46" w:type="dxa"/>
            <w:noWrap w:val="0"/>
            <w:vAlign w:val="center"/>
          </w:tcPr>
          <w:p w14:paraId="4B5D5F7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5A05ED8C">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1920B448">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54A60B6A">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6D7CBFD">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5FCAE501">
            <w:pPr>
              <w:widowControl/>
              <w:spacing w:beforeLines="0" w:afterLines="0" w:line="360" w:lineRule="auto"/>
              <w:jc w:val="center"/>
              <w:rPr>
                <w:rFonts w:hint="eastAsia" w:ascii="宋体" w:hAnsi="宋体" w:eastAsia="宋体" w:cs="宋体"/>
                <w:szCs w:val="21"/>
                <w:highlight w:val="none"/>
              </w:rPr>
            </w:pPr>
          </w:p>
        </w:tc>
      </w:tr>
      <w:tr w14:paraId="42DE8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146" w:type="dxa"/>
            <w:noWrap w:val="0"/>
            <w:vAlign w:val="center"/>
          </w:tcPr>
          <w:p w14:paraId="59BCBC31">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1D277C83">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03DFD95A">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73A6E5A8">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27E020E3">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1E348C91">
            <w:pPr>
              <w:widowControl/>
              <w:spacing w:beforeLines="0" w:afterLines="0" w:line="360" w:lineRule="auto"/>
              <w:jc w:val="center"/>
              <w:rPr>
                <w:rFonts w:hint="eastAsia" w:ascii="宋体" w:hAnsi="宋体" w:eastAsia="宋体" w:cs="宋体"/>
                <w:szCs w:val="21"/>
                <w:highlight w:val="none"/>
              </w:rPr>
            </w:pPr>
          </w:p>
        </w:tc>
      </w:tr>
      <w:tr w14:paraId="5991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146" w:type="dxa"/>
            <w:noWrap w:val="0"/>
            <w:vAlign w:val="center"/>
          </w:tcPr>
          <w:p w14:paraId="468222EB">
            <w:pPr>
              <w:widowControl/>
              <w:spacing w:beforeLines="0" w:afterLines="0" w:line="360" w:lineRule="auto"/>
              <w:jc w:val="center"/>
              <w:rPr>
                <w:rFonts w:hint="eastAsia" w:ascii="宋体" w:hAnsi="宋体" w:eastAsia="宋体" w:cs="宋体"/>
                <w:szCs w:val="21"/>
                <w:highlight w:val="none"/>
              </w:rPr>
            </w:pPr>
          </w:p>
        </w:tc>
        <w:tc>
          <w:tcPr>
            <w:tcW w:w="1910" w:type="dxa"/>
            <w:noWrap w:val="0"/>
            <w:vAlign w:val="center"/>
          </w:tcPr>
          <w:p w14:paraId="0BCC9696">
            <w:pPr>
              <w:widowControl/>
              <w:spacing w:beforeLines="0" w:afterLines="0" w:line="360" w:lineRule="auto"/>
              <w:jc w:val="center"/>
              <w:rPr>
                <w:rFonts w:hint="eastAsia" w:ascii="宋体" w:hAnsi="宋体" w:eastAsia="宋体" w:cs="宋体"/>
                <w:szCs w:val="21"/>
                <w:highlight w:val="none"/>
              </w:rPr>
            </w:pPr>
          </w:p>
        </w:tc>
        <w:tc>
          <w:tcPr>
            <w:tcW w:w="1758" w:type="dxa"/>
            <w:noWrap w:val="0"/>
            <w:vAlign w:val="center"/>
          </w:tcPr>
          <w:p w14:paraId="632EE5F0">
            <w:pPr>
              <w:widowControl/>
              <w:spacing w:beforeLines="0" w:afterLines="0" w:line="360" w:lineRule="auto"/>
              <w:jc w:val="center"/>
              <w:rPr>
                <w:rFonts w:hint="eastAsia" w:ascii="宋体" w:hAnsi="宋体" w:eastAsia="宋体" w:cs="宋体"/>
                <w:szCs w:val="21"/>
                <w:highlight w:val="none"/>
              </w:rPr>
            </w:pPr>
          </w:p>
        </w:tc>
        <w:tc>
          <w:tcPr>
            <w:tcW w:w="1289" w:type="dxa"/>
            <w:noWrap w:val="0"/>
            <w:vAlign w:val="center"/>
          </w:tcPr>
          <w:p w14:paraId="28F22FC0">
            <w:pPr>
              <w:widowControl/>
              <w:spacing w:beforeLines="0" w:afterLines="0" w:line="360" w:lineRule="auto"/>
              <w:jc w:val="center"/>
              <w:rPr>
                <w:rFonts w:hint="eastAsia" w:ascii="宋体" w:hAnsi="宋体" w:eastAsia="宋体" w:cs="宋体"/>
                <w:szCs w:val="21"/>
                <w:highlight w:val="none"/>
              </w:rPr>
            </w:pPr>
          </w:p>
        </w:tc>
        <w:tc>
          <w:tcPr>
            <w:tcW w:w="1146" w:type="dxa"/>
            <w:noWrap w:val="0"/>
            <w:vAlign w:val="center"/>
          </w:tcPr>
          <w:p w14:paraId="1A10A8EF">
            <w:pPr>
              <w:widowControl/>
              <w:spacing w:beforeLines="0" w:afterLines="0" w:line="360" w:lineRule="auto"/>
              <w:jc w:val="center"/>
              <w:rPr>
                <w:rFonts w:hint="eastAsia" w:ascii="宋体" w:hAnsi="宋体" w:eastAsia="宋体" w:cs="宋体"/>
                <w:szCs w:val="21"/>
                <w:highlight w:val="none"/>
              </w:rPr>
            </w:pPr>
          </w:p>
        </w:tc>
        <w:tc>
          <w:tcPr>
            <w:tcW w:w="1767" w:type="dxa"/>
            <w:noWrap w:val="0"/>
            <w:vAlign w:val="center"/>
          </w:tcPr>
          <w:p w14:paraId="7D766EE3">
            <w:pPr>
              <w:widowControl/>
              <w:spacing w:beforeLines="0" w:afterLines="0" w:line="360" w:lineRule="auto"/>
              <w:jc w:val="center"/>
              <w:rPr>
                <w:rFonts w:hint="eastAsia" w:ascii="宋体" w:hAnsi="宋体" w:eastAsia="宋体" w:cs="宋体"/>
                <w:szCs w:val="21"/>
                <w:highlight w:val="none"/>
              </w:rPr>
            </w:pPr>
          </w:p>
        </w:tc>
      </w:tr>
    </w:tbl>
    <w:p w14:paraId="73535557">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注：1.近3年如发生工程诉讼或仲裁事项仅限于投标人败诉的设备买卖合同的相关情况，并附法院或仲裁机构作出的判决、裁决等有关法律文书复印件。</w:t>
      </w:r>
    </w:p>
    <w:p w14:paraId="2E5CDB82">
      <w:pPr>
        <w:spacing w:before="0" w:beforeLines="0" w:after="0" w:afterLines="0" w:line="360" w:lineRule="auto"/>
        <w:ind w:left="0"/>
        <w:rPr>
          <w:rFonts w:hint="eastAsia" w:ascii="宋体" w:hAnsi="宋体" w:eastAsia="宋体" w:cs="宋体"/>
          <w:b w:val="0"/>
          <w:bCs w:val="0"/>
          <w:kern w:val="2"/>
          <w:sz w:val="21"/>
          <w:szCs w:val="21"/>
          <w:highlight w:val="none"/>
          <w:lang w:val="en-US" w:eastAsia="zh-CN" w:bidi="ar-SA"/>
        </w:rPr>
      </w:pPr>
      <w:r>
        <w:rPr>
          <w:rFonts w:hint="eastAsia" w:ascii="宋体" w:hAnsi="宋体" w:eastAsia="宋体" w:cs="宋体"/>
          <w:b w:val="0"/>
          <w:bCs w:val="0"/>
          <w:kern w:val="2"/>
          <w:sz w:val="21"/>
          <w:szCs w:val="21"/>
          <w:highlight w:val="none"/>
          <w:lang w:val="en-US" w:eastAsia="zh-CN" w:bidi="ar-SA"/>
        </w:rPr>
        <w:t>2.近3年如无发生诉讼或仲裁事项，则应在本表格中以“/”注明无诉讼或仲裁事项发生</w:t>
      </w:r>
    </w:p>
    <w:p w14:paraId="183B1C9D">
      <w:pPr>
        <w:spacing w:before="0" w:beforeLines="0" w:after="0" w:afterLines="0" w:line="360" w:lineRule="auto"/>
        <w:ind w:left="0"/>
        <w:rPr>
          <w:rFonts w:hint="eastAsia" w:ascii="宋体" w:hAnsi="宋体" w:eastAsia="宋体" w:cs="宋体"/>
          <w:kern w:val="2"/>
          <w:sz w:val="21"/>
          <w:szCs w:val="21"/>
          <w:highlight w:val="none"/>
          <w:lang w:val="en-US" w:eastAsia="zh-CN" w:bidi="ar-SA"/>
        </w:rPr>
      </w:pPr>
    </w:p>
    <w:p w14:paraId="6E7A938A">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CE82B8F">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78EF4FC2">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78A97615">
      <w:pPr>
        <w:keepNext/>
        <w:keepLines/>
        <w:widowControl w:val="0"/>
        <w:spacing w:before="0" w:beforeLines="0" w:beforeAutospacing="0" w:after="0" w:afterLines="0" w:afterAutospacing="0" w:line="360" w:lineRule="auto"/>
        <w:jc w:val="center"/>
        <w:outlineLvl w:val="2"/>
        <w:rPr>
          <w:rFonts w:hint="eastAsia" w:ascii="Times New Roman" w:hAnsi="Times New Roman" w:eastAsia="宋体" w:cs="Times New Roman"/>
          <w:b/>
          <w:bCs w:val="0"/>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（九）</w:t>
      </w:r>
      <w:bookmarkStart w:id="922" w:name="_Toc22769"/>
      <w:bookmarkStart w:id="923" w:name="_Toc5693"/>
      <w:bookmarkStart w:id="924" w:name="_Toc9565"/>
      <w:r>
        <w:rPr>
          <w:rFonts w:hint="eastAsia" w:ascii="宋体" w:hAnsi="宋体" w:eastAsia="宋体" w:cs="宋体"/>
          <w:b/>
          <w:bCs w:val="0"/>
          <w:color w:val="auto"/>
          <w:kern w:val="2"/>
          <w:sz w:val="24"/>
          <w:szCs w:val="24"/>
          <w:highlight w:val="none"/>
          <w:lang w:val="en-US" w:eastAsia="zh-CN" w:bidi="ar-SA"/>
        </w:rPr>
        <w:t>反商业贿赂承诺书</w:t>
      </w:r>
      <w:bookmarkEnd w:id="922"/>
      <w:bookmarkEnd w:id="923"/>
      <w:bookmarkEnd w:id="924"/>
    </w:p>
    <w:p w14:paraId="6B7BC25E">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（招标人）：</w:t>
      </w:r>
    </w:p>
    <w:p w14:paraId="05FA1740">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rPr>
        <w:t>我公司承诺：</w:t>
      </w:r>
      <w:bookmarkStart w:id="925" w:name="_Toc6171"/>
      <w:bookmarkEnd w:id="925"/>
      <w:bookmarkStart w:id="926" w:name="_Toc267581738"/>
      <w:bookmarkEnd w:id="926"/>
      <w:bookmarkStart w:id="927" w:name="_Toc267581298"/>
      <w:bookmarkEnd w:id="927"/>
      <w:bookmarkStart w:id="928" w:name="_Toc301454138"/>
      <w:bookmarkEnd w:id="928"/>
      <w:r>
        <w:rPr>
          <w:rFonts w:hint="eastAsia" w:ascii="Times New Roman" w:hAnsi="Times New Roman" w:eastAsia="宋体" w:cs="Times New Roman"/>
          <w:color w:val="auto"/>
          <w:kern w:val="1"/>
          <w:szCs w:val="21"/>
          <w:highlight w:val="none"/>
        </w:rPr>
        <w:t>在</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招标活动中，保证做到：</w:t>
      </w:r>
    </w:p>
    <w:p w14:paraId="30E3ACF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29" w:name="_Toc267581739"/>
      <w:bookmarkEnd w:id="929"/>
      <w:bookmarkStart w:id="930" w:name="_Toc301454139"/>
      <w:bookmarkEnd w:id="930"/>
      <w:bookmarkStart w:id="931" w:name="_Toc28518"/>
      <w:bookmarkEnd w:id="931"/>
      <w:bookmarkStart w:id="932" w:name="_Toc267581299"/>
      <w:bookmarkEnd w:id="932"/>
      <w:r>
        <w:rPr>
          <w:rFonts w:hint="eastAsia" w:ascii="Times New Roman" w:hAnsi="Times New Roman" w:eastAsia="宋体" w:cs="Times New Roman"/>
          <w:color w:val="auto"/>
          <w:kern w:val="1"/>
          <w:szCs w:val="21"/>
          <w:highlight w:val="none"/>
        </w:rPr>
        <w:t>一、公平竞争参加本次招标活动。</w:t>
      </w:r>
    </w:p>
    <w:p w14:paraId="0E7489C4">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33" w:name="_Toc301454140"/>
      <w:bookmarkEnd w:id="933"/>
      <w:bookmarkStart w:id="934" w:name="_Toc267581300"/>
      <w:bookmarkEnd w:id="934"/>
      <w:bookmarkStart w:id="935" w:name="_Toc28474"/>
      <w:bookmarkEnd w:id="935"/>
      <w:bookmarkStart w:id="936" w:name="_Toc267581740"/>
      <w:bookmarkEnd w:id="936"/>
      <w:r>
        <w:rPr>
          <w:rFonts w:hint="eastAsia" w:ascii="Times New Roman" w:hAnsi="Times New Roman" w:eastAsia="宋体" w:cs="Times New Roman"/>
          <w:color w:val="auto"/>
          <w:kern w:val="1"/>
          <w:szCs w:val="21"/>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14:paraId="35A6F4BF">
      <w:pPr>
        <w:widowControl w:val="0"/>
        <w:spacing w:line="360" w:lineRule="auto"/>
        <w:ind w:firstLine="420" w:firstLineChars="200"/>
        <w:jc w:val="both"/>
        <w:rPr>
          <w:rFonts w:hint="eastAsia" w:ascii="Times New Roman" w:hAnsi="Times New Roman" w:eastAsia="宋体" w:cs="Times New Roman"/>
          <w:color w:val="auto"/>
          <w:kern w:val="1"/>
          <w:szCs w:val="21"/>
          <w:highlight w:val="none"/>
        </w:rPr>
      </w:pPr>
      <w:bookmarkStart w:id="937" w:name="_Toc267581741"/>
      <w:bookmarkEnd w:id="937"/>
      <w:bookmarkStart w:id="938" w:name="_Toc267581301"/>
      <w:bookmarkEnd w:id="938"/>
      <w:bookmarkStart w:id="939" w:name="_Toc29331"/>
      <w:bookmarkEnd w:id="939"/>
      <w:bookmarkStart w:id="940" w:name="_Toc301454141"/>
      <w:bookmarkEnd w:id="940"/>
      <w:r>
        <w:rPr>
          <w:rFonts w:hint="eastAsia" w:ascii="Times New Roman" w:hAnsi="Times New Roman" w:eastAsia="宋体" w:cs="Times New Roman"/>
          <w:color w:val="auto"/>
          <w:kern w:val="1"/>
          <w:szCs w:val="21"/>
          <w:highlight w:val="none"/>
        </w:rPr>
        <w:t>三、若出现上述行为，我公司及参与投标的工作人员愿意接受按照国家法律法规等有关规定给予的处罚。</w:t>
      </w:r>
    </w:p>
    <w:p w14:paraId="04F832A2">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074BE265">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D79C274">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7C7F5F86">
      <w:pPr>
        <w:widowControl w:val="0"/>
        <w:spacing w:line="360" w:lineRule="auto"/>
        <w:ind w:firstLine="555"/>
        <w:jc w:val="both"/>
        <w:rPr>
          <w:rFonts w:hint="eastAsia" w:ascii="Times New Roman" w:hAnsi="Times New Roman" w:eastAsia="宋体" w:cs="Times New Roman"/>
          <w:color w:val="auto"/>
          <w:kern w:val="1"/>
          <w:szCs w:val="21"/>
          <w:highlight w:val="none"/>
        </w:rPr>
      </w:pPr>
    </w:p>
    <w:p w14:paraId="333AED7F">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941" w:name="_Toc301454142"/>
      <w:bookmarkEnd w:id="941"/>
      <w:bookmarkStart w:id="942" w:name="_Toc267581742"/>
      <w:bookmarkEnd w:id="942"/>
      <w:bookmarkStart w:id="943" w:name="_Toc267581302"/>
      <w:bookmarkEnd w:id="943"/>
      <w:bookmarkStart w:id="944" w:name="_Toc267581303"/>
      <w:bookmarkEnd w:id="944"/>
      <w:bookmarkStart w:id="945" w:name="_Toc25660"/>
      <w:bookmarkEnd w:id="945"/>
      <w:bookmarkStart w:id="946" w:name="_Toc267581743"/>
      <w:bookmarkEnd w:id="946"/>
      <w:r>
        <w:rPr>
          <w:rFonts w:hint="eastAsia" w:ascii="Times New Roman" w:hAnsi="Times New Roman" w:eastAsia="宋体" w:cs="Times New Roman"/>
          <w:color w:val="auto"/>
          <w:kern w:val="1"/>
          <w:szCs w:val="21"/>
          <w:highlight w:val="none"/>
        </w:rPr>
        <w:t>投标人：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宋体" w:hAnsi="宋体" w:eastAsia="宋体" w:cs="宋体"/>
          <w:color w:val="auto"/>
          <w:kern w:val="0"/>
          <w:sz w:val="21"/>
          <w:szCs w:val="21"/>
          <w:highlight w:val="none"/>
        </w:rPr>
        <w:t>盖单位章</w:t>
      </w:r>
      <w:r>
        <w:rPr>
          <w:rFonts w:hint="eastAsia" w:ascii="Times New Roman" w:hAnsi="Times New Roman" w:eastAsia="宋体" w:cs="Times New Roman"/>
          <w:color w:val="auto"/>
          <w:kern w:val="1"/>
          <w:szCs w:val="21"/>
          <w:highlight w:val="none"/>
        </w:rPr>
        <w:t>）</w:t>
      </w:r>
    </w:p>
    <w:p w14:paraId="6C9E14F8">
      <w:pPr>
        <w:widowControl w:val="0"/>
        <w:spacing w:line="360" w:lineRule="auto"/>
        <w:ind w:firstLine="2520"/>
        <w:jc w:val="both"/>
        <w:rPr>
          <w:rFonts w:hint="eastAsia" w:ascii="Times New Roman" w:hAnsi="Times New Roman" w:eastAsia="宋体" w:cs="Times New Roman"/>
          <w:color w:val="auto"/>
          <w:kern w:val="1"/>
          <w:szCs w:val="21"/>
          <w:highlight w:val="none"/>
        </w:rPr>
      </w:pPr>
      <w:bookmarkStart w:id="947" w:name="_Toc301454143"/>
      <w:bookmarkEnd w:id="947"/>
      <w:bookmarkStart w:id="948" w:name="_Toc20368"/>
      <w:bookmarkEnd w:id="948"/>
      <w:r>
        <w:rPr>
          <w:rFonts w:hint="eastAsia" w:ascii="Times New Roman" w:hAnsi="Times New Roman" w:eastAsia="宋体" w:cs="Times New Roman"/>
          <w:color w:val="auto"/>
          <w:kern w:val="1"/>
          <w:szCs w:val="21"/>
          <w:highlight w:val="none"/>
        </w:rPr>
        <w:t>法定代表人</w:t>
      </w:r>
      <w:r>
        <w:rPr>
          <w:rFonts w:hint="eastAsia" w:ascii="宋体" w:hAnsi="宋体" w:eastAsia="宋体" w:cs="宋体"/>
          <w:color w:val="auto"/>
          <w:kern w:val="1"/>
          <w:sz w:val="21"/>
          <w:szCs w:val="21"/>
          <w:highlight w:val="none"/>
          <w:lang w:val="en-US" w:eastAsia="zh-CN"/>
        </w:rPr>
        <w:t>或</w:t>
      </w:r>
      <w:r>
        <w:rPr>
          <w:rFonts w:hint="eastAsia" w:ascii="Times New Roman" w:hAnsi="Times New Roman" w:eastAsia="宋体" w:cs="Times New Roman"/>
          <w:color w:val="auto"/>
          <w:kern w:val="1"/>
          <w:szCs w:val="21"/>
          <w:highlight w:val="none"/>
        </w:rPr>
        <w:t>委托</w:t>
      </w:r>
      <w:r>
        <w:rPr>
          <w:rFonts w:hint="eastAsia" w:ascii="Times New Roman" w:hAnsi="Times New Roman" w:eastAsia="宋体" w:cs="Times New Roman"/>
          <w:color w:val="auto"/>
          <w:kern w:val="1"/>
          <w:szCs w:val="21"/>
          <w:highlight w:val="none"/>
          <w:lang w:val="en-US" w:eastAsia="zh-CN"/>
        </w:rPr>
        <w:t>代理</w:t>
      </w:r>
      <w:r>
        <w:rPr>
          <w:rFonts w:hint="eastAsia" w:ascii="Times New Roman" w:hAnsi="Times New Roman" w:eastAsia="宋体" w:cs="Times New Roman"/>
          <w:color w:val="auto"/>
          <w:kern w:val="1"/>
          <w:szCs w:val="21"/>
          <w:highlight w:val="none"/>
        </w:rPr>
        <w:t>人：</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w:t>
      </w:r>
      <w:r>
        <w:rPr>
          <w:rFonts w:hint="eastAsia" w:ascii="Times New Roman" w:hAnsi="Times New Roman" w:eastAsia="宋体" w:cs="Times New Roman"/>
          <w:color w:val="auto"/>
          <w:szCs w:val="21"/>
          <w:highlight w:val="none"/>
        </w:rPr>
        <w:t>签字</w:t>
      </w:r>
      <w:r>
        <w:rPr>
          <w:rFonts w:hint="eastAsia" w:ascii="Times New Roman" w:hAnsi="Times New Roman" w:eastAsia="宋体" w:cs="Times New Roman"/>
          <w:color w:val="auto"/>
          <w:szCs w:val="21"/>
          <w:highlight w:val="none"/>
          <w:lang w:val="en-US" w:eastAsia="zh-CN"/>
        </w:rPr>
        <w:t>或</w:t>
      </w:r>
      <w:r>
        <w:rPr>
          <w:rFonts w:hint="eastAsia" w:ascii="Times New Roman" w:hAnsi="Times New Roman" w:eastAsia="宋体" w:cs="Times New Roman"/>
          <w:color w:val="auto"/>
          <w:szCs w:val="21"/>
          <w:highlight w:val="none"/>
        </w:rPr>
        <w:t>盖章</w:t>
      </w:r>
      <w:r>
        <w:rPr>
          <w:rFonts w:hint="eastAsia" w:ascii="Times New Roman" w:hAnsi="Times New Roman" w:eastAsia="宋体" w:cs="Times New Roman"/>
          <w:color w:val="auto"/>
          <w:kern w:val="1"/>
          <w:szCs w:val="21"/>
          <w:highlight w:val="none"/>
        </w:rPr>
        <w:t>）</w:t>
      </w:r>
    </w:p>
    <w:p w14:paraId="72EAEB0E">
      <w:pPr>
        <w:widowControl w:val="0"/>
        <w:spacing w:line="360" w:lineRule="auto"/>
        <w:ind w:firstLine="2520"/>
        <w:jc w:val="both"/>
        <w:rPr>
          <w:rFonts w:hint="eastAsia" w:ascii="Times New Roman" w:hAnsi="Times New Roman" w:eastAsia="宋体" w:cs="Times New Roman"/>
          <w:color w:val="auto"/>
          <w:kern w:val="1"/>
          <w:szCs w:val="21"/>
          <w:highlight w:val="none"/>
        </w:rPr>
      </w:pPr>
    </w:p>
    <w:p w14:paraId="55D4985D">
      <w:pPr>
        <w:widowControl w:val="0"/>
        <w:spacing w:line="360" w:lineRule="auto"/>
        <w:ind w:firstLine="2520"/>
        <w:jc w:val="right"/>
        <w:rPr>
          <w:rFonts w:hint="eastAsia" w:ascii="Times New Roman" w:hAnsi="Times New Roman" w:eastAsia="宋体" w:cs="Times New Roman"/>
          <w:color w:val="auto"/>
          <w:kern w:val="1"/>
          <w:szCs w:val="21"/>
          <w:highlight w:val="none"/>
        </w:rPr>
      </w:pPr>
      <w:r>
        <w:rPr>
          <w:rFonts w:hint="eastAsia" w:ascii="Times New Roman" w:hAnsi="Times New Roman" w:eastAsia="宋体" w:cs="Times New Roman"/>
          <w:color w:val="auto"/>
          <w:kern w:val="1"/>
          <w:szCs w:val="21"/>
          <w:highlight w:val="none"/>
          <w:u w:val="single"/>
        </w:rPr>
        <w:t xml:space="preserve">          </w:t>
      </w:r>
      <w:bookmarkStart w:id="949" w:name="_Toc267581744"/>
      <w:bookmarkEnd w:id="949"/>
      <w:bookmarkStart w:id="950" w:name="_Toc29275"/>
      <w:bookmarkEnd w:id="950"/>
      <w:bookmarkStart w:id="951" w:name="_Toc267581304"/>
      <w:bookmarkEnd w:id="951"/>
      <w:bookmarkStart w:id="952" w:name="_Toc301454144"/>
      <w:bookmarkEnd w:id="952"/>
      <w:r>
        <w:rPr>
          <w:rFonts w:hint="eastAsia" w:ascii="Times New Roman" w:hAnsi="Times New Roman" w:eastAsia="宋体" w:cs="Times New Roman"/>
          <w:color w:val="auto"/>
          <w:kern w:val="1"/>
          <w:szCs w:val="21"/>
          <w:highlight w:val="none"/>
        </w:rPr>
        <w:t>年</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月</w:t>
      </w:r>
      <w:r>
        <w:rPr>
          <w:rFonts w:hint="eastAsia" w:ascii="Times New Roman" w:hAnsi="Times New Roman" w:eastAsia="宋体" w:cs="Times New Roman"/>
          <w:color w:val="auto"/>
          <w:kern w:val="1"/>
          <w:szCs w:val="21"/>
          <w:highlight w:val="none"/>
          <w:u w:val="single"/>
        </w:rPr>
        <w:t xml:space="preserve">      </w:t>
      </w:r>
      <w:r>
        <w:rPr>
          <w:rFonts w:hint="eastAsia" w:ascii="Times New Roman" w:hAnsi="Times New Roman" w:eastAsia="宋体" w:cs="Times New Roman"/>
          <w:color w:val="auto"/>
          <w:kern w:val="1"/>
          <w:szCs w:val="21"/>
          <w:highlight w:val="none"/>
        </w:rPr>
        <w:t>日</w:t>
      </w:r>
    </w:p>
    <w:p w14:paraId="4AFE0627">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11E0B87E">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6F65D5C5">
      <w:pPr>
        <w:widowControl/>
        <w:spacing w:beforeLines="0" w:afterLines="0" w:line="240" w:lineRule="auto"/>
        <w:jc w:val="center"/>
        <w:rPr>
          <w:rFonts w:hint="eastAsia" w:ascii="宋体" w:hAnsi="宋体" w:eastAsia="宋体" w:cs="宋体"/>
          <w:b/>
          <w:bCs/>
          <w:sz w:val="24"/>
          <w:szCs w:val="24"/>
          <w:highlight w:val="none"/>
        </w:rPr>
      </w:pPr>
      <w:bookmarkStart w:id="953" w:name="_Toc13723"/>
      <w:bookmarkStart w:id="954" w:name="_Toc16817"/>
      <w:bookmarkStart w:id="955" w:name="_Toc534572436"/>
      <w:bookmarkStart w:id="956" w:name="_Toc62034598"/>
    </w:p>
    <w:p w14:paraId="27BBBB84">
      <w:pPr>
        <w:widowControl/>
        <w:spacing w:beforeLines="-2147483648" w:afterLines="-2147483648" w:line="240" w:lineRule="auto"/>
        <w:jc w:val="left"/>
        <w:outlineLvl w:val="9"/>
        <w:rPr>
          <w:rFonts w:hint="eastAsia" w:ascii="宋体" w:hAnsi="宋体" w:eastAsia="宋体" w:cs="宋体"/>
          <w:b/>
          <w:bCs/>
          <w:sz w:val="24"/>
          <w:szCs w:val="24"/>
          <w:highlight w:val="none"/>
        </w:rPr>
      </w:pPr>
      <w:bookmarkStart w:id="957" w:name="_Toc9303"/>
      <w:r>
        <w:rPr>
          <w:rFonts w:hint="eastAsia" w:ascii="宋体" w:hAnsi="宋体" w:eastAsia="宋体" w:cs="宋体"/>
          <w:b/>
          <w:bCs/>
          <w:sz w:val="24"/>
          <w:szCs w:val="24"/>
          <w:highlight w:val="none"/>
        </w:rPr>
        <w:br w:type="page"/>
      </w:r>
    </w:p>
    <w:bookmarkEnd w:id="957"/>
    <w:p w14:paraId="52AB1A4C">
      <w:pPr>
        <w:widowControl w:val="0"/>
        <w:adjustRightInd w:val="0"/>
        <w:snapToGrid w:val="0"/>
        <w:spacing w:before="0" w:beforeLines="-2147483648" w:after="0" w:afterLines="-2147483648"/>
        <w:ind w:firstLine="3614" w:firstLineChars="1500"/>
        <w:jc w:val="left"/>
        <w:outlineLvl w:val="1"/>
        <w:rPr>
          <w:rFonts w:hint="eastAsia" w:ascii="宋体" w:hAnsi="宋体" w:eastAsia="宋体" w:cs="宋体"/>
          <w:b/>
          <w:sz w:val="24"/>
          <w:szCs w:val="24"/>
          <w:highlight w:val="none"/>
        </w:rPr>
      </w:pPr>
      <w:bookmarkStart w:id="958" w:name="_Toc8781"/>
      <w:bookmarkStart w:id="959" w:name="_Toc91345080"/>
      <w:bookmarkStart w:id="960" w:name="_Toc32479"/>
      <w:r>
        <w:rPr>
          <w:rFonts w:hint="eastAsia" w:ascii="宋体" w:hAnsi="宋体" w:eastAsia="宋体" w:cs="宋体"/>
          <w:b/>
          <w:sz w:val="24"/>
          <w:szCs w:val="24"/>
          <w:highlight w:val="none"/>
          <w:lang w:eastAsia="zh-CN"/>
        </w:rPr>
        <w:t>七</w:t>
      </w:r>
      <w:r>
        <w:rPr>
          <w:rFonts w:hint="eastAsia" w:ascii="宋体" w:hAnsi="宋体" w:eastAsia="宋体" w:cs="宋体"/>
          <w:b/>
          <w:sz w:val="24"/>
          <w:szCs w:val="24"/>
          <w:highlight w:val="none"/>
        </w:rPr>
        <w:t>、技术资料</w:t>
      </w:r>
      <w:bookmarkEnd w:id="953"/>
      <w:bookmarkEnd w:id="954"/>
      <w:bookmarkEnd w:id="955"/>
      <w:bookmarkEnd w:id="956"/>
      <w:bookmarkEnd w:id="958"/>
      <w:bookmarkEnd w:id="959"/>
      <w:bookmarkEnd w:id="960"/>
    </w:p>
    <w:p w14:paraId="63077967">
      <w:pPr>
        <w:widowControl/>
        <w:spacing w:beforeLines="0" w:afterLines="0" w:line="240" w:lineRule="auto"/>
        <w:jc w:val="left"/>
        <w:rPr>
          <w:rFonts w:hint="eastAsia" w:ascii="宋体" w:hAnsi="宋体" w:eastAsia="宋体" w:cs="宋体"/>
          <w:szCs w:val="21"/>
          <w:highlight w:val="none"/>
        </w:rPr>
      </w:pPr>
    </w:p>
    <w:p w14:paraId="622B5E97">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bookmarkStart w:id="961" w:name="_Toc10569"/>
      <w:r>
        <w:rPr>
          <w:rFonts w:hint="eastAsia" w:ascii="宋体" w:hAnsi="宋体" w:eastAsia="宋体" w:cs="宋体"/>
          <w:sz w:val="21"/>
          <w:szCs w:val="21"/>
          <w:highlight w:val="none"/>
        </w:rPr>
        <w:t>投标人依据招标文件和评标办法编制技术文件，包括但不限于以下内容：</w:t>
      </w:r>
    </w:p>
    <w:p w14:paraId="0900B907">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（1）组织机构及主要人员</w:t>
      </w:r>
    </w:p>
    <w:p w14:paraId="09C7C749">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（2）技术部分的响应性、符合性及完整性</w:t>
      </w:r>
    </w:p>
    <w:p w14:paraId="33D9C070">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（3）设备的技术特性</w:t>
      </w:r>
    </w:p>
    <w:p w14:paraId="0CE6A02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（4）生产工艺</w:t>
      </w:r>
    </w:p>
    <w:p w14:paraId="59BAE1BC">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（5）设备制造的质量和安全保证体系</w:t>
      </w:r>
    </w:p>
    <w:p w14:paraId="1DB07149">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（6）组装和出厂试验</w:t>
      </w:r>
    </w:p>
    <w:p w14:paraId="3C26ED66">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（7）运输、保管方案</w:t>
      </w:r>
    </w:p>
    <w:p w14:paraId="471D499A">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（8）技术服务方案</w:t>
      </w:r>
    </w:p>
    <w:p w14:paraId="2A415EAF">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（9）备品备件</w:t>
      </w:r>
    </w:p>
    <w:p w14:paraId="767D0681">
      <w:pPr>
        <w:widowControl/>
        <w:jc w:val="left"/>
        <w:rPr>
          <w:rFonts w:hint="eastAsia" w:ascii="宋体" w:hAnsi="宋体" w:eastAsia="宋体" w:cs="宋体"/>
          <w:b/>
          <w:bCs w:val="0"/>
          <w:color w:val="auto"/>
          <w:kern w:val="2"/>
          <w:sz w:val="24"/>
          <w:szCs w:val="24"/>
          <w:lang w:val="en-US" w:eastAsia="zh-CN" w:bidi="ar-SA"/>
        </w:rPr>
      </w:pPr>
      <w:bookmarkStart w:id="962" w:name="_Toc13675"/>
      <w:r>
        <w:rPr>
          <w:rFonts w:hint="eastAsia" w:ascii="宋体" w:hAnsi="宋体" w:eastAsia="宋体" w:cs="宋体"/>
          <w:b/>
          <w:bCs w:val="0"/>
          <w:color w:val="auto"/>
          <w:kern w:val="2"/>
          <w:sz w:val="24"/>
          <w:szCs w:val="24"/>
          <w:lang w:val="en-US" w:eastAsia="zh-CN" w:bidi="ar-SA"/>
        </w:rPr>
        <w:br w:type="page"/>
      </w:r>
    </w:p>
    <w:p w14:paraId="345F3E7D">
      <w:pPr>
        <w:keepNext w:val="0"/>
        <w:keepLines w:val="0"/>
        <w:widowControl w:val="0"/>
        <w:numPr>
          <w:ilvl w:val="0"/>
          <w:numId w:val="0"/>
        </w:numPr>
        <w:wordWrap w:val="0"/>
        <w:spacing w:before="0" w:after="0" w:line="360" w:lineRule="auto"/>
        <w:jc w:val="center"/>
        <w:outlineLvl w:val="1"/>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lang w:val="en-US" w:eastAsia="zh-CN" w:bidi="ar-SA"/>
        </w:rPr>
        <w:t>八、</w:t>
      </w:r>
      <w:bookmarkEnd w:id="962"/>
      <w:r>
        <w:rPr>
          <w:rFonts w:hint="eastAsia" w:ascii="宋体" w:hAnsi="宋体" w:eastAsia="宋体" w:cs="宋体"/>
          <w:b/>
          <w:bCs w:val="0"/>
          <w:color w:val="auto"/>
          <w:kern w:val="2"/>
          <w:sz w:val="24"/>
          <w:szCs w:val="24"/>
          <w:lang w:val="en-US" w:eastAsia="zh-CN" w:bidi="ar-SA"/>
        </w:rPr>
        <w:t>惩罚记录查询信息</w:t>
      </w:r>
    </w:p>
    <w:p w14:paraId="603D5A79">
      <w:pPr>
        <w:widowControl w:val="0"/>
        <w:numPr>
          <w:ilvl w:val="-1"/>
          <w:numId w:val="0"/>
        </w:numPr>
        <w:wordWrap w:val="0"/>
        <w:spacing w:line="360" w:lineRule="auto"/>
        <w:ind w:firstLine="420" w:firstLineChars="200"/>
        <w:jc w:val="left"/>
        <w:rPr>
          <w:rFonts w:hint="eastAsia" w:ascii="Calibri" w:hAnsi="Calibri" w:eastAsia="宋体" w:cs="Times New Roman"/>
          <w:b w:val="0"/>
          <w:bCs w:val="0"/>
          <w:color w:val="auto"/>
          <w:szCs w:val="22"/>
          <w:highlight w:val="none"/>
          <w:lang w:val="en-US" w:eastAsia="zh-CN"/>
        </w:rPr>
      </w:pPr>
      <w:r>
        <w:rPr>
          <w:rFonts w:hint="eastAsia" w:ascii="Calibri" w:hAnsi="Calibri" w:eastAsia="宋体" w:cs="Times New Roman"/>
          <w:b w:val="0"/>
          <w:bCs w:val="0"/>
          <w:color w:val="auto"/>
          <w:szCs w:val="22"/>
          <w:highlight w:val="none"/>
          <w:lang w:val="en-US" w:eastAsia="zh-CN"/>
        </w:rPr>
        <w:t>若无评分办法中规定的不良行为记录，提供承诺书。</w:t>
      </w:r>
    </w:p>
    <w:p w14:paraId="1A2B243E">
      <w:pPr>
        <w:widowControl w:val="0"/>
        <w:adjustRightInd w:val="0"/>
        <w:snapToGrid w:val="0"/>
        <w:spacing w:beforeLines="0" w:afterLines="0" w:line="360" w:lineRule="auto"/>
        <w:ind w:firstLine="0" w:firstLineChars="0"/>
        <w:jc w:val="both"/>
        <w:rPr>
          <w:rFonts w:hint="eastAsia" w:ascii="宋体" w:hAnsi="宋体" w:eastAsia="宋体" w:cs="宋体"/>
          <w:sz w:val="21"/>
          <w:szCs w:val="21"/>
          <w:highlight w:val="none"/>
        </w:rPr>
      </w:pPr>
    </w:p>
    <w:p w14:paraId="2C481026">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1C27CA1B">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51A1962A">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pPr>
    </w:p>
    <w:p w14:paraId="3683069B">
      <w:pPr>
        <w:widowControl w:val="0"/>
        <w:adjustRightInd w:val="0"/>
        <w:snapToGrid w:val="0"/>
        <w:spacing w:beforeLines="0" w:afterLines="0" w:line="240" w:lineRule="auto"/>
        <w:ind w:firstLine="0" w:firstLineChars="0"/>
        <w:jc w:val="both"/>
        <w:rPr>
          <w:rFonts w:hint="eastAsia" w:ascii="宋体" w:hAnsi="宋体" w:eastAsia="宋体" w:cs="宋体"/>
          <w:sz w:val="24"/>
          <w:szCs w:val="24"/>
          <w:highlight w:val="none"/>
        </w:rPr>
        <w:sectPr>
          <w:pgSz w:w="11905" w:h="16838"/>
          <w:pgMar w:top="1417" w:right="1417" w:bottom="1417" w:left="1417" w:header="794" w:footer="794" w:gutter="0"/>
          <w:pgNumType w:fmt="decimal"/>
          <w:cols w:space="720" w:num="1"/>
          <w:docGrid w:linePitch="286" w:charSpace="0"/>
        </w:sectPr>
      </w:pPr>
    </w:p>
    <w:bookmarkEnd w:id="961"/>
    <w:p w14:paraId="6AEB688A">
      <w:pPr>
        <w:keepNext/>
        <w:keepLines/>
        <w:widowControl w:val="0"/>
        <w:adjustRightInd w:val="0"/>
        <w:snapToGrid w:val="0"/>
        <w:spacing w:before="0" w:after="0" w:line="416" w:lineRule="auto"/>
        <w:ind w:firstLine="3373" w:firstLineChars="1400"/>
        <w:outlineLvl w:val="1"/>
        <w:rPr>
          <w:rFonts w:hint="eastAsia" w:ascii="宋体" w:hAnsi="宋体" w:eastAsia="宋体" w:cs="宋体"/>
          <w:b/>
          <w:bCs/>
          <w:kern w:val="0"/>
          <w:sz w:val="24"/>
          <w:szCs w:val="24"/>
          <w:highlight w:val="none"/>
          <w:lang w:val="en-US" w:eastAsia="zh-CN" w:bidi="ar-SA"/>
        </w:rPr>
      </w:pPr>
      <w:bookmarkStart w:id="963" w:name="_Toc62034599"/>
      <w:bookmarkStart w:id="964" w:name="_Toc534572444"/>
      <w:bookmarkStart w:id="965" w:name="_Toc14237"/>
      <w:bookmarkStart w:id="966" w:name="_Toc91345081"/>
      <w:bookmarkStart w:id="967" w:name="_Toc15357"/>
      <w:bookmarkStart w:id="968" w:name="_Toc21741"/>
      <w:bookmarkStart w:id="969" w:name="_Toc4004"/>
      <w:r>
        <w:rPr>
          <w:rFonts w:hint="eastAsia" w:ascii="宋体" w:hAnsi="宋体" w:eastAsia="宋体" w:cs="宋体"/>
          <w:b/>
          <w:bCs/>
          <w:kern w:val="2"/>
          <w:sz w:val="24"/>
          <w:szCs w:val="24"/>
          <w:highlight w:val="none"/>
          <w:lang w:val="en-US" w:eastAsia="zh-CN" w:bidi="ar-SA"/>
        </w:rPr>
        <w:t>九、其他资料</w:t>
      </w:r>
      <w:bookmarkEnd w:id="963"/>
      <w:bookmarkEnd w:id="964"/>
      <w:bookmarkEnd w:id="965"/>
      <w:bookmarkEnd w:id="966"/>
      <w:bookmarkEnd w:id="967"/>
      <w:bookmarkEnd w:id="968"/>
    </w:p>
    <w:bookmarkEnd w:id="969"/>
    <w:p w14:paraId="7621C6AC">
      <w:pPr>
        <w:widowControl/>
        <w:spacing w:beforeLines="0" w:afterLines="0" w:line="240" w:lineRule="auto"/>
        <w:jc w:val="left"/>
        <w:rPr>
          <w:rFonts w:hint="eastAsia" w:ascii="宋体" w:hAnsi="宋体" w:eastAsia="宋体" w:cs="宋体"/>
          <w:b/>
          <w:bCs/>
          <w:sz w:val="24"/>
          <w:szCs w:val="24"/>
          <w:highlight w:val="none"/>
        </w:rPr>
      </w:pPr>
    </w:p>
    <w:p w14:paraId="000A8737">
      <w:pPr>
        <w:widowControl/>
        <w:spacing w:beforeLines="0" w:afterLines="0" w:line="240" w:lineRule="auto"/>
        <w:jc w:val="left"/>
        <w:rPr>
          <w:rFonts w:hint="eastAsia" w:ascii="宋体" w:hAnsi="宋体" w:eastAsia="宋体" w:cs="宋体"/>
          <w:b/>
          <w:bCs/>
          <w:sz w:val="24"/>
          <w:szCs w:val="24"/>
          <w:highlight w:val="none"/>
        </w:rPr>
      </w:pPr>
    </w:p>
    <w:p w14:paraId="3845D27E">
      <w:pPr>
        <w:widowControl/>
        <w:spacing w:beforeLines="0" w:afterLines="0" w:line="240" w:lineRule="auto"/>
        <w:jc w:val="left"/>
        <w:rPr>
          <w:rFonts w:hint="eastAsia" w:ascii="宋体" w:hAnsi="宋体" w:eastAsia="宋体" w:cs="宋体"/>
          <w:sz w:val="24"/>
          <w:szCs w:val="24"/>
          <w:highlight w:val="none"/>
        </w:rPr>
      </w:pPr>
    </w:p>
    <w:p w14:paraId="6CED724E">
      <w:pPr>
        <w:widowControl/>
        <w:spacing w:beforeLines="0" w:afterLines="0" w:line="240" w:lineRule="auto"/>
        <w:jc w:val="left"/>
        <w:rPr>
          <w:rFonts w:hint="eastAsia" w:ascii="宋体" w:hAnsi="宋体" w:eastAsia="宋体" w:cs="宋体"/>
          <w:sz w:val="24"/>
          <w:szCs w:val="24"/>
          <w:highlight w:val="none"/>
        </w:rPr>
      </w:pPr>
    </w:p>
    <w:p w14:paraId="02760E2E">
      <w:pPr>
        <w:widowControl/>
        <w:spacing w:beforeLines="0" w:afterLines="0" w:line="240" w:lineRule="auto"/>
        <w:jc w:val="left"/>
        <w:rPr>
          <w:rFonts w:hint="eastAsia" w:ascii="宋体" w:hAnsi="宋体" w:eastAsia="宋体" w:cs="宋体"/>
          <w:sz w:val="24"/>
          <w:szCs w:val="24"/>
          <w:highlight w:val="none"/>
        </w:rPr>
      </w:pPr>
    </w:p>
    <w:p w14:paraId="32F85F2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A3B6551">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597A0CE4">
      <w:pPr>
        <w:widowControl w:val="0"/>
        <w:autoSpaceDE w:val="0"/>
        <w:autoSpaceDN w:val="0"/>
        <w:adjustRightInd w:val="0"/>
        <w:spacing w:beforeLines="0" w:afterLines="0" w:line="240" w:lineRule="auto"/>
        <w:ind w:left="120" w:hanging="120"/>
        <w:jc w:val="center"/>
        <w:rPr>
          <w:rFonts w:hint="eastAsia" w:ascii="宋体" w:hAnsi="宋体" w:eastAsia="宋体" w:cs="宋体"/>
          <w:color w:val="000000"/>
          <w:kern w:val="0"/>
          <w:sz w:val="24"/>
          <w:szCs w:val="24"/>
          <w:highlight w:val="none"/>
          <w:lang w:val="en-US" w:eastAsia="zh-CN" w:bidi="ar-SA"/>
        </w:rPr>
      </w:pPr>
    </w:p>
    <w:p w14:paraId="571D40B1">
      <w:pPr>
        <w:widowControl/>
        <w:spacing w:beforeLines="0" w:afterLines="0" w:line="240" w:lineRule="auto"/>
        <w:jc w:val="left"/>
        <w:rPr>
          <w:rFonts w:hint="eastAsia" w:ascii="宋体" w:hAnsi="宋体" w:eastAsia="宋体" w:cs="宋体"/>
          <w:szCs w:val="22"/>
          <w:highlight w:val="none"/>
        </w:rPr>
      </w:pPr>
    </w:p>
    <w:p w14:paraId="7236EEE1">
      <w:pPr>
        <w:widowControl/>
        <w:spacing w:beforeLines="0" w:afterLines="0" w:line="240" w:lineRule="auto"/>
        <w:jc w:val="left"/>
        <w:rPr>
          <w:rFonts w:hint="eastAsia" w:ascii="宋体" w:hAnsi="宋体" w:eastAsia="宋体" w:cs="宋体"/>
          <w:szCs w:val="22"/>
          <w:highlight w:val="none"/>
        </w:rPr>
      </w:pPr>
    </w:p>
    <w:p w14:paraId="2987BCCA">
      <w:pPr>
        <w:widowControl/>
        <w:spacing w:beforeLines="0" w:afterLines="0" w:line="240" w:lineRule="auto"/>
        <w:jc w:val="left"/>
        <w:rPr>
          <w:rFonts w:hint="eastAsia" w:ascii="宋体" w:hAnsi="宋体" w:eastAsia="宋体" w:cs="宋体"/>
          <w:szCs w:val="22"/>
          <w:highlight w:val="none"/>
        </w:rPr>
      </w:pPr>
    </w:p>
    <w:p w14:paraId="5951207C">
      <w:pPr>
        <w:widowControl/>
        <w:spacing w:beforeLines="0" w:afterLines="0" w:line="240" w:lineRule="auto"/>
        <w:jc w:val="left"/>
        <w:rPr>
          <w:rFonts w:hint="eastAsia" w:ascii="宋体" w:hAnsi="宋体" w:eastAsia="宋体" w:cs="宋体"/>
          <w:szCs w:val="22"/>
          <w:highlight w:val="none"/>
        </w:rPr>
      </w:pPr>
    </w:p>
    <w:p w14:paraId="3FA52351">
      <w:pPr>
        <w:widowControl/>
        <w:spacing w:beforeLines="0" w:afterLines="0" w:line="240" w:lineRule="auto"/>
        <w:jc w:val="left"/>
        <w:rPr>
          <w:rFonts w:hint="eastAsia" w:ascii="宋体" w:hAnsi="宋体" w:eastAsia="宋体" w:cs="宋体"/>
          <w:szCs w:val="22"/>
          <w:highlight w:val="none"/>
        </w:rPr>
      </w:pPr>
    </w:p>
    <w:bookmarkEnd w:id="920"/>
    <w:p w14:paraId="28D6C778">
      <w:pPr>
        <w:spacing w:before="0" w:beforeLines="0" w:after="0" w:afterLines="0" w:line="240" w:lineRule="auto"/>
        <w:ind w:left="0"/>
        <w:rPr>
          <w:rFonts w:hint="eastAsia" w:ascii="宋体" w:hAnsi="宋体" w:eastAsia="宋体" w:cs="宋体"/>
          <w:kern w:val="2"/>
          <w:sz w:val="24"/>
          <w:szCs w:val="24"/>
          <w:highlight w:val="none"/>
          <w:lang w:val="en-US" w:eastAsia="zh-CN" w:bidi="ar-SA"/>
        </w:rPr>
      </w:pPr>
    </w:p>
    <w:p w14:paraId="258443A4">
      <w:pPr>
        <w:widowControl/>
        <w:jc w:val="left"/>
        <w:rPr>
          <w:rFonts w:hint="eastAsia" w:ascii="Times New Roman" w:hAnsi="Times New Roman" w:eastAsia="宋体" w:cs="Times New Roman"/>
          <w:szCs w:val="22"/>
        </w:rPr>
      </w:pPr>
    </w:p>
    <w:p w14:paraId="3DA441E0"/>
    <w:sectPr>
      <w:headerReference r:id="rId7" w:type="default"/>
      <w:footerReference r:id="rId8" w:type="default"/>
      <w:pgSz w:w="11905" w:h="16838"/>
      <w:pgMar w:top="1417" w:right="1417" w:bottom="1417" w:left="1417" w:header="794" w:footer="794" w:gutter="0"/>
      <w:pgNumType w:fmt="decimal"/>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icrosoft JhengHei">
    <w:panose1 w:val="020B0604030504040204"/>
    <w:charset w:val="88"/>
    <w:family w:val="swiss"/>
    <w:pitch w:val="default"/>
    <w:sig w:usb0="000002A7" w:usb1="28CF4400" w:usb2="00000016" w:usb3="00000000" w:csb0="00100009"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07AA6">
    <w:pPr>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DDFDCF">
    <w:pPr>
      <w:tabs>
        <w:tab w:val="center" w:pos="4535"/>
        <w:tab w:val="right" w:pos="8306"/>
      </w:tabs>
      <w:snapToGrid w:val="0"/>
      <w:jc w:val="left"/>
      <w:rPr>
        <w:rFonts w:hint="eastAsia" w:ascii="Cambria" w:hAnsi="Cambria" w:eastAsia="宋体" w:cs="Times New Roman"/>
        <w:kern w:val="2"/>
        <w:sz w:val="18"/>
        <w:szCs w:val="18"/>
        <w:lang w:val="en-US" w:eastAsia="zh-CN" w:bidi="ar-SA"/>
      </w:rPr>
    </w:pPr>
    <w:r>
      <w:rPr>
        <w:rFonts w:hint="eastAsia" w:ascii="Cambria" w:hAnsi="Cambria" w:eastAsia="宋体" w:cs="Times New Roman"/>
        <w:kern w:val="2"/>
        <w:sz w:val="18"/>
        <w:szCs w:val="18"/>
        <w:lang w:val="en-US" w:eastAsia="zh-CN" w:bidi="ar-SA"/>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BD877">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69964">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DF69964">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ED466">
    <w:pPr>
      <w:tabs>
        <w:tab w:val="center" w:pos="4153"/>
        <w:tab w:val="right" w:pos="8306"/>
      </w:tabs>
      <w:snapToGrid w:val="0"/>
      <w:jc w:val="left"/>
      <w:rPr>
        <w:rFonts w:hint="eastAsia" w:ascii="Cambria" w:hAnsi="Cambria"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gW3MPLAQAAnAMAAA4AAAAAAAAAAQAgAAAAHgEAAGRycy9lMm9E&#10;b2MueG1sUEsFBgAAAAAGAAYAWQEAAFsFAAAAAA==&#10;">
              <v:fill on="f" focussize="0,0"/>
              <v:stroke on="f"/>
              <v:imagedata o:title=""/>
              <o:lock v:ext="edit" aspectratio="f"/>
              <v:textbox inset="0mm,0mm,0mm,0mm" style="mso-fit-shape-to-text:t;">
                <w:txbxContent>
                  <w:p w14:paraId="6D78A8CA">
                    <w:pPr>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135</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9ED69">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049EA">
    <w:pPr>
      <w:pBdr>
        <w:top w:val="none" w:color="auto" w:sz="0" w:space="1"/>
        <w:left w:val="none" w:color="auto" w:sz="0" w:space="4"/>
        <w:bottom w:val="none" w:color="auto" w:sz="0" w:space="1"/>
        <w:right w:val="none" w:color="auto" w:sz="0" w:space="4"/>
      </w:pBdr>
      <w:tabs>
        <w:tab w:val="center" w:pos="4153"/>
        <w:tab w:val="right" w:pos="8306"/>
      </w:tabs>
      <w:snapToGrid w:val="0"/>
      <w:jc w:val="center"/>
      <w:rPr>
        <w:rFonts w:hint="eastAsia" w:ascii="宋体" w:hAnsi="宋体" w:eastAsia="宋体" w:cs="宋体"/>
        <w:kern w:val="2"/>
        <w:sz w:val="21"/>
        <w:szCs w:val="21"/>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7FB560"/>
    <w:multiLevelType w:val="singleLevel"/>
    <w:tmpl w:val="EC7FB560"/>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AD45F0"/>
    <w:rsid w:val="004B1020"/>
    <w:rsid w:val="018E7B86"/>
    <w:rsid w:val="02B03C0C"/>
    <w:rsid w:val="059E6D9A"/>
    <w:rsid w:val="085034CC"/>
    <w:rsid w:val="08E26C00"/>
    <w:rsid w:val="0A7D4828"/>
    <w:rsid w:val="0B460AB5"/>
    <w:rsid w:val="0B8643EA"/>
    <w:rsid w:val="0C5E5EFE"/>
    <w:rsid w:val="10C161DE"/>
    <w:rsid w:val="12B91B6C"/>
    <w:rsid w:val="136B7571"/>
    <w:rsid w:val="144C719D"/>
    <w:rsid w:val="15451DDD"/>
    <w:rsid w:val="16297009"/>
    <w:rsid w:val="16AD45F0"/>
    <w:rsid w:val="17E56F60"/>
    <w:rsid w:val="187674B3"/>
    <w:rsid w:val="1B2C7D13"/>
    <w:rsid w:val="1B774608"/>
    <w:rsid w:val="1CF77F44"/>
    <w:rsid w:val="1D2D6F02"/>
    <w:rsid w:val="210668C5"/>
    <w:rsid w:val="24C54C65"/>
    <w:rsid w:val="25867EF4"/>
    <w:rsid w:val="2A471C50"/>
    <w:rsid w:val="2C477D91"/>
    <w:rsid w:val="2E9A064C"/>
    <w:rsid w:val="2F632B06"/>
    <w:rsid w:val="39417C1C"/>
    <w:rsid w:val="3957402E"/>
    <w:rsid w:val="3C4B1A4E"/>
    <w:rsid w:val="44165DA6"/>
    <w:rsid w:val="4562702B"/>
    <w:rsid w:val="49A50424"/>
    <w:rsid w:val="4CF2120A"/>
    <w:rsid w:val="4FA135D3"/>
    <w:rsid w:val="51ED6B61"/>
    <w:rsid w:val="553A5BF0"/>
    <w:rsid w:val="59E32B32"/>
    <w:rsid w:val="5B953DC6"/>
    <w:rsid w:val="5DA6723A"/>
    <w:rsid w:val="5DAF4A56"/>
    <w:rsid w:val="602244E3"/>
    <w:rsid w:val="616B35FF"/>
    <w:rsid w:val="652E32C1"/>
    <w:rsid w:val="70BB14F9"/>
    <w:rsid w:val="728D7D7F"/>
    <w:rsid w:val="740A14C1"/>
    <w:rsid w:val="75C51CEF"/>
    <w:rsid w:val="781F3285"/>
    <w:rsid w:val="7E897A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18816</Words>
  <Characters>20632</Characters>
  <Lines>0</Lines>
  <Paragraphs>0</Paragraphs>
  <TotalTime>20</TotalTime>
  <ScaleCrop>false</ScaleCrop>
  <LinksUpToDate>false</LinksUpToDate>
  <CharactersWithSpaces>20939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2026-08-26T04:03:00Z</dcterms:created>
  <dc:creator>马强</dc:creator>
  <cp:lastModifiedBy>Administrator</cp:lastModifiedBy>
  <cp:lastPrinted>2026-09-23T07:49:00Z</cp:lastPrinted>
  <dcterms:modified xsi:type="dcterms:W3CDTF">2026-09-28T06:21:32Z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A19909DD9B044DBAB62F06FE0592C01C_13</vt:lpwstr>
  </property>
  <property fmtid="{D5CDD505-2E9C-101B-9397-08002B2CF9AE}" pid="4" name="KSOTemplateDocerSaveRecord">
    <vt:lpwstr>eyJoZGlkIjoiNzk5YTZlMzUyMzczN2Q2ZjFlN2VkY2Q5YjkzNDdmMDIiLCJ1c2VySWQiOiI0MjAyMzM1MTcifQ==</vt:lpwstr>
  </property>
</Properties>
</file>