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9C2926">
      <w:pPr>
        <w:spacing w:line="408" w:lineRule="auto"/>
        <w:jc w:val="center"/>
        <w:rPr>
          <w:rFonts w:hint="eastAsia" w:ascii="宋体" w:hAnsi="宋体" w:cs="宋体"/>
          <w:b/>
          <w:sz w:val="32"/>
          <w:szCs w:val="32"/>
        </w:rPr>
      </w:pPr>
    </w:p>
    <w:p w14:paraId="689BB21B">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114300" distR="114300">
            <wp:extent cx="6119495" cy="8796655"/>
            <wp:effectExtent l="0" t="0" r="6985" b="12065"/>
            <wp:docPr id="14" name="图片 14" descr="合同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合同首页"/>
                    <pic:cNvPicPr>
                      <a:picLocks noChangeAspect="1"/>
                    </pic:cNvPicPr>
                  </pic:nvPicPr>
                  <pic:blipFill>
                    <a:blip r:embed="rId4"/>
                    <a:stretch>
                      <a:fillRect/>
                    </a:stretch>
                  </pic:blipFill>
                  <pic:spPr>
                    <a:xfrm>
                      <a:off x="0" y="0"/>
                      <a:ext cx="6119495" cy="8796655"/>
                    </a:xfrm>
                    <a:prstGeom prst="rect">
                      <a:avLst/>
                    </a:prstGeom>
                  </pic:spPr>
                </pic:pic>
              </a:graphicData>
            </a:graphic>
          </wp:inline>
        </w:drawing>
      </w:r>
      <w:r>
        <w:rPr>
          <w:rFonts w:hint="eastAsia" w:ascii="宋体" w:hAnsi="宋体" w:eastAsia="宋体" w:cs="宋体"/>
          <w:color w:val="auto"/>
          <w:szCs w:val="21"/>
          <w:highlight w:val="none"/>
        </w:rPr>
        <w:t xml:space="preserve"> </w:t>
      </w:r>
    </w:p>
    <w:tbl>
      <w:tblPr>
        <w:tblStyle w:val="6"/>
        <w:tblpPr w:leftFromText="180" w:rightFromText="180" w:vertAnchor="text" w:horzAnchor="page" w:tblpX="1125" w:tblpY="45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444"/>
        <w:gridCol w:w="1236"/>
        <w:gridCol w:w="1172"/>
        <w:gridCol w:w="776"/>
        <w:gridCol w:w="606"/>
        <w:gridCol w:w="606"/>
        <w:gridCol w:w="892"/>
        <w:gridCol w:w="1131"/>
        <w:gridCol w:w="1131"/>
      </w:tblGrid>
      <w:tr w14:paraId="6D7AE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14:paraId="4CF85B6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444" w:type="dxa"/>
            <w:tcBorders>
              <w:top w:val="single" w:color="auto" w:sz="4" w:space="0"/>
              <w:left w:val="single" w:color="auto" w:sz="4" w:space="0"/>
              <w:bottom w:val="single" w:color="auto" w:sz="4" w:space="0"/>
              <w:right w:val="single" w:color="auto" w:sz="4" w:space="0"/>
            </w:tcBorders>
            <w:noWrap w:val="0"/>
            <w:vAlign w:val="center"/>
          </w:tcPr>
          <w:p w14:paraId="681DB83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24E15307">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品牌/制造商</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37737ED3">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型号规格</w:t>
            </w:r>
          </w:p>
        </w:tc>
        <w:tc>
          <w:tcPr>
            <w:tcW w:w="776" w:type="dxa"/>
            <w:tcBorders>
              <w:top w:val="single" w:color="auto" w:sz="4" w:space="0"/>
              <w:left w:val="single" w:color="auto" w:sz="4" w:space="0"/>
              <w:bottom w:val="single" w:color="auto" w:sz="4" w:space="0"/>
              <w:right w:val="single" w:color="auto" w:sz="4" w:space="0"/>
            </w:tcBorders>
            <w:noWrap w:val="0"/>
            <w:vAlign w:val="center"/>
          </w:tcPr>
          <w:p w14:paraId="600268FC">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原产地</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521CC506">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w:t>
            </w:r>
          </w:p>
          <w:p w14:paraId="187ACFB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位</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4725CB9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w:t>
            </w:r>
          </w:p>
          <w:p w14:paraId="6A1EA70E">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量</w:t>
            </w:r>
          </w:p>
        </w:tc>
        <w:tc>
          <w:tcPr>
            <w:tcW w:w="892" w:type="dxa"/>
            <w:tcBorders>
              <w:top w:val="single" w:color="auto" w:sz="4" w:space="0"/>
              <w:left w:val="single" w:color="auto" w:sz="4" w:space="0"/>
              <w:bottom w:val="single" w:color="auto" w:sz="4" w:space="0"/>
              <w:right w:val="single" w:color="auto" w:sz="4" w:space="0"/>
            </w:tcBorders>
            <w:noWrap w:val="0"/>
            <w:vAlign w:val="center"/>
          </w:tcPr>
          <w:p w14:paraId="18E3C492">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p w14:paraId="15009D9B">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（RMB）</w:t>
            </w:r>
          </w:p>
        </w:tc>
        <w:tc>
          <w:tcPr>
            <w:tcW w:w="1131" w:type="dxa"/>
            <w:tcBorders>
              <w:top w:val="single" w:color="auto" w:sz="4" w:space="0"/>
              <w:left w:val="single" w:color="auto" w:sz="4" w:space="0"/>
              <w:bottom w:val="single" w:color="auto" w:sz="4" w:space="0"/>
              <w:right w:val="single" w:color="auto" w:sz="4" w:space="0"/>
            </w:tcBorders>
            <w:noWrap w:val="0"/>
            <w:vAlign w:val="center"/>
          </w:tcPr>
          <w:p w14:paraId="2DA51B4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小计</w:t>
            </w:r>
          </w:p>
          <w:p w14:paraId="17E04AC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（RMB）</w:t>
            </w:r>
          </w:p>
        </w:tc>
        <w:tc>
          <w:tcPr>
            <w:tcW w:w="1131" w:type="dxa"/>
            <w:tcBorders>
              <w:top w:val="single" w:color="auto" w:sz="4" w:space="0"/>
              <w:left w:val="single" w:color="auto" w:sz="4" w:space="0"/>
              <w:bottom w:val="single" w:color="auto" w:sz="4" w:space="0"/>
              <w:right w:val="single" w:color="auto" w:sz="4" w:space="0"/>
            </w:tcBorders>
            <w:noWrap w:val="0"/>
            <w:vAlign w:val="center"/>
          </w:tcPr>
          <w:p w14:paraId="4E3F0B0C">
            <w:pPr>
              <w:spacing w:line="440" w:lineRule="exact"/>
              <w:jc w:val="center"/>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交货时间</w:t>
            </w:r>
          </w:p>
        </w:tc>
      </w:tr>
      <w:tr w14:paraId="0BF1F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FA5D2E">
            <w:pPr>
              <w:keepNext w:val="0"/>
              <w:keepLines w:val="0"/>
              <w:pageBreakBefore w:val="0"/>
              <w:widowControl w:val="0"/>
              <w:kinsoku/>
              <w:wordWrap/>
              <w:overflowPunct/>
              <w:topLinePunct w:val="0"/>
              <w:autoSpaceDE/>
              <w:autoSpaceDN/>
              <w:bidi w:val="0"/>
              <w:adjustRightInd/>
              <w:snapToGrid/>
              <w:spacing w:line="440" w:lineRule="exact"/>
              <w:ind w:left="-63" w:leftChars="-30" w:right="-63" w:rightChars="-3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c>
          <w:tcPr>
            <w:tcW w:w="14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751230">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全自动活细胞成像仪</w:t>
            </w:r>
          </w:p>
        </w:tc>
        <w:tc>
          <w:tcPr>
            <w:tcW w:w="12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90BE3E">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default"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瑞奇科技/重庆联庆瑞奇科技有限公司</w:t>
            </w:r>
          </w:p>
        </w:tc>
        <w:tc>
          <w:tcPr>
            <w:tcW w:w="11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9845BC">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CELLImage MINI</w:t>
            </w:r>
          </w:p>
        </w:tc>
        <w:tc>
          <w:tcPr>
            <w:tcW w:w="7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162117">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8687EA">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rPr>
              <w:t>套</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7DFB1A0">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61D010">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430000</w:t>
            </w:r>
          </w:p>
        </w:tc>
        <w:tc>
          <w:tcPr>
            <w:tcW w:w="11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C9800E">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430000</w:t>
            </w:r>
          </w:p>
        </w:tc>
        <w:tc>
          <w:tcPr>
            <w:tcW w:w="1131" w:type="dxa"/>
            <w:vMerge w:val="restart"/>
            <w:tcBorders>
              <w:top w:val="single" w:color="auto" w:sz="4" w:space="0"/>
              <w:left w:val="single" w:color="auto" w:sz="4" w:space="0"/>
              <w:right w:val="single" w:color="auto" w:sz="4" w:space="0"/>
            </w:tcBorders>
            <w:noWrap w:val="0"/>
            <w:vAlign w:val="top"/>
          </w:tcPr>
          <w:p w14:paraId="2B8A2E51">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合同生效后国产货物30日内完成供货、安装调试、验收合格</w:t>
            </w:r>
          </w:p>
        </w:tc>
      </w:tr>
      <w:tr w14:paraId="7C272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0EB9D1">
            <w:pPr>
              <w:keepNext w:val="0"/>
              <w:keepLines w:val="0"/>
              <w:pageBreakBefore w:val="0"/>
              <w:widowControl w:val="0"/>
              <w:kinsoku/>
              <w:wordWrap/>
              <w:overflowPunct/>
              <w:topLinePunct w:val="0"/>
              <w:autoSpaceDE/>
              <w:autoSpaceDN/>
              <w:bidi w:val="0"/>
              <w:adjustRightInd/>
              <w:snapToGrid/>
              <w:spacing w:line="440" w:lineRule="exact"/>
              <w:ind w:left="-63" w:leftChars="-30" w:right="-63" w:rightChars="-3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2</w:t>
            </w:r>
          </w:p>
        </w:tc>
        <w:tc>
          <w:tcPr>
            <w:tcW w:w="14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33D19E">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高速台式离心机</w:t>
            </w:r>
          </w:p>
        </w:tc>
        <w:tc>
          <w:tcPr>
            <w:tcW w:w="12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D3A98C">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default"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BECKMAN COULTER/贝克曼库尔特生物科技(苏州)有限公司</w:t>
            </w:r>
          </w:p>
        </w:tc>
        <w:tc>
          <w:tcPr>
            <w:tcW w:w="11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D06DA3">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Microfuge 20R</w:t>
            </w:r>
          </w:p>
        </w:tc>
        <w:tc>
          <w:tcPr>
            <w:tcW w:w="7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3AE808">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05DE48">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rPr>
              <w:t>台</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080737">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0CC7C2">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54600</w:t>
            </w:r>
          </w:p>
        </w:tc>
        <w:tc>
          <w:tcPr>
            <w:tcW w:w="11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0479FF">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54600</w:t>
            </w:r>
          </w:p>
        </w:tc>
        <w:tc>
          <w:tcPr>
            <w:tcW w:w="1131" w:type="dxa"/>
            <w:vMerge w:val="continue"/>
            <w:tcBorders>
              <w:left w:val="single" w:color="auto" w:sz="4" w:space="0"/>
              <w:right w:val="single" w:color="auto" w:sz="4" w:space="0"/>
            </w:tcBorders>
            <w:noWrap w:val="0"/>
            <w:vAlign w:val="top"/>
          </w:tcPr>
          <w:p w14:paraId="4F9FBDFE">
            <w:pPr>
              <w:jc w:val="center"/>
              <w:rPr>
                <w:rFonts w:hint="eastAsia" w:ascii="宋体" w:hAnsi="宋体" w:eastAsia="宋体" w:cs="宋体"/>
                <w:color w:val="auto"/>
                <w:szCs w:val="21"/>
                <w:highlight w:val="none"/>
              </w:rPr>
            </w:pPr>
          </w:p>
        </w:tc>
      </w:tr>
      <w:tr w14:paraId="75198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C57EDD">
            <w:pPr>
              <w:keepNext w:val="0"/>
              <w:keepLines w:val="0"/>
              <w:pageBreakBefore w:val="0"/>
              <w:widowControl w:val="0"/>
              <w:kinsoku/>
              <w:wordWrap/>
              <w:overflowPunct/>
              <w:topLinePunct w:val="0"/>
              <w:autoSpaceDE/>
              <w:autoSpaceDN/>
              <w:bidi w:val="0"/>
              <w:adjustRightInd/>
              <w:snapToGrid/>
              <w:spacing w:line="440" w:lineRule="exact"/>
              <w:ind w:left="-63" w:leftChars="-30" w:right="-63" w:rightChars="-3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3</w:t>
            </w:r>
          </w:p>
        </w:tc>
        <w:tc>
          <w:tcPr>
            <w:tcW w:w="14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CD6E9F">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行为分析系统</w:t>
            </w:r>
          </w:p>
        </w:tc>
        <w:tc>
          <w:tcPr>
            <w:tcW w:w="12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FAB770A">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default"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费曦/上海费曦生物科技有限公司</w:t>
            </w:r>
          </w:p>
        </w:tc>
        <w:tc>
          <w:tcPr>
            <w:tcW w:w="11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D768ABB">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FishTrack</w:t>
            </w:r>
          </w:p>
        </w:tc>
        <w:tc>
          <w:tcPr>
            <w:tcW w:w="7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048A8EF">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B3AFC9E">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rPr>
              <w:t>套</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5FC529">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466EDE">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138000</w:t>
            </w:r>
          </w:p>
        </w:tc>
        <w:tc>
          <w:tcPr>
            <w:tcW w:w="11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809E313">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138000</w:t>
            </w:r>
          </w:p>
        </w:tc>
        <w:tc>
          <w:tcPr>
            <w:tcW w:w="1131" w:type="dxa"/>
            <w:vMerge w:val="continue"/>
            <w:tcBorders>
              <w:left w:val="single" w:color="auto" w:sz="4" w:space="0"/>
              <w:right w:val="single" w:color="auto" w:sz="4" w:space="0"/>
            </w:tcBorders>
            <w:noWrap w:val="0"/>
            <w:vAlign w:val="top"/>
          </w:tcPr>
          <w:p w14:paraId="0829ECDB">
            <w:pPr>
              <w:jc w:val="center"/>
              <w:rPr>
                <w:rFonts w:hint="eastAsia" w:ascii="宋体" w:hAnsi="宋体" w:eastAsia="宋体" w:cs="宋体"/>
                <w:color w:val="auto"/>
                <w:szCs w:val="21"/>
                <w:highlight w:val="none"/>
              </w:rPr>
            </w:pPr>
          </w:p>
        </w:tc>
      </w:tr>
      <w:tr w14:paraId="0CB50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C9C69D">
            <w:pPr>
              <w:keepNext w:val="0"/>
              <w:keepLines w:val="0"/>
              <w:pageBreakBefore w:val="0"/>
              <w:widowControl w:val="0"/>
              <w:kinsoku/>
              <w:wordWrap/>
              <w:overflowPunct/>
              <w:topLinePunct w:val="0"/>
              <w:autoSpaceDE/>
              <w:autoSpaceDN/>
              <w:bidi w:val="0"/>
              <w:adjustRightInd/>
              <w:snapToGrid/>
              <w:spacing w:line="440" w:lineRule="exact"/>
              <w:ind w:left="-63" w:leftChars="-30" w:right="-63" w:rightChars="-3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4</w:t>
            </w:r>
          </w:p>
        </w:tc>
        <w:tc>
          <w:tcPr>
            <w:tcW w:w="14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C0C783">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多通道光催化反应系统</w:t>
            </w:r>
          </w:p>
        </w:tc>
        <w:tc>
          <w:tcPr>
            <w:tcW w:w="12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A2B205">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default"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泊菲莱科技/北京泊菲莱科技有限公司</w:t>
            </w:r>
          </w:p>
        </w:tc>
        <w:tc>
          <w:tcPr>
            <w:tcW w:w="11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E9A7CB">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PCX50C</w:t>
            </w:r>
          </w:p>
        </w:tc>
        <w:tc>
          <w:tcPr>
            <w:tcW w:w="7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A474DA">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611E6D">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rPr>
              <w:t>套</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4D8052">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229C01">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85000</w:t>
            </w:r>
          </w:p>
        </w:tc>
        <w:tc>
          <w:tcPr>
            <w:tcW w:w="11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4E9EEF">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85000</w:t>
            </w:r>
          </w:p>
        </w:tc>
        <w:tc>
          <w:tcPr>
            <w:tcW w:w="1131" w:type="dxa"/>
            <w:vMerge w:val="continue"/>
            <w:tcBorders>
              <w:left w:val="single" w:color="auto" w:sz="4" w:space="0"/>
              <w:right w:val="single" w:color="auto" w:sz="4" w:space="0"/>
            </w:tcBorders>
            <w:noWrap w:val="0"/>
            <w:vAlign w:val="top"/>
          </w:tcPr>
          <w:p w14:paraId="296B9AA0">
            <w:pPr>
              <w:jc w:val="center"/>
              <w:rPr>
                <w:rFonts w:hint="eastAsia" w:ascii="宋体" w:hAnsi="宋体" w:eastAsia="宋体" w:cs="宋体"/>
                <w:color w:val="auto"/>
                <w:szCs w:val="21"/>
                <w:highlight w:val="none"/>
              </w:rPr>
            </w:pPr>
          </w:p>
        </w:tc>
      </w:tr>
      <w:tr w14:paraId="6B077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696955">
            <w:pPr>
              <w:keepNext w:val="0"/>
              <w:keepLines w:val="0"/>
              <w:pageBreakBefore w:val="0"/>
              <w:widowControl w:val="0"/>
              <w:kinsoku/>
              <w:wordWrap/>
              <w:overflowPunct/>
              <w:topLinePunct w:val="0"/>
              <w:autoSpaceDE/>
              <w:autoSpaceDN/>
              <w:bidi w:val="0"/>
              <w:adjustRightInd/>
              <w:snapToGrid/>
              <w:spacing w:line="440" w:lineRule="exact"/>
              <w:ind w:left="-63" w:leftChars="-30" w:right="-63" w:rightChars="-3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5</w:t>
            </w:r>
          </w:p>
        </w:tc>
        <w:tc>
          <w:tcPr>
            <w:tcW w:w="14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0E0BD5">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倒置荧光显微镜</w:t>
            </w:r>
          </w:p>
        </w:tc>
        <w:tc>
          <w:tcPr>
            <w:tcW w:w="12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377E30">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default"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舜宇仪器/宁波舜宇仪器有限公司</w:t>
            </w:r>
          </w:p>
        </w:tc>
        <w:tc>
          <w:tcPr>
            <w:tcW w:w="11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8C93D2">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ICX41</w:t>
            </w:r>
          </w:p>
        </w:tc>
        <w:tc>
          <w:tcPr>
            <w:tcW w:w="7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EE28BFA">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9A96F8D">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rPr>
              <w:t>套</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7710063">
            <w:pPr>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8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7DB873">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99000</w:t>
            </w:r>
          </w:p>
        </w:tc>
        <w:tc>
          <w:tcPr>
            <w:tcW w:w="11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6D6C383">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99000</w:t>
            </w:r>
          </w:p>
        </w:tc>
        <w:tc>
          <w:tcPr>
            <w:tcW w:w="1131" w:type="dxa"/>
            <w:vMerge w:val="continue"/>
            <w:tcBorders>
              <w:left w:val="single" w:color="auto" w:sz="4" w:space="0"/>
              <w:right w:val="single" w:color="auto" w:sz="4" w:space="0"/>
            </w:tcBorders>
            <w:noWrap w:val="0"/>
            <w:vAlign w:val="top"/>
          </w:tcPr>
          <w:p w14:paraId="585C1DF7">
            <w:pPr>
              <w:jc w:val="center"/>
              <w:rPr>
                <w:rFonts w:hint="eastAsia" w:ascii="宋体" w:hAnsi="宋体" w:eastAsia="宋体" w:cs="宋体"/>
                <w:color w:val="auto"/>
                <w:szCs w:val="21"/>
                <w:highlight w:val="none"/>
              </w:rPr>
            </w:pPr>
          </w:p>
        </w:tc>
      </w:tr>
      <w:tr w14:paraId="1B1DD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651168">
            <w:pPr>
              <w:keepNext w:val="0"/>
              <w:keepLines w:val="0"/>
              <w:pageBreakBefore w:val="0"/>
              <w:widowControl w:val="0"/>
              <w:kinsoku/>
              <w:wordWrap/>
              <w:overflowPunct/>
              <w:topLinePunct w:val="0"/>
              <w:autoSpaceDE/>
              <w:autoSpaceDN/>
              <w:bidi w:val="0"/>
              <w:adjustRightInd/>
              <w:snapToGrid/>
              <w:spacing w:line="440" w:lineRule="exact"/>
              <w:ind w:left="-63" w:leftChars="-30" w:right="-63" w:rightChars="-3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6</w:t>
            </w:r>
          </w:p>
        </w:tc>
        <w:tc>
          <w:tcPr>
            <w:tcW w:w="14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895A7D">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酶标仪</w:t>
            </w:r>
          </w:p>
        </w:tc>
        <w:tc>
          <w:tcPr>
            <w:tcW w:w="12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0757B53">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default"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thermo scientific/赛默飞世尔(上海)仪器有限公司</w:t>
            </w:r>
          </w:p>
        </w:tc>
        <w:tc>
          <w:tcPr>
            <w:tcW w:w="11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B67034">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Multiskan FC</w:t>
            </w:r>
          </w:p>
        </w:tc>
        <w:tc>
          <w:tcPr>
            <w:tcW w:w="7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58FEE5">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433704C">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rPr>
              <w:t>台</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05AE85F">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A3969B">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31200</w:t>
            </w:r>
          </w:p>
        </w:tc>
        <w:tc>
          <w:tcPr>
            <w:tcW w:w="11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AE2ED7">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31200</w:t>
            </w:r>
          </w:p>
        </w:tc>
        <w:tc>
          <w:tcPr>
            <w:tcW w:w="1131" w:type="dxa"/>
            <w:vMerge w:val="continue"/>
            <w:tcBorders>
              <w:left w:val="single" w:color="auto" w:sz="4" w:space="0"/>
              <w:right w:val="single" w:color="auto" w:sz="4" w:space="0"/>
            </w:tcBorders>
            <w:noWrap w:val="0"/>
            <w:vAlign w:val="top"/>
          </w:tcPr>
          <w:p w14:paraId="570C25DD">
            <w:pPr>
              <w:spacing w:line="440" w:lineRule="exact"/>
              <w:rPr>
                <w:rFonts w:hint="eastAsia" w:ascii="宋体" w:hAnsi="宋体" w:eastAsia="宋体" w:cs="宋体"/>
                <w:color w:val="auto"/>
                <w:szCs w:val="21"/>
                <w:highlight w:val="none"/>
              </w:rPr>
            </w:pPr>
          </w:p>
        </w:tc>
      </w:tr>
      <w:tr w14:paraId="329D9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F1A8C6">
            <w:pPr>
              <w:keepNext w:val="0"/>
              <w:keepLines w:val="0"/>
              <w:pageBreakBefore w:val="0"/>
              <w:widowControl w:val="0"/>
              <w:kinsoku/>
              <w:wordWrap/>
              <w:overflowPunct/>
              <w:topLinePunct w:val="0"/>
              <w:autoSpaceDE/>
              <w:autoSpaceDN/>
              <w:bidi w:val="0"/>
              <w:adjustRightInd/>
              <w:snapToGrid/>
              <w:spacing w:line="440" w:lineRule="exact"/>
              <w:ind w:left="-63" w:leftChars="-30" w:right="-63" w:rightChars="-3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7</w:t>
            </w:r>
          </w:p>
        </w:tc>
        <w:tc>
          <w:tcPr>
            <w:tcW w:w="14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D24DBFE">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一体式磁力搅拌器</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集热式磁力搅拌器</w:t>
            </w:r>
            <w:r>
              <w:rPr>
                <w:rFonts w:hint="eastAsia" w:ascii="宋体" w:hAnsi="宋体" w:eastAsia="宋体" w:cs="宋体"/>
                <w:b w:val="0"/>
                <w:bCs w:val="0"/>
                <w:sz w:val="21"/>
                <w:szCs w:val="21"/>
                <w:lang w:eastAsia="zh-CN"/>
              </w:rPr>
              <w:t>）</w:t>
            </w:r>
          </w:p>
        </w:tc>
        <w:tc>
          <w:tcPr>
            <w:tcW w:w="12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DDA3099">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力辰科技/力辰科技仪器有限公司</w:t>
            </w:r>
          </w:p>
        </w:tc>
        <w:tc>
          <w:tcPr>
            <w:tcW w:w="11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54FD0A">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DF-101S(分体款）</w:t>
            </w:r>
          </w:p>
        </w:tc>
        <w:tc>
          <w:tcPr>
            <w:tcW w:w="7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E42861B">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88F3B4">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3</w:t>
            </w:r>
            <w:r>
              <w:rPr>
                <w:rFonts w:hint="eastAsia" w:ascii="宋体" w:hAnsi="宋体" w:eastAsia="宋体" w:cs="宋体"/>
                <w:b w:val="0"/>
                <w:bCs w:val="0"/>
                <w:sz w:val="21"/>
                <w:szCs w:val="21"/>
              </w:rPr>
              <w:t>台</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761889">
            <w:pPr>
              <w:jc w:val="center"/>
              <w:rPr>
                <w:rFonts w:hint="eastAsia" w:ascii="宋体" w:hAnsi="宋体" w:eastAsia="宋体" w:cs="宋体"/>
                <w:color w:val="auto"/>
                <w:sz w:val="21"/>
                <w:szCs w:val="21"/>
                <w:highlight w:val="none"/>
                <w:lang w:val="en-US" w:eastAsia="zh-CN"/>
              </w:rPr>
            </w:pPr>
          </w:p>
        </w:tc>
        <w:tc>
          <w:tcPr>
            <w:tcW w:w="8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2E0178A">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900</w:t>
            </w:r>
          </w:p>
        </w:tc>
        <w:tc>
          <w:tcPr>
            <w:tcW w:w="11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18611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2700</w:t>
            </w:r>
          </w:p>
        </w:tc>
        <w:tc>
          <w:tcPr>
            <w:tcW w:w="1131" w:type="dxa"/>
            <w:vMerge w:val="continue"/>
            <w:tcBorders>
              <w:left w:val="single" w:color="auto" w:sz="4" w:space="0"/>
              <w:right w:val="single" w:color="auto" w:sz="4" w:space="0"/>
            </w:tcBorders>
            <w:noWrap w:val="0"/>
            <w:vAlign w:val="top"/>
          </w:tcPr>
          <w:p w14:paraId="47B60E28">
            <w:pPr>
              <w:spacing w:line="440" w:lineRule="exact"/>
              <w:rPr>
                <w:rFonts w:hint="eastAsia" w:ascii="宋体" w:hAnsi="宋体" w:eastAsia="宋体" w:cs="宋体"/>
                <w:color w:val="auto"/>
                <w:szCs w:val="21"/>
                <w:highlight w:val="none"/>
              </w:rPr>
            </w:pPr>
          </w:p>
        </w:tc>
      </w:tr>
      <w:tr w14:paraId="37324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1F5713">
            <w:pPr>
              <w:keepNext w:val="0"/>
              <w:keepLines w:val="0"/>
              <w:pageBreakBefore w:val="0"/>
              <w:widowControl w:val="0"/>
              <w:kinsoku/>
              <w:wordWrap/>
              <w:overflowPunct/>
              <w:topLinePunct w:val="0"/>
              <w:autoSpaceDE/>
              <w:autoSpaceDN/>
              <w:bidi w:val="0"/>
              <w:adjustRightInd/>
              <w:snapToGrid/>
              <w:spacing w:line="440" w:lineRule="exact"/>
              <w:ind w:left="-63" w:leftChars="-30" w:right="-63" w:rightChars="-3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8</w:t>
            </w:r>
          </w:p>
        </w:tc>
        <w:tc>
          <w:tcPr>
            <w:tcW w:w="14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816792">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电热鼓风干燥箱</w:t>
            </w:r>
          </w:p>
        </w:tc>
        <w:tc>
          <w:tcPr>
            <w:tcW w:w="12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75E76E">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default"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树立/上海树立仪器仪表有限公司</w:t>
            </w:r>
          </w:p>
        </w:tc>
        <w:tc>
          <w:tcPr>
            <w:tcW w:w="11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B3BD88">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FXB101-2</w:t>
            </w:r>
          </w:p>
        </w:tc>
        <w:tc>
          <w:tcPr>
            <w:tcW w:w="7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9923CE">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7C2DC0A">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rPr>
              <w:t>台</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1238BDD">
            <w:pPr>
              <w:jc w:val="center"/>
              <w:rPr>
                <w:rFonts w:hint="eastAsia" w:ascii="宋体" w:hAnsi="宋体" w:eastAsia="宋体" w:cs="宋体"/>
                <w:color w:val="auto"/>
                <w:sz w:val="21"/>
                <w:szCs w:val="21"/>
                <w:highlight w:val="none"/>
                <w:lang w:val="en-US" w:eastAsia="zh-CN"/>
              </w:rPr>
            </w:pPr>
          </w:p>
        </w:tc>
        <w:tc>
          <w:tcPr>
            <w:tcW w:w="8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63A06B0">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2500</w:t>
            </w:r>
          </w:p>
        </w:tc>
        <w:tc>
          <w:tcPr>
            <w:tcW w:w="11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98A399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2500</w:t>
            </w:r>
          </w:p>
        </w:tc>
        <w:tc>
          <w:tcPr>
            <w:tcW w:w="1131" w:type="dxa"/>
            <w:vMerge w:val="continue"/>
            <w:tcBorders>
              <w:left w:val="single" w:color="auto" w:sz="4" w:space="0"/>
              <w:bottom w:val="single" w:color="auto" w:sz="4" w:space="0"/>
              <w:right w:val="single" w:color="auto" w:sz="4" w:space="0"/>
            </w:tcBorders>
            <w:noWrap w:val="0"/>
            <w:vAlign w:val="top"/>
          </w:tcPr>
          <w:p w14:paraId="559723AF">
            <w:pPr>
              <w:spacing w:line="440" w:lineRule="exact"/>
              <w:rPr>
                <w:rFonts w:hint="eastAsia" w:ascii="宋体" w:hAnsi="宋体" w:eastAsia="宋体" w:cs="宋体"/>
                <w:color w:val="auto"/>
                <w:szCs w:val="21"/>
                <w:highlight w:val="none"/>
              </w:rPr>
            </w:pPr>
          </w:p>
        </w:tc>
      </w:tr>
      <w:tr w14:paraId="2A4E8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9642" w:type="dxa"/>
            <w:gridSpan w:val="10"/>
            <w:tcBorders>
              <w:top w:val="single" w:color="auto" w:sz="4" w:space="0"/>
              <w:left w:val="single" w:color="auto" w:sz="4" w:space="0"/>
              <w:bottom w:val="single" w:color="auto" w:sz="4" w:space="0"/>
              <w:right w:val="single" w:color="auto" w:sz="4" w:space="0"/>
            </w:tcBorders>
            <w:noWrap w:val="0"/>
            <w:vAlign w:val="center"/>
          </w:tcPr>
          <w:p w14:paraId="415650E4">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备件、专用工具、耗材等</w:t>
            </w:r>
          </w:p>
        </w:tc>
      </w:tr>
      <w:tr w14:paraId="2FBA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14:paraId="7B6FA2C2">
            <w:pPr>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w:t>
            </w:r>
          </w:p>
        </w:tc>
        <w:tc>
          <w:tcPr>
            <w:tcW w:w="1444" w:type="dxa"/>
            <w:tcBorders>
              <w:top w:val="single" w:color="auto" w:sz="4" w:space="0"/>
              <w:left w:val="single" w:color="auto" w:sz="4" w:space="0"/>
              <w:bottom w:val="single" w:color="auto" w:sz="4" w:space="0"/>
              <w:right w:val="single" w:color="auto" w:sz="4" w:space="0"/>
            </w:tcBorders>
            <w:noWrap w:val="0"/>
            <w:vAlign w:val="center"/>
          </w:tcPr>
          <w:p w14:paraId="264D1803">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24F03F68">
            <w:pPr>
              <w:widowControl/>
              <w:jc w:val="center"/>
              <w:rPr>
                <w:rFonts w:hint="eastAsia" w:ascii="宋体" w:hAnsi="宋体" w:eastAsia="宋体" w:cs="宋体"/>
                <w:bCs/>
                <w:color w:val="auto"/>
                <w:szCs w:val="21"/>
                <w:highlight w:val="none"/>
              </w:rPr>
            </w:pPr>
            <w:r>
              <w:rPr>
                <w:rFonts w:hint="eastAsia" w:ascii="宋体" w:hAnsi="宋体" w:eastAsia="宋体" w:cs="宋体"/>
                <w:color w:val="auto"/>
                <w:szCs w:val="21"/>
                <w:highlight w:val="none"/>
                <w:lang w:val="en-US" w:eastAsia="zh-CN"/>
              </w:rPr>
              <w:t>/</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497FD41B">
            <w:pPr>
              <w:widowControl/>
              <w:jc w:val="center"/>
              <w:rPr>
                <w:rFonts w:hint="eastAsia" w:ascii="宋体" w:hAnsi="宋体" w:eastAsia="宋体" w:cs="宋体"/>
                <w:bCs/>
                <w:color w:val="auto"/>
                <w:szCs w:val="21"/>
                <w:highlight w:val="none"/>
              </w:rPr>
            </w:pPr>
            <w:r>
              <w:rPr>
                <w:rFonts w:hint="eastAsia" w:ascii="宋体" w:hAnsi="宋体" w:eastAsia="宋体" w:cs="宋体"/>
                <w:color w:val="auto"/>
                <w:szCs w:val="21"/>
                <w:highlight w:val="none"/>
                <w:lang w:val="en-US" w:eastAsia="zh-CN"/>
              </w:rPr>
              <w:t>/</w:t>
            </w:r>
          </w:p>
        </w:tc>
        <w:tc>
          <w:tcPr>
            <w:tcW w:w="776" w:type="dxa"/>
            <w:tcBorders>
              <w:top w:val="single" w:color="auto" w:sz="4" w:space="0"/>
              <w:left w:val="single" w:color="auto" w:sz="4" w:space="0"/>
              <w:bottom w:val="single" w:color="auto" w:sz="4" w:space="0"/>
              <w:right w:val="single" w:color="auto" w:sz="4" w:space="0"/>
            </w:tcBorders>
            <w:noWrap w:val="0"/>
            <w:vAlign w:val="center"/>
          </w:tcPr>
          <w:p w14:paraId="229335A1">
            <w:pPr>
              <w:widowControl/>
              <w:jc w:val="center"/>
              <w:rPr>
                <w:rFonts w:hint="eastAsia" w:ascii="宋体" w:hAnsi="宋体" w:eastAsia="宋体" w:cs="宋体"/>
                <w:bCs/>
                <w:color w:val="auto"/>
                <w:szCs w:val="21"/>
                <w:highlight w:val="none"/>
              </w:rPr>
            </w:pPr>
            <w:r>
              <w:rPr>
                <w:rFonts w:hint="eastAsia" w:ascii="宋体" w:hAnsi="宋体" w:eastAsia="宋体" w:cs="宋体"/>
                <w:color w:val="auto"/>
                <w:szCs w:val="21"/>
                <w:highlight w:val="none"/>
                <w:lang w:val="en-US" w:eastAsia="zh-CN"/>
              </w:rPr>
              <w:t>/</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4529BC69">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22200FC5">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w:t>
            </w:r>
          </w:p>
        </w:tc>
        <w:tc>
          <w:tcPr>
            <w:tcW w:w="892" w:type="dxa"/>
            <w:tcBorders>
              <w:top w:val="single" w:color="auto" w:sz="4" w:space="0"/>
              <w:left w:val="single" w:color="auto" w:sz="4" w:space="0"/>
              <w:bottom w:val="single" w:color="auto" w:sz="4" w:space="0"/>
              <w:right w:val="single" w:color="auto" w:sz="4" w:space="0"/>
            </w:tcBorders>
            <w:noWrap w:val="0"/>
            <w:vAlign w:val="center"/>
          </w:tcPr>
          <w:p w14:paraId="1B98604D">
            <w:pPr>
              <w:jc w:val="center"/>
              <w:rPr>
                <w:rFonts w:hint="eastAsia" w:ascii="宋体" w:hAnsi="宋体" w:eastAsia="宋体" w:cs="宋体"/>
                <w:bCs/>
                <w:color w:val="auto"/>
                <w:szCs w:val="21"/>
                <w:highlight w:val="none"/>
              </w:rPr>
            </w:pPr>
            <w:r>
              <w:rPr>
                <w:rFonts w:hint="eastAsia" w:ascii="宋体" w:hAnsi="宋体" w:eastAsia="宋体" w:cs="宋体"/>
                <w:color w:val="auto"/>
                <w:szCs w:val="21"/>
                <w:highlight w:val="none"/>
                <w:lang w:val="en-US" w:eastAsia="zh-CN"/>
              </w:rPr>
              <w:t>/</w:t>
            </w:r>
          </w:p>
        </w:tc>
        <w:tc>
          <w:tcPr>
            <w:tcW w:w="1131" w:type="dxa"/>
            <w:tcBorders>
              <w:top w:val="single" w:color="auto" w:sz="4" w:space="0"/>
              <w:left w:val="single" w:color="auto" w:sz="4" w:space="0"/>
              <w:bottom w:val="single" w:color="auto" w:sz="4" w:space="0"/>
              <w:right w:val="single" w:color="auto" w:sz="4" w:space="0"/>
            </w:tcBorders>
            <w:noWrap w:val="0"/>
            <w:vAlign w:val="center"/>
          </w:tcPr>
          <w:p w14:paraId="56D0D666">
            <w:pPr>
              <w:jc w:val="center"/>
              <w:rPr>
                <w:rFonts w:hint="eastAsia" w:ascii="宋体" w:hAnsi="宋体" w:eastAsia="宋体" w:cs="宋体"/>
                <w:bCs/>
                <w:color w:val="auto"/>
                <w:szCs w:val="21"/>
                <w:highlight w:val="none"/>
              </w:rPr>
            </w:pPr>
            <w:r>
              <w:rPr>
                <w:rFonts w:hint="eastAsia" w:ascii="宋体" w:hAnsi="宋体" w:eastAsia="宋体" w:cs="宋体"/>
                <w:color w:val="auto"/>
                <w:szCs w:val="21"/>
                <w:highlight w:val="none"/>
                <w:lang w:val="en-US" w:eastAsia="zh-CN"/>
              </w:rPr>
              <w:t>/</w:t>
            </w:r>
          </w:p>
        </w:tc>
        <w:tc>
          <w:tcPr>
            <w:tcW w:w="1131" w:type="dxa"/>
            <w:tcBorders>
              <w:top w:val="single" w:color="auto" w:sz="4" w:space="0"/>
              <w:left w:val="single" w:color="auto" w:sz="4" w:space="0"/>
              <w:bottom w:val="single" w:color="auto" w:sz="4" w:space="0"/>
              <w:right w:val="single" w:color="auto" w:sz="4" w:space="0"/>
            </w:tcBorders>
            <w:noWrap w:val="0"/>
            <w:vAlign w:val="top"/>
          </w:tcPr>
          <w:p w14:paraId="190641BF">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签订合同后**天内</w:t>
            </w:r>
          </w:p>
          <w:p w14:paraId="27E4C015">
            <w:pPr>
              <w:rPr>
                <w:rFonts w:hint="eastAsia" w:ascii="宋体" w:hAnsi="宋体" w:eastAsia="宋体" w:cs="宋体"/>
                <w:color w:val="auto"/>
                <w:szCs w:val="21"/>
                <w:highlight w:val="none"/>
              </w:rPr>
            </w:pPr>
          </w:p>
        </w:tc>
      </w:tr>
      <w:tr w14:paraId="79EF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14:paraId="5CEB1BD2">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w:t>
            </w:r>
          </w:p>
        </w:tc>
        <w:tc>
          <w:tcPr>
            <w:tcW w:w="1444" w:type="dxa"/>
            <w:tcBorders>
              <w:top w:val="single" w:color="auto" w:sz="4" w:space="0"/>
              <w:left w:val="single" w:color="auto" w:sz="4" w:space="0"/>
              <w:bottom w:val="single" w:color="auto" w:sz="4" w:space="0"/>
              <w:right w:val="single" w:color="auto" w:sz="4" w:space="0"/>
            </w:tcBorders>
            <w:noWrap w:val="0"/>
            <w:vAlign w:val="center"/>
          </w:tcPr>
          <w:p w14:paraId="5AA2B982">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38060BD7">
            <w:pPr>
              <w:jc w:val="center"/>
              <w:rPr>
                <w:rFonts w:hint="eastAsia" w:ascii="宋体" w:hAnsi="宋体" w:eastAsia="宋体" w:cs="宋体"/>
                <w:bCs/>
                <w:color w:val="auto"/>
                <w:szCs w:val="21"/>
                <w:highlight w:val="none"/>
              </w:rPr>
            </w:pPr>
            <w:r>
              <w:rPr>
                <w:rFonts w:hint="eastAsia" w:ascii="宋体" w:hAnsi="宋体" w:eastAsia="宋体" w:cs="宋体"/>
                <w:color w:val="auto"/>
                <w:szCs w:val="21"/>
                <w:highlight w:val="none"/>
                <w:lang w:val="en-US" w:eastAsia="zh-CN"/>
              </w:rPr>
              <w:t>/</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46E5E646">
            <w:pPr>
              <w:jc w:val="center"/>
              <w:rPr>
                <w:rFonts w:hint="eastAsia" w:ascii="宋体" w:hAnsi="宋体" w:eastAsia="宋体" w:cs="宋体"/>
                <w:bCs/>
                <w:color w:val="auto"/>
                <w:szCs w:val="21"/>
                <w:highlight w:val="none"/>
              </w:rPr>
            </w:pPr>
            <w:r>
              <w:rPr>
                <w:rFonts w:hint="eastAsia" w:ascii="宋体" w:hAnsi="宋体" w:eastAsia="宋体" w:cs="宋体"/>
                <w:color w:val="auto"/>
                <w:szCs w:val="21"/>
                <w:highlight w:val="none"/>
                <w:lang w:val="en-US" w:eastAsia="zh-CN"/>
              </w:rPr>
              <w:t>/</w:t>
            </w:r>
          </w:p>
        </w:tc>
        <w:tc>
          <w:tcPr>
            <w:tcW w:w="776" w:type="dxa"/>
            <w:tcBorders>
              <w:top w:val="single" w:color="auto" w:sz="4" w:space="0"/>
              <w:left w:val="single" w:color="auto" w:sz="4" w:space="0"/>
              <w:bottom w:val="single" w:color="auto" w:sz="4" w:space="0"/>
              <w:right w:val="single" w:color="auto" w:sz="4" w:space="0"/>
            </w:tcBorders>
            <w:noWrap w:val="0"/>
            <w:vAlign w:val="center"/>
          </w:tcPr>
          <w:p w14:paraId="73B6E48F">
            <w:pPr>
              <w:jc w:val="center"/>
              <w:rPr>
                <w:rFonts w:hint="eastAsia" w:ascii="宋体" w:hAnsi="宋体" w:eastAsia="宋体" w:cs="宋体"/>
                <w:bCs/>
                <w:color w:val="auto"/>
                <w:szCs w:val="21"/>
                <w:highlight w:val="none"/>
              </w:rPr>
            </w:pPr>
            <w:r>
              <w:rPr>
                <w:rFonts w:hint="eastAsia" w:ascii="宋体" w:hAnsi="宋体" w:eastAsia="宋体" w:cs="宋体"/>
                <w:color w:val="auto"/>
                <w:szCs w:val="21"/>
                <w:highlight w:val="none"/>
                <w:lang w:val="en-US" w:eastAsia="zh-CN"/>
              </w:rPr>
              <w:t>/</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64E3C3A5">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7BAB6317">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w:t>
            </w:r>
          </w:p>
        </w:tc>
        <w:tc>
          <w:tcPr>
            <w:tcW w:w="892" w:type="dxa"/>
            <w:tcBorders>
              <w:top w:val="single" w:color="auto" w:sz="4" w:space="0"/>
              <w:left w:val="single" w:color="auto" w:sz="4" w:space="0"/>
              <w:bottom w:val="single" w:color="auto" w:sz="4" w:space="0"/>
              <w:right w:val="single" w:color="auto" w:sz="4" w:space="0"/>
            </w:tcBorders>
            <w:noWrap w:val="0"/>
            <w:vAlign w:val="center"/>
          </w:tcPr>
          <w:p w14:paraId="331D5E52">
            <w:pPr>
              <w:jc w:val="center"/>
              <w:rPr>
                <w:rFonts w:hint="eastAsia" w:ascii="宋体" w:hAnsi="宋体" w:eastAsia="宋体" w:cs="宋体"/>
                <w:bCs/>
                <w:color w:val="auto"/>
                <w:szCs w:val="21"/>
                <w:highlight w:val="none"/>
              </w:rPr>
            </w:pPr>
            <w:r>
              <w:rPr>
                <w:rFonts w:hint="eastAsia" w:ascii="宋体" w:hAnsi="宋体" w:eastAsia="宋体" w:cs="宋体"/>
                <w:color w:val="auto"/>
                <w:szCs w:val="21"/>
                <w:highlight w:val="none"/>
                <w:lang w:val="en-US" w:eastAsia="zh-CN"/>
              </w:rPr>
              <w:t>/</w:t>
            </w:r>
          </w:p>
        </w:tc>
        <w:tc>
          <w:tcPr>
            <w:tcW w:w="1131" w:type="dxa"/>
            <w:tcBorders>
              <w:top w:val="single" w:color="auto" w:sz="4" w:space="0"/>
              <w:left w:val="single" w:color="auto" w:sz="4" w:space="0"/>
              <w:bottom w:val="single" w:color="auto" w:sz="4" w:space="0"/>
              <w:right w:val="single" w:color="auto" w:sz="4" w:space="0"/>
            </w:tcBorders>
            <w:noWrap w:val="0"/>
            <w:vAlign w:val="center"/>
          </w:tcPr>
          <w:p w14:paraId="0CD578D4">
            <w:pPr>
              <w:jc w:val="center"/>
              <w:rPr>
                <w:rFonts w:hint="eastAsia" w:ascii="宋体" w:hAnsi="宋体" w:eastAsia="宋体" w:cs="宋体"/>
                <w:bCs/>
                <w:color w:val="auto"/>
                <w:szCs w:val="21"/>
                <w:highlight w:val="none"/>
              </w:rPr>
            </w:pPr>
            <w:r>
              <w:rPr>
                <w:rFonts w:hint="eastAsia" w:ascii="宋体" w:hAnsi="宋体" w:eastAsia="宋体" w:cs="宋体"/>
                <w:color w:val="auto"/>
                <w:szCs w:val="21"/>
                <w:highlight w:val="none"/>
                <w:lang w:val="en-US" w:eastAsia="zh-CN"/>
              </w:rPr>
              <w:t>/</w:t>
            </w:r>
          </w:p>
        </w:tc>
        <w:tc>
          <w:tcPr>
            <w:tcW w:w="1131" w:type="dxa"/>
            <w:tcBorders>
              <w:top w:val="single" w:color="auto" w:sz="4" w:space="0"/>
              <w:left w:val="single" w:color="auto" w:sz="4" w:space="0"/>
              <w:bottom w:val="single" w:color="auto" w:sz="4" w:space="0"/>
              <w:right w:val="single" w:color="auto" w:sz="4" w:space="0"/>
            </w:tcBorders>
            <w:noWrap w:val="0"/>
            <w:vAlign w:val="top"/>
          </w:tcPr>
          <w:p w14:paraId="33CE790E">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签订合同后**天内</w:t>
            </w:r>
          </w:p>
        </w:tc>
      </w:tr>
      <w:tr w14:paraId="71FA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092" w:type="dxa"/>
            <w:gridSpan w:val="2"/>
            <w:tcBorders>
              <w:top w:val="single" w:color="auto" w:sz="4" w:space="0"/>
              <w:left w:val="single" w:color="auto" w:sz="4" w:space="0"/>
              <w:bottom w:val="single" w:color="auto" w:sz="4" w:space="0"/>
              <w:right w:val="single" w:color="auto" w:sz="4" w:space="0"/>
            </w:tcBorders>
            <w:noWrap w:val="0"/>
            <w:vAlign w:val="center"/>
          </w:tcPr>
          <w:p w14:paraId="52EC1B2C">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合计</w:t>
            </w:r>
          </w:p>
        </w:tc>
        <w:tc>
          <w:tcPr>
            <w:tcW w:w="6419" w:type="dxa"/>
            <w:gridSpan w:val="7"/>
            <w:tcBorders>
              <w:top w:val="single" w:color="auto" w:sz="4" w:space="0"/>
              <w:left w:val="single" w:color="auto" w:sz="4" w:space="0"/>
              <w:bottom w:val="single" w:color="auto" w:sz="4" w:space="0"/>
              <w:right w:val="single" w:color="auto" w:sz="4" w:space="0"/>
            </w:tcBorders>
            <w:noWrap w:val="0"/>
            <w:vAlign w:val="center"/>
          </w:tcPr>
          <w:p w14:paraId="00413FC2">
            <w:pPr>
              <w:jc w:val="center"/>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人民币大写：</w:t>
            </w:r>
            <w:r>
              <w:rPr>
                <w:rFonts w:hint="eastAsia" w:ascii="宋体" w:hAnsi="宋体" w:cs="宋体"/>
                <w:color w:val="auto"/>
                <w:szCs w:val="21"/>
                <w:highlight w:val="none"/>
                <w:lang w:val="en-US" w:eastAsia="zh-CN"/>
              </w:rPr>
              <w:t>捌拾肆万叁仟元整</w:t>
            </w: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843000</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元）</w:t>
            </w:r>
          </w:p>
        </w:tc>
        <w:tc>
          <w:tcPr>
            <w:tcW w:w="11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6929E5">
            <w:pPr>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w:t>
            </w:r>
          </w:p>
        </w:tc>
      </w:tr>
      <w:tr w14:paraId="42AAC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092" w:type="dxa"/>
            <w:gridSpan w:val="2"/>
            <w:tcBorders>
              <w:top w:val="single" w:color="auto" w:sz="4" w:space="0"/>
              <w:left w:val="single" w:color="auto" w:sz="4" w:space="0"/>
              <w:bottom w:val="single" w:color="auto" w:sz="4" w:space="0"/>
              <w:right w:val="single" w:color="auto" w:sz="4" w:space="0"/>
            </w:tcBorders>
            <w:noWrap w:val="0"/>
            <w:vAlign w:val="center"/>
          </w:tcPr>
          <w:p w14:paraId="466DBA6A">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c>
          <w:tcPr>
            <w:tcW w:w="6419" w:type="dxa"/>
            <w:gridSpan w:val="7"/>
            <w:tcBorders>
              <w:top w:val="single" w:color="auto" w:sz="4" w:space="0"/>
              <w:left w:val="single" w:color="auto" w:sz="4" w:space="0"/>
              <w:bottom w:val="single" w:color="auto" w:sz="4" w:space="0"/>
              <w:right w:val="single" w:color="auto" w:sz="4" w:space="0"/>
            </w:tcBorders>
            <w:noWrap w:val="0"/>
            <w:vAlign w:val="center"/>
          </w:tcPr>
          <w:p w14:paraId="6D58884B">
            <w:pPr>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无</w:t>
            </w:r>
          </w:p>
        </w:tc>
        <w:tc>
          <w:tcPr>
            <w:tcW w:w="11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289403">
            <w:pPr>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w:t>
            </w:r>
          </w:p>
        </w:tc>
      </w:tr>
    </w:tbl>
    <w:p w14:paraId="41926618">
      <w:pPr>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（2）清单2：非免税货物                                           单位：元</w:t>
      </w:r>
    </w:p>
    <w:p w14:paraId="2470122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 本合同（清单1+清单2）总金额人民币大写：</w:t>
      </w:r>
      <w:r>
        <w:rPr>
          <w:rFonts w:hint="eastAsia" w:ascii="宋体" w:hAnsi="宋体" w:eastAsia="宋体" w:cs="宋体"/>
          <w:b/>
          <w:color w:val="auto"/>
          <w:szCs w:val="21"/>
          <w:highlight w:val="none"/>
          <w:u w:val="single"/>
          <w:lang w:val="en-US" w:eastAsia="zh-CN"/>
        </w:rPr>
        <w:t>壹佰陆拾玖万元整</w:t>
      </w:r>
      <w:r>
        <w:rPr>
          <w:rFonts w:hint="eastAsia" w:ascii="宋体" w:hAnsi="宋体" w:eastAsia="宋体" w:cs="宋体"/>
          <w:color w:val="auto"/>
          <w:szCs w:val="21"/>
          <w:highlight w:val="none"/>
        </w:rPr>
        <w:t>（RMB：</w:t>
      </w:r>
      <w:r>
        <w:rPr>
          <w:rFonts w:hint="eastAsia" w:ascii="宋体" w:hAnsi="宋体" w:eastAsia="宋体" w:cs="宋体"/>
          <w:b/>
          <w:color w:val="auto"/>
          <w:szCs w:val="21"/>
          <w:highlight w:val="none"/>
          <w:u w:val="single"/>
          <w:lang w:val="en-US" w:eastAsia="zh-CN"/>
        </w:rPr>
        <w:t>1690000.00</w:t>
      </w:r>
      <w:r>
        <w:rPr>
          <w:rFonts w:hint="eastAsia" w:ascii="宋体" w:hAnsi="宋体" w:eastAsia="宋体" w:cs="宋体"/>
          <w:b/>
          <w:color w:val="auto"/>
          <w:szCs w:val="21"/>
          <w:highlight w:val="none"/>
          <w:u w:val="single"/>
        </w:rPr>
        <w:t>元</w:t>
      </w:r>
      <w:r>
        <w:rPr>
          <w:rFonts w:hint="eastAsia" w:ascii="宋体" w:hAnsi="宋体" w:eastAsia="宋体" w:cs="宋体"/>
          <w:color w:val="auto"/>
          <w:szCs w:val="21"/>
          <w:highlight w:val="none"/>
        </w:rPr>
        <w:t>）。</w:t>
      </w:r>
    </w:p>
    <w:p w14:paraId="22665CC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 本合同总金额为货物从生产厂家至河南中医药大学校内甲方指定地点总价。包括：货物和附属装置、备品备件、专用工具、安装调试、培训、运输、保险、验收检测费、各类税费及相关技术服务费用和验收合格之前及保修期与备品备件等为履行合同发生的所有含税费用。</w:t>
      </w:r>
    </w:p>
    <w:p w14:paraId="7013EA8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 乙方负责办理合同所涉及的进口货物海关免税手续，甲方协助乙方办理进口免税相关事项，提供与其享受免关税待遇相关的证明文件资料，费用已包括在合同总金额内。</w:t>
      </w:r>
    </w:p>
    <w:p w14:paraId="40E6B5A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 本合同执行期间合同总金额不变。甲方无须另向乙方支付本合同规定之外的其他任何费用。</w:t>
      </w:r>
    </w:p>
    <w:p w14:paraId="7C5AD85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 乙方所供货物若与合同要求不相符时，甲方有权拒收，并拒付该部分货物的货款。</w:t>
      </w:r>
    </w:p>
    <w:p w14:paraId="0960CA0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 履约保证金：</w:t>
      </w:r>
    </w:p>
    <w:p w14:paraId="5C3995A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双方签订合同前乙方按招标文件要求缴纳中标价（成交价）5%作为履约保证金，若乙方未履行合同或履行合同不符合要求的，则履约保证金不予退还；若乙方履行合同，货物经验收合格无质量问题，甲方无息退还履约保证金（凭收款收据）。</w:t>
      </w:r>
    </w:p>
    <w:p w14:paraId="533EF6E0">
      <w:pPr>
        <w:spacing w:line="360" w:lineRule="auto"/>
        <w:ind w:left="479" w:leftChars="228"/>
        <w:rPr>
          <w:rFonts w:hint="eastAsia" w:ascii="宋体" w:hAnsi="宋体" w:eastAsia="宋体" w:cs="宋体"/>
          <w:color w:val="auto"/>
          <w:szCs w:val="21"/>
          <w:highlight w:val="none"/>
        </w:rPr>
      </w:pPr>
      <w:r>
        <w:rPr>
          <w:rFonts w:hint="eastAsia" w:ascii="宋体" w:hAnsi="宋体" w:eastAsia="宋体" w:cs="宋体"/>
          <w:color w:val="auto"/>
          <w:szCs w:val="21"/>
          <w:highlight w:val="none"/>
        </w:rPr>
        <w:t>交纳方式：中标人在领取中标通知书后签订合同前将履约保证金汇（存）入采购方指定银行帐户：</w:t>
      </w:r>
    </w:p>
    <w:p w14:paraId="2709670B">
      <w:pPr>
        <w:spacing w:line="324"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开户名称：河南中医药大学</w:t>
      </w:r>
    </w:p>
    <w:p w14:paraId="3DFFF4D1">
      <w:pPr>
        <w:spacing w:line="324"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  号：1702020609200014257</w:t>
      </w:r>
    </w:p>
    <w:p w14:paraId="0DD3FC9E">
      <w:pPr>
        <w:spacing w:line="324"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开户行：工商银行花园路支行（请注明中标通知书中的合同编号）</w:t>
      </w:r>
    </w:p>
    <w:p w14:paraId="7D95C498">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二、货物质量标准</w:t>
      </w:r>
    </w:p>
    <w:p w14:paraId="4E3F528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乙方提供的货物必须符合中华人民共和国国家相关标准、行业强制性标准及环保要求。同时技术指标必须与乙方投标文件所陈述的指标保持一致。用于临床的医疗仪器必须有有效的医疗器械注册证。</w:t>
      </w:r>
    </w:p>
    <w:p w14:paraId="763B1D3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 乙方提供的货物必须为全新的、未使用过的原厂原包装产品（含零部件、配件、随机工具、技术文件等），且进货渠道合法。</w:t>
      </w:r>
    </w:p>
    <w:p w14:paraId="59BF0D2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 乙方提供的货物必须包装外观完好、无破损，货物洁净完好、无划痕、无凹陷、无退色、无锈迹。</w:t>
      </w:r>
    </w:p>
    <w:p w14:paraId="0D82898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 乙方提供的货物不符合合同规定的质量要求的，甲方有权拒绝接受该货物，乙方应更换被拒绝的货物，并达到合同规定的质量要求，所造成的损失由乙方承担。必要时甲方有权解除合同。</w:t>
      </w:r>
    </w:p>
    <w:p w14:paraId="579C80A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 因货物的质量问题发生争议，由河南省商检部门进行质量鉴定。货物符合质量标准的，鉴定费由甲方承担；货物不符合质量标准的，鉴定费由乙方承担。</w:t>
      </w:r>
    </w:p>
    <w:p w14:paraId="40F66B39">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三、货物包装、交货</w:t>
      </w:r>
    </w:p>
    <w:p w14:paraId="2E7A58F8">
      <w:pPr>
        <w:spacing w:line="360" w:lineRule="auto"/>
        <w:ind w:firstLine="422" w:firstLineChars="200"/>
        <w:rPr>
          <w:rFonts w:hint="eastAsia" w:ascii="宋体" w:hAnsi="宋体" w:eastAsia="宋体" w:cs="宋体"/>
          <w:b/>
          <w:color w:val="auto"/>
          <w:szCs w:val="21"/>
          <w:highlight w:val="none"/>
        </w:rPr>
      </w:pPr>
    </w:p>
    <w:p w14:paraId="3A49DA1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包装</w:t>
      </w:r>
    </w:p>
    <w:p w14:paraId="7548341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⑴ 合同货物的包装必须与运输方式相适应，应有良好的防湿、防锈、防潮、防雨、防腐及防碰撞的措施。凡由于不适当的包装而造成货物在运输过程中有任何损坏、丢失等由乙方负责。</w:t>
      </w:r>
    </w:p>
    <w:p w14:paraId="60B71B2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⑵ 包装应足以承受整个过程中的运输、转运、装卸、储存等，充分考虑到运输途中的各种情况（如暴露于恶劣气候等），以及露天存放的需要。</w:t>
      </w:r>
    </w:p>
    <w:p w14:paraId="7A86C95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 交货</w:t>
      </w:r>
    </w:p>
    <w:p w14:paraId="3BDF0B1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⑴ 乙方交货时间：合同生效后国产货物30日、进口货物90日内全部交货。交货完毕后及时提交货物验收申请（货物经验收合格的，交货日期以甲方收到乙方验收申请函日期为准；验收不合格的，交货日期以实际验收合格日期为准）。即在</w:t>
      </w:r>
      <w:r>
        <w:rPr>
          <w:rFonts w:hint="eastAsia" w:ascii="宋体" w:hAnsi="宋体" w:eastAsia="宋体" w:cs="宋体"/>
          <w:b/>
          <w:color w:val="auto"/>
          <w:szCs w:val="21"/>
          <w:highlight w:val="none"/>
          <w:u w:val="single"/>
          <w:lang w:val="en-US" w:eastAsia="zh-CN"/>
        </w:rPr>
        <w:t xml:space="preserve">   </w:t>
      </w:r>
      <w:r>
        <w:rPr>
          <w:rFonts w:hint="eastAsia" w:ascii="宋体" w:hAnsi="宋体" w:cs="宋体"/>
          <w:b/>
          <w:color w:val="auto"/>
          <w:szCs w:val="21"/>
          <w:highlight w:val="none"/>
          <w:u w:val="single"/>
          <w:lang w:val="en-US" w:eastAsia="zh-CN"/>
        </w:rPr>
        <w:t>2025</w:t>
      </w:r>
      <w:r>
        <w:rPr>
          <w:rFonts w:hint="eastAsia" w:ascii="宋体" w:hAnsi="宋体" w:eastAsia="宋体" w:cs="宋体"/>
          <w:b/>
          <w:color w:val="auto"/>
          <w:szCs w:val="21"/>
          <w:highlight w:val="none"/>
          <w:u w:val="single"/>
          <w:lang w:val="en-US" w:eastAsia="zh-CN"/>
        </w:rPr>
        <w:t xml:space="preserve"> </w:t>
      </w:r>
      <w:r>
        <w:rPr>
          <w:rFonts w:hint="eastAsia" w:ascii="宋体" w:hAnsi="宋体" w:eastAsia="宋体" w:cs="宋体"/>
          <w:color w:val="auto"/>
          <w:szCs w:val="21"/>
          <w:highlight w:val="none"/>
        </w:rPr>
        <w:t>年</w:t>
      </w:r>
      <w:r>
        <w:rPr>
          <w:rFonts w:hint="eastAsia" w:ascii="宋体" w:hAnsi="宋体" w:eastAsia="宋体" w:cs="宋体"/>
          <w:b/>
          <w:color w:val="auto"/>
          <w:szCs w:val="21"/>
          <w:highlight w:val="none"/>
          <w:u w:val="single"/>
          <w:lang w:val="en-US" w:eastAsia="zh-CN"/>
        </w:rPr>
        <w:t xml:space="preserve">  </w:t>
      </w:r>
      <w:r>
        <w:rPr>
          <w:rFonts w:hint="eastAsia" w:ascii="宋体" w:hAnsi="宋体" w:cs="宋体"/>
          <w:b/>
          <w:color w:val="auto"/>
          <w:szCs w:val="21"/>
          <w:highlight w:val="none"/>
          <w:u w:val="single"/>
          <w:lang w:val="en-US" w:eastAsia="zh-CN"/>
        </w:rPr>
        <w:t>8</w:t>
      </w:r>
      <w:r>
        <w:rPr>
          <w:rFonts w:hint="eastAsia" w:ascii="宋体" w:hAnsi="宋体" w:eastAsia="宋体" w:cs="宋体"/>
          <w:b/>
          <w:color w:val="auto"/>
          <w:szCs w:val="21"/>
          <w:highlight w:val="none"/>
          <w:u w:val="single"/>
          <w:lang w:val="en-US" w:eastAsia="zh-CN"/>
        </w:rPr>
        <w:t xml:space="preserve"> </w:t>
      </w:r>
      <w:r>
        <w:rPr>
          <w:rFonts w:hint="eastAsia" w:ascii="宋体" w:hAnsi="宋体" w:eastAsia="宋体" w:cs="宋体"/>
          <w:color w:val="auto"/>
          <w:szCs w:val="21"/>
          <w:highlight w:val="none"/>
        </w:rPr>
        <w:t>月</w:t>
      </w:r>
      <w:r>
        <w:rPr>
          <w:rFonts w:hint="eastAsia" w:ascii="宋体" w:hAnsi="宋体" w:eastAsia="宋体" w:cs="宋体"/>
          <w:b/>
          <w:color w:val="auto"/>
          <w:szCs w:val="21"/>
          <w:highlight w:val="none"/>
          <w:u w:val="single"/>
          <w:lang w:val="en-US" w:eastAsia="zh-CN"/>
        </w:rPr>
        <w:t xml:space="preserve">  </w:t>
      </w:r>
      <w:r>
        <w:rPr>
          <w:rFonts w:hint="eastAsia" w:ascii="宋体" w:hAnsi="宋体" w:cs="宋体"/>
          <w:b/>
          <w:color w:val="auto"/>
          <w:szCs w:val="21"/>
          <w:highlight w:val="none"/>
          <w:u w:val="single"/>
          <w:lang w:val="en-US" w:eastAsia="zh-CN"/>
        </w:rPr>
        <w:t>13</w:t>
      </w:r>
      <w:r>
        <w:rPr>
          <w:rFonts w:hint="eastAsia" w:ascii="宋体" w:hAnsi="宋体" w:eastAsia="宋体" w:cs="宋体"/>
          <w:b/>
          <w:color w:val="auto"/>
          <w:szCs w:val="21"/>
          <w:highlight w:val="none"/>
          <w:u w:val="single"/>
          <w:lang w:val="en-US" w:eastAsia="zh-CN"/>
        </w:rPr>
        <w:t xml:space="preserve">  </w:t>
      </w:r>
      <w:r>
        <w:rPr>
          <w:rFonts w:hint="eastAsia" w:ascii="宋体" w:hAnsi="宋体" w:eastAsia="宋体" w:cs="宋体"/>
          <w:color w:val="auto"/>
          <w:szCs w:val="21"/>
          <w:highlight w:val="none"/>
        </w:rPr>
        <w:t>日前完成全部仪器设备的安装调试，并交付使用(如由于采购人的原因造成合同延迟签订或验收的，时间顺延)。乙方逾期交付物品，则每迟交一周货物应向甲方支付货款总额5%违约金，不足一周按一周计算。</w:t>
      </w:r>
    </w:p>
    <w:p w14:paraId="45CA3A8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⑵ 根据所购货物情况，甲方确定是否在发货前对所供货物进行检查，以保证所发货物与合同一致。所需费用由乙方承担。</w:t>
      </w:r>
    </w:p>
    <w:p w14:paraId="466EF5E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⑶ 乙方交货地点：河南中医药大学指定地点。</w:t>
      </w:r>
    </w:p>
    <w:p w14:paraId="13D88AF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⑷ 合同货物抵达甲方后，由甲乙双方一同清点货物数量，开箱检验表面状况，核对规格型号。并负责解决开箱检验清点发现的问题和赔偿。</w:t>
      </w:r>
    </w:p>
    <w:p w14:paraId="062A118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⑸ 乙方应将合同货物的产品序列号、用户手册、技术资料（包括详细装箱单、质量证书、设备说明书、使用手册和其它相关技术资料）及配件、随机工具等一并交付给甲方。</w:t>
      </w:r>
    </w:p>
    <w:p w14:paraId="42BE3C3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⑹ 专用工具及备品、备件应分别包装，并在包装箱外加以注明其用处。</w:t>
      </w:r>
    </w:p>
    <w:p w14:paraId="57C4900C">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四、合同货物的安装、调试</w:t>
      </w:r>
    </w:p>
    <w:p w14:paraId="15A55BA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乙方负责合同项下货物的安装调试至能够正常开机使用，且与合同要求的各项技术指标一致，符合各项安全标准，一切费用由乙方负责。</w:t>
      </w:r>
    </w:p>
    <w:p w14:paraId="3720926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 乙方安装时须对各安装场地内的其它设备、设施有良好保护措施。</w:t>
      </w:r>
    </w:p>
    <w:p w14:paraId="0789717D">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五、安全责任</w:t>
      </w:r>
    </w:p>
    <w:p w14:paraId="3C15586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乙方在安装、调试合同货物过程中要严格执行国家有关人身安全及防火安全的规定，做好各项防护措施，防止各类事故的发生，若造成人身伤害及货物损坏事故等，则由乙方负全部责任。</w:t>
      </w:r>
    </w:p>
    <w:p w14:paraId="0E37E418">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六、货物的验收</w:t>
      </w:r>
    </w:p>
    <w:p w14:paraId="559AFB4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在甲方验收前，乙方应提交合同货物验收报告、每台仪器设备制造厂商出具的明细装箱单、每台仪器设备制造厂商出具的出厂质量证书、每台仪器设备制造厂商出具的使用说明书。</w:t>
      </w:r>
    </w:p>
    <w:p w14:paraId="7D21C7C0">
      <w:pPr>
        <w:spacing w:line="360" w:lineRule="auto"/>
        <w:ind w:right="-82" w:rightChars="-39"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 乙方应在甲方验收前，向甲方提供按本合同的技术规格、技术规范要求进行的测试报告和验收报告，验收以招投标文件、合同技术规格、产品相应的技术说明为标准。</w:t>
      </w:r>
    </w:p>
    <w:p w14:paraId="764D1B4D">
      <w:pPr>
        <w:spacing w:line="360" w:lineRule="auto"/>
        <w:ind w:right="-82" w:rightChars="-39" w:firstLine="420" w:firstLineChars="200"/>
        <w:rPr>
          <w:rFonts w:hint="eastAsia" w:ascii="宋体" w:hAnsi="宋体" w:eastAsia="宋体" w:cs="宋体"/>
          <w:color w:val="auto"/>
          <w:szCs w:val="21"/>
          <w:highlight w:val="none"/>
        </w:rPr>
      </w:pPr>
    </w:p>
    <w:p w14:paraId="045393BA">
      <w:pPr>
        <w:spacing w:line="360" w:lineRule="auto"/>
        <w:ind w:right="-82" w:rightChars="-39"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 合同货物（系统）交货（完工）并完成操作培训、粘贴条码，且正常运行后，甲方使用单位组织验收。验收应在甲乙双方共同参加下进行。</w:t>
      </w:r>
    </w:p>
    <w:p w14:paraId="2DA25E42">
      <w:pPr>
        <w:spacing w:line="360" w:lineRule="auto"/>
        <w:ind w:right="-82" w:rightChars="-39"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 验收按国家有关规定、规范进行。验收时如发现所交付的货物有短装、次品、损坏或其它不符合本合同规定之情形者，甲方应做出详尽的现场记录，或由甲乙双方签署备忘录。此现场记录或备忘录可用作补充、缺失和更换损坏部件的有效证据。由此产生的有关费用由乙方承担。</w:t>
      </w:r>
    </w:p>
    <w:p w14:paraId="54E4FA2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 如果合同货物运输和安装调试过程中因事故造成货物短缺、损坏，乙方应及时安排换装，以保证合同货物安装调试的成功完成。换货的相关费用由乙方承担。</w:t>
      </w:r>
    </w:p>
    <w:p w14:paraId="081BB67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 国内产品或合资厂的产品必须具备出厂合格证。</w:t>
      </w:r>
    </w:p>
    <w:p w14:paraId="12A7F18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 进口免税设备需要同时准备免税证明、报关单、外贸合同。</w:t>
      </w:r>
    </w:p>
    <w:p w14:paraId="68F5218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 乙方保证合同项下提供的货物不侵犯任何第三方的专利、商标或版权。否则，乙方须承担对第三方的专利或版权的侵权责任并承担因此而发生的所有费用。</w:t>
      </w:r>
    </w:p>
    <w:p w14:paraId="274C054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 合同货物验收未能通过的，乙方负责及时整改。若整改后仍未能合格的，甲方依法追究其经济及法律责任。</w:t>
      </w:r>
    </w:p>
    <w:p w14:paraId="7C39EDE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 验收合格后双方共同签署验收报告，验收合格日期以最后的签字日为准。</w:t>
      </w:r>
    </w:p>
    <w:p w14:paraId="502B12E3">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七、培训</w:t>
      </w:r>
    </w:p>
    <w:p w14:paraId="1EDF1AB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乙方为甲方提供操作及维护培训，主要内容为货物的基本结构、性能、主要部件的构造及原理，日常使用操作、保养与管理，常见故障的排除，紧急情况的处理等，培训地点主要在货物安装现场或按甲乙双方协商安排。与培训相关的未尽事宜按招标文件的要求及投标文件中提供的方案执行。如需要可另附培训协议。</w:t>
      </w:r>
    </w:p>
    <w:p w14:paraId="15EC8139">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八、 付款方式</w:t>
      </w:r>
    </w:p>
    <w:p w14:paraId="31FBA65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中标的货物安装调试，正常运行后，采购方组织有关人员及使用单位联合验收，验收合格后采购方支付合同价的总额。</w:t>
      </w:r>
    </w:p>
    <w:p w14:paraId="5030956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申请付款时必须提交以下文件和资料：1、资金支付申请书；2、由甲方签字的验收报告；3、教学、科研设备需开具增值税专用发票，其他货物、服务需开具增值税普通发票。</w:t>
      </w:r>
    </w:p>
    <w:p w14:paraId="766E25B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具体步骤：乙方填写《资金支付申请书》、开具抬头为甲方的发票，并送交甲方；甲方填写《验收报告》，乙方凭《资金支付申请书》和《验收报告》由甲方支付货款。</w:t>
      </w:r>
    </w:p>
    <w:p w14:paraId="7540D025">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九、质保期限</w:t>
      </w:r>
    </w:p>
    <w:p w14:paraId="1B66C76E">
      <w:pPr>
        <w:spacing w:line="360" w:lineRule="auto"/>
        <w:ind w:firstLine="420" w:firstLineChars="200"/>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本合同货物国产仪器设备整机</w:t>
      </w:r>
      <w:r>
        <w:rPr>
          <w:rFonts w:hint="eastAsia" w:ascii="宋体" w:hAnsi="宋体" w:eastAsia="宋体" w:cs="宋体"/>
          <w:bCs/>
          <w:color w:val="auto"/>
          <w:szCs w:val="21"/>
          <w:highlight w:val="none"/>
        </w:rPr>
        <w:t>免费质保期</w:t>
      </w:r>
      <w:r>
        <w:rPr>
          <w:rFonts w:hint="eastAsia" w:ascii="宋体" w:hAnsi="宋体" w:eastAsia="宋体" w:cs="宋体"/>
          <w:b/>
          <w:bCs/>
          <w:color w:val="auto"/>
          <w:szCs w:val="21"/>
          <w:highlight w:val="none"/>
          <w:lang w:eastAsia="zh-CN"/>
        </w:rPr>
        <w:t>三</w:t>
      </w:r>
      <w:r>
        <w:rPr>
          <w:rFonts w:hint="eastAsia" w:ascii="宋体" w:hAnsi="宋体" w:eastAsia="宋体" w:cs="宋体"/>
          <w:bCs/>
          <w:color w:val="auto"/>
          <w:szCs w:val="21"/>
          <w:highlight w:val="none"/>
        </w:rPr>
        <w:t>年</w:t>
      </w:r>
      <w:r>
        <w:rPr>
          <w:rFonts w:hint="eastAsia" w:ascii="宋体" w:hAnsi="宋体" w:eastAsia="宋体" w:cs="宋体"/>
          <w:color w:val="auto"/>
          <w:szCs w:val="21"/>
          <w:highlight w:val="none"/>
        </w:rPr>
        <w:t>，进口仪器设备整机</w:t>
      </w:r>
      <w:r>
        <w:rPr>
          <w:rFonts w:hint="eastAsia" w:ascii="宋体" w:hAnsi="宋体" w:eastAsia="宋体" w:cs="宋体"/>
          <w:bCs/>
          <w:color w:val="auto"/>
          <w:szCs w:val="21"/>
          <w:highlight w:val="none"/>
        </w:rPr>
        <w:t>免费</w:t>
      </w:r>
      <w:bookmarkStart w:id="0" w:name="OLE_LINK24"/>
      <w:r>
        <w:rPr>
          <w:rFonts w:hint="eastAsia" w:ascii="宋体" w:hAnsi="宋体" w:eastAsia="宋体" w:cs="宋体"/>
          <w:bCs/>
          <w:color w:val="auto"/>
          <w:szCs w:val="21"/>
          <w:highlight w:val="none"/>
        </w:rPr>
        <w:t>质保期</w:t>
      </w:r>
      <w:bookmarkEnd w:id="0"/>
      <w:r>
        <w:rPr>
          <w:rFonts w:hint="eastAsia" w:ascii="宋体" w:hAnsi="宋体" w:eastAsia="宋体" w:cs="宋体"/>
          <w:b/>
          <w:bCs/>
          <w:color w:val="auto"/>
          <w:szCs w:val="21"/>
          <w:highlight w:val="none"/>
        </w:rPr>
        <w:t>一</w:t>
      </w:r>
      <w:r>
        <w:rPr>
          <w:rFonts w:hint="eastAsia" w:ascii="宋体" w:hAnsi="宋体" w:eastAsia="宋体" w:cs="宋体"/>
          <w:bCs/>
          <w:color w:val="auto"/>
          <w:szCs w:val="21"/>
          <w:highlight w:val="none"/>
        </w:rPr>
        <w:t>年</w:t>
      </w:r>
      <w:r>
        <w:rPr>
          <w:rFonts w:hint="eastAsia" w:ascii="宋体" w:hAnsi="宋体" w:eastAsia="宋体" w:cs="宋体"/>
          <w:color w:val="auto"/>
          <w:szCs w:val="21"/>
          <w:highlight w:val="none"/>
        </w:rPr>
        <w:t>。质保期自甲乙双方在设备验收报告签字之日起计算。</w:t>
      </w:r>
    </w:p>
    <w:p w14:paraId="586DE0CD">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十、售后服务</w:t>
      </w:r>
      <w:r>
        <w:rPr>
          <w:rFonts w:hint="eastAsia" w:ascii="宋体" w:hAnsi="宋体" w:eastAsia="宋体" w:cs="宋体"/>
          <w:b/>
          <w:color w:val="auto"/>
          <w:szCs w:val="21"/>
          <w:highlight w:val="none"/>
        </w:rPr>
        <w:tab/>
      </w:r>
    </w:p>
    <w:p w14:paraId="4FA996E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乙方须指派专人负责与甲方联系售后服务事宜（联系人：曹丽敏，电话：0371-63395009）。</w:t>
      </w:r>
    </w:p>
    <w:p w14:paraId="250FAB7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19BAB90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 质保期内，乙方负责对其提供的货物上门进行硬件维修、软件维护和升级等免费服务，甲方不再支付任何费用，但人为因素或自然灾害造成的损坏除外。</w:t>
      </w:r>
    </w:p>
    <w:p w14:paraId="24FC16A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 质保期内，乙方在接到甲方系统故障或问题告知后，8小时内做出回应，48小时内到达现场排除故障。</w:t>
      </w:r>
    </w:p>
    <w:p w14:paraId="24F413D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 质保期满后，乙方负责终身维修，维修需要更换零配件时，按出厂价收取，不再收取其他费用。维修响应时间为接到报修后24小时内。乙方不定期免费提供仪器维护和进行软件升级和技术指导。质保期满后，乙方根据用户需要提供使用人员继续培训服务，费用视情况而定。</w:t>
      </w:r>
    </w:p>
    <w:p w14:paraId="183EE11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质保期内，乙方提供的货物出现故障或问题且经乙方3次维修或维护后仍不能正常运行或无法正常使用的，甲方有权提出退货或换货。甲方提出退货的，乙方应退还甲方已付款项，同时履约保证金不予退还；甲方提出换货的，乙方应在规定期限内为甲方更换符合甲方要求的合格货物，同时质保期重新计算。</w:t>
      </w:r>
    </w:p>
    <w:p w14:paraId="5E94F938">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十一、索赔</w:t>
      </w:r>
    </w:p>
    <w:p w14:paraId="7261336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甲方如对乙方所提供的货物有异议，甲方有权根据有关检验结果向乙方提出索赔。</w:t>
      </w:r>
    </w:p>
    <w:p w14:paraId="17E362F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 在合同执行期间，如果乙方对甲方提出的索赔和差异负有责任，乙方应按照甲方同意的下列一种或多种方式解决索赔事宜：</w:t>
      </w:r>
    </w:p>
    <w:p w14:paraId="496D6AC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⑴ 乙方同意退货，并按合同规定的同种货币将货款退还给甲方，并承担由此发生的一切损失和费用。</w:t>
      </w:r>
    </w:p>
    <w:p w14:paraId="6A9E401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⑵ 根据货物低劣程度、损坏程度以及甲方所遭受损失的数额甲乙双方商定降低货物的价格。</w:t>
      </w:r>
    </w:p>
    <w:p w14:paraId="441BDF1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⑶ 用符合规格、质量和性能要求的新零件、部件或货物来更换有缺陷的部分或修补缺陷的部分，乙方应承担一切费用和风险并负有甲方所发生的一切直接费用。同时，延长质量保证期。</w:t>
      </w:r>
    </w:p>
    <w:p w14:paraId="61C198F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 如果在甲方发出索赔通知后</w:t>
      </w:r>
      <w:r>
        <w:rPr>
          <w:rFonts w:hint="eastAsia" w:ascii="宋体" w:hAnsi="宋体" w:eastAsia="宋体" w:cs="宋体"/>
          <w:color w:val="auto"/>
          <w:szCs w:val="21"/>
          <w:highlight w:val="none"/>
          <w:shd w:val="clear" w:color="auto" w:fill="FFFFFF"/>
        </w:rPr>
        <w:t>30</w:t>
      </w:r>
      <w:r>
        <w:rPr>
          <w:rFonts w:hint="eastAsia" w:ascii="宋体" w:hAnsi="宋体" w:eastAsia="宋体" w:cs="宋体"/>
          <w:color w:val="auto"/>
          <w:szCs w:val="21"/>
          <w:highlight w:val="none"/>
        </w:rPr>
        <w:t>天内，乙方未作答复，上述索赔应视为已被乙方接受。甲方将从合同款项中扣回索赔金额。如果这些金额不足以补偿索赔金额，甲方有权向乙方提出不足部分的补偿。</w:t>
      </w:r>
    </w:p>
    <w:p w14:paraId="0A921ACD">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十二、违约责任</w:t>
      </w:r>
    </w:p>
    <w:p w14:paraId="10DEBE3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乙方未能交付货物，则向甲方支付合同总额20%的违约金，同时履约保证金不予退还。</w:t>
      </w:r>
    </w:p>
    <w:p w14:paraId="798E103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 乙方交付的货物与投标文件或合同不相符的，甲方有权拒收，乙方向甲方支付合同总额30%的违约金，同时履约保证金不予退还。</w:t>
      </w:r>
    </w:p>
    <w:p w14:paraId="00DB4D3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 甲方无正当理由拒收货物，拒付货款的，则向乙方支付合同总额10%的违约金。</w:t>
      </w:r>
    </w:p>
    <w:p w14:paraId="6F92E6E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 乙方逾期交付货物（交付最终时间以甲方收到乙方提交的申请验收函之日为准，但若货物经验收不合格的，交付最终时间以最终验收合格日期为准。），则每迟交一周货物应向甲方支付货款总额5%违约金（不可抗力除外），违约金乙方同意从货款中扣除，逾期超过四周，甲方有权解除本合同，乙方应向甲方支付合同总额20%的违约金，同时履约保证金不予退还”。</w:t>
      </w:r>
    </w:p>
    <w:p w14:paraId="282550F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 甲方逾期付款，则每延迟一周付款甲方应向乙方支付货款总额0.5%违约金，违约金总额不超过合同总价的5%（不可抗力除外）。</w:t>
      </w:r>
    </w:p>
    <w:p w14:paraId="348CDEDB">
      <w:pPr>
        <w:spacing w:line="360" w:lineRule="auto"/>
        <w:ind w:firstLine="420" w:firstLineChars="200"/>
        <w:rPr>
          <w:rFonts w:hint="eastAsia" w:ascii="宋体" w:hAnsi="宋体" w:eastAsia="宋体" w:cs="宋体"/>
          <w:color w:val="auto"/>
          <w:szCs w:val="21"/>
          <w:highlight w:val="none"/>
        </w:rPr>
      </w:pPr>
      <w:bookmarkStart w:id="38" w:name="_GoBack"/>
      <w:bookmarkEnd w:id="38"/>
    </w:p>
    <w:p w14:paraId="1A38D50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 乙方必须按甲方指定地点按时交货，货物不符合质量标准的，乙方必须按时负责调换至合格为止，并承担由此产生的实际费用。不能按时调换至合格者，按不能交货处理。乙方若不能按时交货，甲方将不保证按时付款，所造成的一切后果由乙方承担。</w:t>
      </w:r>
    </w:p>
    <w:p w14:paraId="72FF4202">
      <w:pPr>
        <w:spacing w:line="5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7.若乙方提出换货，则按第十二条第2款执行。</w:t>
      </w:r>
    </w:p>
    <w:p w14:paraId="274E7D8D">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十三、争端的解决</w:t>
      </w:r>
    </w:p>
    <w:p w14:paraId="7EB1D54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1.凡与本合同有关而引起的一切争执和分歧，甲乙双方通过友好协商解决或提交河南省政府采购管理部门调解，如协商或调解不成，任何一方可以向甲方所在地仲裁委员会申请仲裁裁决。</w:t>
      </w:r>
    </w:p>
    <w:p w14:paraId="3354E80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2.在进行仲裁期间，除提交仲裁机构的事项外，合同其他部分应继续履行。</w:t>
      </w:r>
    </w:p>
    <w:p w14:paraId="2459F221">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十四、</w:t>
      </w:r>
      <w:r>
        <w:rPr>
          <w:rFonts w:hint="eastAsia" w:ascii="宋体" w:hAnsi="宋体" w:eastAsia="宋体" w:cs="宋体"/>
          <w:b/>
          <w:bCs/>
          <w:color w:val="auto"/>
          <w:szCs w:val="21"/>
          <w:highlight w:val="none"/>
        </w:rPr>
        <w:t>合同组成</w:t>
      </w:r>
    </w:p>
    <w:p w14:paraId="54C0513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本项目</w:t>
      </w:r>
      <w:r>
        <w:rPr>
          <w:rFonts w:hint="eastAsia" w:ascii="宋体" w:hAnsi="宋体" w:eastAsia="宋体" w:cs="宋体"/>
          <w:color w:val="auto"/>
          <w:szCs w:val="21"/>
          <w:highlight w:val="none"/>
        </w:rPr>
        <w:t>招标文件、投标文件及下列附件等均为本合同的有效组成部分，与本合同具有同样法律效力。</w:t>
      </w:r>
    </w:p>
    <w:p w14:paraId="0226762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中标通知书（附件1）；</w:t>
      </w:r>
    </w:p>
    <w:p w14:paraId="0B6D7A6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 </w:t>
      </w:r>
      <w:r>
        <w:rPr>
          <w:rFonts w:hint="eastAsia" w:ascii="宋体" w:hAnsi="宋体" w:eastAsia="宋体" w:cs="宋体"/>
          <w:bCs/>
          <w:color w:val="auto"/>
          <w:szCs w:val="21"/>
          <w:highlight w:val="none"/>
        </w:rPr>
        <w:t>中标货物分项报价一览表</w:t>
      </w:r>
      <w:r>
        <w:rPr>
          <w:rFonts w:hint="eastAsia" w:ascii="宋体" w:hAnsi="宋体" w:eastAsia="宋体" w:cs="宋体"/>
          <w:color w:val="auto"/>
          <w:szCs w:val="21"/>
          <w:highlight w:val="none"/>
        </w:rPr>
        <w:t>（附件2）；</w:t>
      </w:r>
    </w:p>
    <w:p w14:paraId="288C577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 中标货物制造商</w:t>
      </w:r>
      <w:r>
        <w:rPr>
          <w:rFonts w:hint="eastAsia" w:ascii="宋体" w:hAnsi="宋体" w:eastAsia="宋体" w:cs="宋体"/>
          <w:bCs/>
          <w:color w:val="auto"/>
          <w:szCs w:val="21"/>
          <w:highlight w:val="none"/>
        </w:rPr>
        <w:t>配置清单</w:t>
      </w:r>
      <w:r>
        <w:rPr>
          <w:rFonts w:hint="eastAsia" w:ascii="宋体" w:hAnsi="宋体" w:eastAsia="宋体" w:cs="宋体"/>
          <w:color w:val="auto"/>
          <w:szCs w:val="21"/>
          <w:highlight w:val="none"/>
        </w:rPr>
        <w:t>（附件3）；</w:t>
      </w:r>
    </w:p>
    <w:p w14:paraId="74380AF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4. 中标货物技术参数及配置表（附件4）； </w:t>
      </w:r>
    </w:p>
    <w:p w14:paraId="389E3FD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 供货商质量保障及服务表（附件5）；</w:t>
      </w:r>
    </w:p>
    <w:p w14:paraId="79F32BF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 中标货物安装培训计划表（附件6）</w:t>
      </w:r>
    </w:p>
    <w:p w14:paraId="102B09A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 中标货物制造商售后服务承诺（附件7）</w:t>
      </w:r>
    </w:p>
    <w:p w14:paraId="008B5AE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 临床使用的医疗器械应提供一份以下复印件：①医疗器械注册证；②医疗器械产品注册登记表；③产品检验报告；④医疗器械生产许可证；⑤医疗器械经营企业许可证等复印件一份。并保证以上证件均在有效期内。</w:t>
      </w:r>
    </w:p>
    <w:p w14:paraId="31508605">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十五、合同解除和终止</w:t>
      </w:r>
    </w:p>
    <w:p w14:paraId="5FC9D5E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甲乙双方各自完成合同规定的责任和义务，合同自然终止。</w:t>
      </w:r>
    </w:p>
    <w:p w14:paraId="1D21209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 如果一方严重违反合同，并在收到对方违约通知书后在</w:t>
      </w:r>
      <w:r>
        <w:rPr>
          <w:rFonts w:hint="eastAsia" w:ascii="宋体" w:hAnsi="宋体" w:eastAsia="宋体" w:cs="宋体"/>
          <w:color w:val="auto"/>
          <w:szCs w:val="21"/>
          <w:highlight w:val="none"/>
          <w:shd w:val="clear" w:color="auto" w:fill="FFFFFF"/>
        </w:rPr>
        <w:t>30</w:t>
      </w:r>
      <w:r>
        <w:rPr>
          <w:rFonts w:hint="eastAsia" w:ascii="宋体" w:hAnsi="宋体" w:eastAsia="宋体" w:cs="宋体"/>
          <w:color w:val="auto"/>
          <w:szCs w:val="21"/>
          <w:highlight w:val="none"/>
        </w:rPr>
        <w:t>天内或在指定期限内仍未能改正违约的，另一方可立即终止本合同。</w:t>
      </w:r>
    </w:p>
    <w:p w14:paraId="44AFA134">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十六、其它</w:t>
      </w:r>
    </w:p>
    <w:p w14:paraId="4A930BB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本合同乙方不得将本合同全部或部分分包给他人。乙方在任何情况下都不得全部或部分转让其应履行的合同义务。</w:t>
      </w:r>
    </w:p>
    <w:p w14:paraId="5356A2D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 合同若有变更须经甲乙双方签字确认。</w:t>
      </w:r>
    </w:p>
    <w:p w14:paraId="1A58EDE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3．在执行本合同的过程中，所有经双方签署确认的文件（包括会议纪要、补充协议、合同修改书、往来信函等）均为本合同的有效组成部分，其生效日期为双方签字盖章或确认之日期。</w:t>
      </w:r>
    </w:p>
    <w:p w14:paraId="2A55F1F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 本合同经甲方、乙方法定代表人或授权代理人签字、盖章后生效，生效日以最后一个签字日为准。</w:t>
      </w:r>
    </w:p>
    <w:p w14:paraId="7148BF0B">
      <w:pPr>
        <w:spacing w:line="360" w:lineRule="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drawing>
          <wp:inline distT="0" distB="0" distL="114300" distR="114300">
            <wp:extent cx="6119495" cy="8789035"/>
            <wp:effectExtent l="0" t="0" r="6985" b="4445"/>
            <wp:docPr id="15" name="图片 15" descr="合同尾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合同尾页"/>
                    <pic:cNvPicPr>
                      <a:picLocks noChangeAspect="1"/>
                    </pic:cNvPicPr>
                  </pic:nvPicPr>
                  <pic:blipFill>
                    <a:blip r:embed="rId5"/>
                    <a:stretch>
                      <a:fillRect/>
                    </a:stretch>
                  </pic:blipFill>
                  <pic:spPr>
                    <a:xfrm>
                      <a:off x="0" y="0"/>
                      <a:ext cx="6119495" cy="8789035"/>
                    </a:xfrm>
                    <a:prstGeom prst="rect">
                      <a:avLst/>
                    </a:prstGeom>
                  </pic:spPr>
                </pic:pic>
              </a:graphicData>
            </a:graphic>
          </wp:inline>
        </w:drawing>
      </w:r>
    </w:p>
    <w:p w14:paraId="6AE43AAF">
      <w:pPr>
        <w:spacing w:line="360" w:lineRule="auto"/>
        <w:rPr>
          <w:rFonts w:hint="eastAsia" w:ascii="宋体" w:hAnsi="宋体" w:eastAsia="宋体" w:cs="宋体"/>
          <w:b/>
          <w:color w:val="auto"/>
          <w:sz w:val="24"/>
          <w:szCs w:val="24"/>
          <w:highlight w:val="none"/>
        </w:rPr>
      </w:pPr>
    </w:p>
    <w:p w14:paraId="76C426E0">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r>
        <w:rPr>
          <w:rFonts w:hint="eastAsia" w:ascii="宋体" w:hAnsi="宋体" w:eastAsia="宋体" w:cs="宋体"/>
          <w:b/>
          <w:color w:val="auto"/>
          <w:sz w:val="24"/>
          <w:szCs w:val="24"/>
          <w:highlight w:val="none"/>
        </w:rPr>
        <w:t>附件1：</w:t>
      </w:r>
    </w:p>
    <w:p w14:paraId="33CE82BA">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中标通知书（扫描）</w:t>
      </w:r>
    </w:p>
    <w:p w14:paraId="12CBCB77">
      <w:pPr>
        <w:spacing w:line="360" w:lineRule="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drawing>
          <wp:inline distT="0" distB="0" distL="114300" distR="114300">
            <wp:extent cx="6116955" cy="8645525"/>
            <wp:effectExtent l="0" t="0" r="9525" b="10795"/>
            <wp:docPr id="2" name="图片 2" descr="中标通知书--中药学平台设备购置项目（二次）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标通知书--中药学平台设备购置项目（二次）_00"/>
                    <pic:cNvPicPr>
                      <a:picLocks noChangeAspect="1"/>
                    </pic:cNvPicPr>
                  </pic:nvPicPr>
                  <pic:blipFill>
                    <a:blip r:embed="rId6"/>
                    <a:stretch>
                      <a:fillRect/>
                    </a:stretch>
                  </pic:blipFill>
                  <pic:spPr>
                    <a:xfrm>
                      <a:off x="0" y="0"/>
                      <a:ext cx="6116955" cy="8645525"/>
                    </a:xfrm>
                    <a:prstGeom prst="rect">
                      <a:avLst/>
                    </a:prstGeom>
                  </pic:spPr>
                </pic:pic>
              </a:graphicData>
            </a:graphic>
          </wp:inline>
        </w:drawing>
      </w:r>
    </w:p>
    <w:p w14:paraId="55B7C619">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232D77F2">
      <w:pPr>
        <w:widowControl/>
        <w:jc w:val="left"/>
        <w:rPr>
          <w:rFonts w:hint="eastAsia" w:ascii="宋体" w:hAnsi="宋体" w:eastAsia="宋体" w:cs="宋体"/>
          <w:b/>
          <w:color w:val="auto"/>
          <w:sz w:val="24"/>
          <w:szCs w:val="24"/>
          <w:highlight w:val="none"/>
        </w:rPr>
        <w:sectPr>
          <w:pgSz w:w="11906" w:h="16838"/>
          <w:pgMar w:top="851" w:right="1134" w:bottom="851" w:left="1134" w:header="851" w:footer="992" w:gutter="0"/>
          <w:pgNumType w:fmt="decimal"/>
          <w:cols w:space="720" w:num="1"/>
          <w:docGrid w:type="lines" w:linePitch="312" w:charSpace="0"/>
        </w:sectPr>
      </w:pPr>
    </w:p>
    <w:p w14:paraId="5813D3A7">
      <w:pPr>
        <w:spacing w:line="44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附件2</w:t>
      </w:r>
    </w:p>
    <w:p w14:paraId="44E14CB6">
      <w:pPr>
        <w:spacing w:line="440" w:lineRule="exac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投标货物分项报价一览表</w:t>
      </w:r>
    </w:p>
    <w:tbl>
      <w:tblPr>
        <w:tblStyle w:val="6"/>
        <w:tblW w:w="15223"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573"/>
        <w:gridCol w:w="1056"/>
        <w:gridCol w:w="1656"/>
        <w:gridCol w:w="606"/>
        <w:gridCol w:w="606"/>
        <w:gridCol w:w="816"/>
        <w:gridCol w:w="1414"/>
        <w:gridCol w:w="1480"/>
        <w:gridCol w:w="812"/>
        <w:gridCol w:w="812"/>
        <w:gridCol w:w="691"/>
        <w:gridCol w:w="1314"/>
        <w:gridCol w:w="1241"/>
        <w:gridCol w:w="606"/>
      </w:tblGrid>
      <w:tr w14:paraId="63646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noWrap w:val="0"/>
            <w:vAlign w:val="top"/>
          </w:tcPr>
          <w:p w14:paraId="7A99B55F">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3E6CED75">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货物名称</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4E6D43D0">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型号规格</w:t>
            </w:r>
          </w:p>
        </w:tc>
        <w:tc>
          <w:tcPr>
            <w:tcW w:w="1656" w:type="dxa"/>
            <w:tcBorders>
              <w:top w:val="single" w:color="auto" w:sz="4" w:space="0"/>
              <w:left w:val="single" w:color="auto" w:sz="4" w:space="0"/>
              <w:bottom w:val="single" w:color="auto" w:sz="4" w:space="0"/>
              <w:right w:val="single" w:color="auto" w:sz="4" w:space="0"/>
            </w:tcBorders>
            <w:noWrap w:val="0"/>
            <w:vAlign w:val="center"/>
          </w:tcPr>
          <w:p w14:paraId="49808EB0">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制造商</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38E36F47">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产</w:t>
            </w:r>
          </w:p>
          <w:p w14:paraId="35DF9E31">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地</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7FAC2CAB">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w:t>
            </w:r>
          </w:p>
          <w:p w14:paraId="57F48DC6">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位</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45F958CE">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w:t>
            </w:r>
          </w:p>
        </w:tc>
        <w:tc>
          <w:tcPr>
            <w:tcW w:w="1414" w:type="dxa"/>
            <w:tcBorders>
              <w:top w:val="single" w:color="auto" w:sz="4" w:space="0"/>
              <w:left w:val="single" w:color="auto" w:sz="4" w:space="0"/>
              <w:bottom w:val="single" w:color="auto" w:sz="4" w:space="0"/>
              <w:right w:val="single" w:color="auto" w:sz="4" w:space="0"/>
            </w:tcBorders>
            <w:noWrap w:val="0"/>
            <w:vAlign w:val="center"/>
          </w:tcPr>
          <w:p w14:paraId="2706CB00">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单价（RMB）</w:t>
            </w:r>
          </w:p>
        </w:tc>
        <w:tc>
          <w:tcPr>
            <w:tcW w:w="1480" w:type="dxa"/>
            <w:tcBorders>
              <w:top w:val="single" w:color="auto" w:sz="4" w:space="0"/>
              <w:left w:val="single" w:color="auto" w:sz="4" w:space="0"/>
              <w:bottom w:val="single" w:color="auto" w:sz="4" w:space="0"/>
              <w:right w:val="single" w:color="auto" w:sz="4" w:space="0"/>
            </w:tcBorders>
            <w:noWrap w:val="0"/>
            <w:vAlign w:val="center"/>
          </w:tcPr>
          <w:p w14:paraId="5A34FE5F">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小计（RMB）</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12BAC791">
            <w:pPr>
              <w:ind w:right="-107" w:rightChars="-5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运输及</w:t>
            </w:r>
          </w:p>
          <w:p w14:paraId="655CF6A0">
            <w:pPr>
              <w:ind w:right="-107" w:rightChars="-5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保险费</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06D2F6EC">
            <w:pPr>
              <w:ind w:right="-107" w:rightChars="-5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w:t>
            </w:r>
          </w:p>
          <w:p w14:paraId="57861027">
            <w:pPr>
              <w:ind w:right="-107" w:rightChars="-5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服务费</w:t>
            </w:r>
          </w:p>
        </w:tc>
        <w:tc>
          <w:tcPr>
            <w:tcW w:w="691" w:type="dxa"/>
            <w:tcBorders>
              <w:top w:val="single" w:color="auto" w:sz="4" w:space="0"/>
              <w:left w:val="single" w:color="auto" w:sz="4" w:space="0"/>
              <w:bottom w:val="single" w:color="auto" w:sz="4" w:space="0"/>
              <w:right w:val="single" w:color="auto" w:sz="4" w:space="0"/>
            </w:tcBorders>
            <w:noWrap w:val="0"/>
            <w:vAlign w:val="center"/>
          </w:tcPr>
          <w:p w14:paraId="05E2121B">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税费</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7C3602B6">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交货日期</w:t>
            </w:r>
          </w:p>
        </w:tc>
        <w:tc>
          <w:tcPr>
            <w:tcW w:w="1241" w:type="dxa"/>
            <w:tcBorders>
              <w:top w:val="single" w:color="auto" w:sz="4" w:space="0"/>
              <w:left w:val="single" w:color="auto" w:sz="4" w:space="0"/>
              <w:bottom w:val="single" w:color="auto" w:sz="4" w:space="0"/>
              <w:right w:val="single" w:color="auto" w:sz="4" w:space="0"/>
            </w:tcBorders>
            <w:noWrap w:val="0"/>
            <w:vAlign w:val="center"/>
          </w:tcPr>
          <w:p w14:paraId="5A6CEF59">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交货地（港）</w:t>
            </w:r>
          </w:p>
        </w:tc>
        <w:tc>
          <w:tcPr>
            <w:tcW w:w="606" w:type="dxa"/>
            <w:tcBorders>
              <w:top w:val="single" w:color="auto" w:sz="4" w:space="0"/>
              <w:left w:val="single" w:color="auto" w:sz="4" w:space="0"/>
              <w:bottom w:val="single" w:color="auto" w:sz="4" w:space="0"/>
              <w:right w:val="single" w:color="auto" w:sz="4" w:space="0"/>
            </w:tcBorders>
            <w:noWrap w:val="0"/>
            <w:vAlign w:val="top"/>
          </w:tcPr>
          <w:p w14:paraId="2692FCE1">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w:t>
            </w:r>
          </w:p>
          <w:p w14:paraId="54663DD6">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w:t>
            </w:r>
          </w:p>
        </w:tc>
      </w:tr>
      <w:tr w14:paraId="38CF9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87700A">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p>
        </w:tc>
        <w:tc>
          <w:tcPr>
            <w:tcW w:w="1573" w:type="dxa"/>
            <w:tcBorders>
              <w:top w:val="single" w:color="auto" w:sz="4" w:space="0"/>
              <w:left w:val="single" w:color="auto" w:sz="4" w:space="0"/>
              <w:bottom w:val="single" w:color="auto" w:sz="4" w:space="0"/>
              <w:right w:val="single" w:color="auto" w:sz="4" w:space="0"/>
            </w:tcBorders>
            <w:shd w:val="clear" w:color="auto" w:fill="auto"/>
            <w:noWrap w:val="0"/>
            <w:vAlign w:val="bottom"/>
          </w:tcPr>
          <w:p w14:paraId="51FC7CF5">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非接触式聚焦超声样本处理系统</w:t>
            </w:r>
          </w:p>
        </w:tc>
        <w:tc>
          <w:tcPr>
            <w:tcW w:w="10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6AF27A">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ME220</w:t>
            </w:r>
          </w:p>
        </w:tc>
        <w:tc>
          <w:tcPr>
            <w:tcW w:w="16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DFAD3D">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Covaris Inc</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A0959E">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美国</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708A31">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套</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1578F39D">
            <w:pPr>
              <w:widowControl/>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p>
        </w:tc>
        <w:tc>
          <w:tcPr>
            <w:tcW w:w="14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01F7928">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847000</w:t>
            </w:r>
          </w:p>
        </w:tc>
        <w:tc>
          <w:tcPr>
            <w:tcW w:w="14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A0339D">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847000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2FC43FDB">
            <w:pPr>
              <w:ind w:right="-107" w:rightChars="-51"/>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0359D8B3">
            <w:pPr>
              <w:ind w:right="-107" w:rightChars="-51"/>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已含</w:t>
            </w:r>
          </w:p>
        </w:tc>
        <w:tc>
          <w:tcPr>
            <w:tcW w:w="691" w:type="dxa"/>
            <w:tcBorders>
              <w:top w:val="single" w:color="auto" w:sz="4" w:space="0"/>
              <w:left w:val="single" w:color="auto" w:sz="4" w:space="0"/>
              <w:bottom w:val="single" w:color="auto" w:sz="4" w:space="0"/>
              <w:right w:val="single" w:color="auto" w:sz="4" w:space="0"/>
            </w:tcBorders>
            <w:noWrap w:val="0"/>
            <w:vAlign w:val="center"/>
          </w:tcPr>
          <w:p w14:paraId="11C5D0D5">
            <w:pPr>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免税</w:t>
            </w:r>
          </w:p>
        </w:tc>
        <w:tc>
          <w:tcPr>
            <w:tcW w:w="1314" w:type="dxa"/>
            <w:vMerge w:val="restart"/>
            <w:tcBorders>
              <w:top w:val="single" w:color="auto" w:sz="4" w:space="0"/>
              <w:left w:val="single" w:color="auto" w:sz="4" w:space="0"/>
              <w:right w:val="single" w:color="auto" w:sz="4" w:space="0"/>
            </w:tcBorders>
            <w:noWrap w:val="0"/>
            <w:vAlign w:val="center"/>
          </w:tcPr>
          <w:p w14:paraId="279ED213">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合同生效后国产货物30日，进口货物90日内完成供货、安装调试、验收合格</w:t>
            </w:r>
          </w:p>
        </w:tc>
        <w:tc>
          <w:tcPr>
            <w:tcW w:w="1241" w:type="dxa"/>
            <w:vMerge w:val="restart"/>
            <w:tcBorders>
              <w:top w:val="single" w:color="auto" w:sz="4" w:space="0"/>
              <w:left w:val="single" w:color="auto" w:sz="4" w:space="0"/>
              <w:right w:val="single" w:color="auto" w:sz="4" w:space="0"/>
            </w:tcBorders>
            <w:noWrap w:val="0"/>
            <w:vAlign w:val="center"/>
          </w:tcPr>
          <w:p w14:paraId="1434AB7C">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郑东新区河南中医药大学</w:t>
            </w:r>
          </w:p>
        </w:tc>
        <w:tc>
          <w:tcPr>
            <w:tcW w:w="606" w:type="dxa"/>
            <w:vMerge w:val="restart"/>
            <w:tcBorders>
              <w:top w:val="single" w:color="auto" w:sz="4" w:space="0"/>
              <w:left w:val="single" w:color="auto" w:sz="4" w:space="0"/>
              <w:right w:val="single" w:color="auto" w:sz="4" w:space="0"/>
            </w:tcBorders>
            <w:noWrap w:val="0"/>
            <w:vAlign w:val="top"/>
          </w:tcPr>
          <w:p w14:paraId="19307A0D">
            <w:pPr>
              <w:jc w:val="center"/>
              <w:rPr>
                <w:rFonts w:hint="eastAsia" w:ascii="宋体" w:hAnsi="宋体" w:eastAsia="宋体" w:cs="宋体"/>
                <w:color w:val="auto"/>
                <w:szCs w:val="21"/>
                <w:highlight w:val="none"/>
                <w:lang w:val="en-US" w:eastAsia="zh-CN"/>
              </w:rPr>
            </w:pPr>
          </w:p>
          <w:p w14:paraId="16DAA235">
            <w:pPr>
              <w:jc w:val="center"/>
              <w:rPr>
                <w:rFonts w:hint="eastAsia" w:ascii="宋体" w:hAnsi="宋体" w:eastAsia="宋体" w:cs="宋体"/>
                <w:color w:val="auto"/>
                <w:szCs w:val="21"/>
                <w:highlight w:val="none"/>
                <w:lang w:val="en-US" w:eastAsia="zh-CN"/>
              </w:rPr>
            </w:pPr>
          </w:p>
          <w:p w14:paraId="354F2E54">
            <w:pPr>
              <w:jc w:val="center"/>
              <w:rPr>
                <w:rFonts w:hint="eastAsia" w:ascii="宋体" w:hAnsi="宋体" w:eastAsia="宋体" w:cs="宋体"/>
                <w:color w:val="auto"/>
                <w:szCs w:val="21"/>
                <w:highlight w:val="none"/>
                <w:lang w:val="en-US" w:eastAsia="zh-CN"/>
              </w:rPr>
            </w:pPr>
          </w:p>
          <w:p w14:paraId="7F296487">
            <w:pPr>
              <w:jc w:val="center"/>
              <w:rPr>
                <w:rFonts w:hint="eastAsia" w:ascii="宋体" w:hAnsi="宋体" w:eastAsia="宋体" w:cs="宋体"/>
                <w:color w:val="auto"/>
                <w:szCs w:val="21"/>
                <w:highlight w:val="none"/>
                <w:lang w:val="en-US" w:eastAsia="zh-CN"/>
              </w:rPr>
            </w:pPr>
          </w:p>
          <w:p w14:paraId="5640AC97">
            <w:pPr>
              <w:jc w:val="center"/>
              <w:rPr>
                <w:rFonts w:hint="eastAsia" w:ascii="宋体" w:hAnsi="宋体" w:eastAsia="宋体" w:cs="宋体"/>
                <w:color w:val="auto"/>
                <w:szCs w:val="21"/>
                <w:highlight w:val="none"/>
                <w:lang w:val="en-US" w:eastAsia="zh-CN"/>
              </w:rPr>
            </w:pPr>
          </w:p>
          <w:p w14:paraId="7EC74851">
            <w:pPr>
              <w:jc w:val="center"/>
              <w:rPr>
                <w:rFonts w:hint="eastAsia" w:ascii="宋体" w:hAnsi="宋体" w:eastAsia="宋体" w:cs="宋体"/>
                <w:color w:val="auto"/>
                <w:szCs w:val="21"/>
                <w:highlight w:val="none"/>
                <w:lang w:val="en-US" w:eastAsia="zh-CN"/>
              </w:rPr>
            </w:pPr>
          </w:p>
          <w:p w14:paraId="494946BF">
            <w:pPr>
              <w:jc w:val="center"/>
              <w:rPr>
                <w:rFonts w:hint="eastAsia" w:ascii="宋体" w:hAnsi="宋体" w:eastAsia="宋体" w:cs="宋体"/>
                <w:color w:val="auto"/>
                <w:szCs w:val="21"/>
                <w:highlight w:val="none"/>
                <w:lang w:val="en-US" w:eastAsia="zh-CN"/>
              </w:rPr>
            </w:pPr>
          </w:p>
          <w:p w14:paraId="66519580">
            <w:pPr>
              <w:jc w:val="center"/>
              <w:rPr>
                <w:rFonts w:hint="eastAsia" w:ascii="宋体" w:hAnsi="宋体" w:eastAsia="宋体" w:cs="宋体"/>
                <w:color w:val="auto"/>
                <w:szCs w:val="21"/>
                <w:highlight w:val="none"/>
                <w:lang w:val="en-US" w:eastAsia="zh-CN"/>
              </w:rPr>
            </w:pPr>
          </w:p>
          <w:p w14:paraId="3CA1B79A">
            <w:pPr>
              <w:jc w:val="center"/>
              <w:rPr>
                <w:rFonts w:hint="eastAsia" w:ascii="宋体" w:hAnsi="宋体" w:eastAsia="宋体" w:cs="宋体"/>
                <w:color w:val="auto"/>
                <w:szCs w:val="21"/>
                <w:highlight w:val="none"/>
                <w:lang w:val="en-US" w:eastAsia="zh-CN"/>
              </w:rPr>
            </w:pPr>
          </w:p>
          <w:p w14:paraId="1B454576">
            <w:pPr>
              <w:jc w:val="center"/>
              <w:rPr>
                <w:rFonts w:hint="eastAsia" w:ascii="宋体" w:hAnsi="宋体" w:eastAsia="宋体" w:cs="宋体"/>
                <w:color w:val="auto"/>
                <w:szCs w:val="21"/>
                <w:highlight w:val="none"/>
                <w:lang w:val="en-US" w:eastAsia="zh-CN"/>
              </w:rPr>
            </w:pPr>
          </w:p>
          <w:p w14:paraId="4B9A6603">
            <w:pPr>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无</w:t>
            </w:r>
          </w:p>
        </w:tc>
      </w:tr>
      <w:tr w14:paraId="0D421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878F64">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w:t>
            </w:r>
          </w:p>
        </w:tc>
        <w:tc>
          <w:tcPr>
            <w:tcW w:w="1573" w:type="dxa"/>
            <w:tcBorders>
              <w:top w:val="single" w:color="auto" w:sz="4" w:space="0"/>
              <w:left w:val="single" w:color="auto" w:sz="4" w:space="0"/>
              <w:bottom w:val="single" w:color="auto" w:sz="4" w:space="0"/>
              <w:right w:val="single" w:color="auto" w:sz="4" w:space="0"/>
            </w:tcBorders>
            <w:shd w:val="clear" w:color="auto" w:fill="auto"/>
            <w:noWrap w:val="0"/>
            <w:vAlign w:val="bottom"/>
          </w:tcPr>
          <w:p w14:paraId="4C0A93F6">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全自动活细胞成像仪</w:t>
            </w:r>
          </w:p>
        </w:tc>
        <w:tc>
          <w:tcPr>
            <w:tcW w:w="10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9DC7ED">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CELLImage MINI</w:t>
            </w:r>
          </w:p>
        </w:tc>
        <w:tc>
          <w:tcPr>
            <w:tcW w:w="16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BB5CB1">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重庆联庆瑞奇科技有限公司</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663E90">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94417F7">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套</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0B809D4C">
            <w:pPr>
              <w:widowControl/>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p>
        </w:tc>
        <w:tc>
          <w:tcPr>
            <w:tcW w:w="14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269C71">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430000</w:t>
            </w:r>
          </w:p>
        </w:tc>
        <w:tc>
          <w:tcPr>
            <w:tcW w:w="14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3E8397F">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430000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1CB454E0">
            <w:pPr>
              <w:ind w:right="-107" w:rightChars="-51"/>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596CA9D0">
            <w:pPr>
              <w:ind w:right="-107" w:rightChars="-51"/>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已含</w:t>
            </w:r>
          </w:p>
        </w:tc>
        <w:tc>
          <w:tcPr>
            <w:tcW w:w="691" w:type="dxa"/>
            <w:tcBorders>
              <w:top w:val="single" w:color="auto" w:sz="4" w:space="0"/>
              <w:left w:val="single" w:color="auto" w:sz="4" w:space="0"/>
              <w:bottom w:val="single" w:color="auto" w:sz="4" w:space="0"/>
              <w:right w:val="single" w:color="auto" w:sz="4" w:space="0"/>
            </w:tcBorders>
            <w:noWrap w:val="0"/>
            <w:vAlign w:val="center"/>
          </w:tcPr>
          <w:p w14:paraId="29921B9C">
            <w:pPr>
              <w:jc w:val="center"/>
              <w:rPr>
                <w:rFonts w:hint="eastAsia" w:ascii="宋体" w:hAnsi="宋体" w:eastAsia="宋体" w:cs="宋体"/>
                <w:color w:val="auto"/>
                <w:szCs w:val="21"/>
                <w:highlight w:val="none"/>
                <w:lang w:val="en-US" w:eastAsia="zh-CN"/>
              </w:rPr>
            </w:pPr>
            <w:r>
              <w:rPr>
                <w:rFonts w:hint="eastAsia" w:ascii="宋体" w:hAnsi="宋体" w:eastAsia="宋体" w:cs="宋体"/>
                <w:bCs/>
                <w:color w:val="auto"/>
                <w:szCs w:val="21"/>
                <w:highlight w:val="none"/>
                <w:lang w:val="en-US" w:eastAsia="zh-CN"/>
              </w:rPr>
              <w:t>含税</w:t>
            </w:r>
          </w:p>
        </w:tc>
        <w:tc>
          <w:tcPr>
            <w:tcW w:w="1314" w:type="dxa"/>
            <w:vMerge w:val="continue"/>
            <w:tcBorders>
              <w:left w:val="single" w:color="auto" w:sz="4" w:space="0"/>
              <w:right w:val="single" w:color="auto" w:sz="4" w:space="0"/>
            </w:tcBorders>
            <w:noWrap w:val="0"/>
            <w:vAlign w:val="center"/>
          </w:tcPr>
          <w:p w14:paraId="4705BF84">
            <w:pPr>
              <w:jc w:val="center"/>
              <w:rPr>
                <w:rFonts w:hint="eastAsia" w:ascii="宋体" w:hAnsi="宋体" w:eastAsia="宋体" w:cs="宋体"/>
                <w:color w:val="auto"/>
                <w:szCs w:val="21"/>
                <w:highlight w:val="none"/>
              </w:rPr>
            </w:pPr>
          </w:p>
        </w:tc>
        <w:tc>
          <w:tcPr>
            <w:tcW w:w="1241" w:type="dxa"/>
            <w:vMerge w:val="continue"/>
            <w:tcBorders>
              <w:left w:val="single" w:color="auto" w:sz="4" w:space="0"/>
              <w:right w:val="single" w:color="auto" w:sz="4" w:space="0"/>
            </w:tcBorders>
            <w:noWrap w:val="0"/>
            <w:vAlign w:val="top"/>
          </w:tcPr>
          <w:p w14:paraId="7A52926E">
            <w:pPr>
              <w:rPr>
                <w:rFonts w:hint="eastAsia" w:ascii="宋体" w:hAnsi="宋体" w:eastAsia="宋体" w:cs="宋体"/>
                <w:color w:val="auto"/>
                <w:szCs w:val="21"/>
                <w:highlight w:val="none"/>
              </w:rPr>
            </w:pPr>
          </w:p>
        </w:tc>
        <w:tc>
          <w:tcPr>
            <w:tcW w:w="606" w:type="dxa"/>
            <w:vMerge w:val="continue"/>
            <w:tcBorders>
              <w:left w:val="single" w:color="auto" w:sz="4" w:space="0"/>
              <w:right w:val="single" w:color="auto" w:sz="4" w:space="0"/>
            </w:tcBorders>
            <w:noWrap w:val="0"/>
            <w:vAlign w:val="top"/>
          </w:tcPr>
          <w:p w14:paraId="586691E6">
            <w:pPr>
              <w:jc w:val="center"/>
              <w:rPr>
                <w:rFonts w:hint="eastAsia" w:ascii="宋体" w:hAnsi="宋体" w:eastAsia="宋体" w:cs="宋体"/>
                <w:color w:val="auto"/>
                <w:szCs w:val="21"/>
                <w:highlight w:val="none"/>
              </w:rPr>
            </w:pPr>
          </w:p>
        </w:tc>
      </w:tr>
      <w:tr w14:paraId="455B9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D154E4E">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w:t>
            </w:r>
          </w:p>
        </w:tc>
        <w:tc>
          <w:tcPr>
            <w:tcW w:w="1573" w:type="dxa"/>
            <w:tcBorders>
              <w:top w:val="single" w:color="auto" w:sz="4" w:space="0"/>
              <w:left w:val="single" w:color="auto" w:sz="4" w:space="0"/>
              <w:bottom w:val="single" w:color="auto" w:sz="4" w:space="0"/>
              <w:right w:val="single" w:color="auto" w:sz="4" w:space="0"/>
            </w:tcBorders>
            <w:shd w:val="clear" w:color="auto" w:fill="auto"/>
            <w:noWrap w:val="0"/>
            <w:vAlign w:val="bottom"/>
          </w:tcPr>
          <w:p w14:paraId="1718CF0D">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高速台式离心机</w:t>
            </w:r>
          </w:p>
        </w:tc>
        <w:tc>
          <w:tcPr>
            <w:tcW w:w="10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389421">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Microfuge 20R</w:t>
            </w:r>
          </w:p>
        </w:tc>
        <w:tc>
          <w:tcPr>
            <w:tcW w:w="16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D2E9E7">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贝克曼库尔特生物科技(苏州)有限公司</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F66A730">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58E53B">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台</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50CC3982">
            <w:pPr>
              <w:widowControl/>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p>
        </w:tc>
        <w:tc>
          <w:tcPr>
            <w:tcW w:w="14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4FDFA2">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54600</w:t>
            </w:r>
          </w:p>
        </w:tc>
        <w:tc>
          <w:tcPr>
            <w:tcW w:w="14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1B7B7E">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54600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04ABF4EC">
            <w:pPr>
              <w:ind w:right="-107" w:rightChars="-51"/>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2333DC69">
            <w:pPr>
              <w:ind w:right="-107" w:rightChars="-51"/>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已含</w:t>
            </w:r>
          </w:p>
        </w:tc>
        <w:tc>
          <w:tcPr>
            <w:tcW w:w="6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0584BE6">
            <w:pPr>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Cs w:val="21"/>
                <w:highlight w:val="none"/>
                <w:lang w:val="en-US" w:eastAsia="zh-CN"/>
              </w:rPr>
              <w:t>免税</w:t>
            </w:r>
          </w:p>
        </w:tc>
        <w:tc>
          <w:tcPr>
            <w:tcW w:w="1314" w:type="dxa"/>
            <w:vMerge w:val="continue"/>
            <w:tcBorders>
              <w:left w:val="single" w:color="auto" w:sz="4" w:space="0"/>
              <w:right w:val="single" w:color="auto" w:sz="4" w:space="0"/>
            </w:tcBorders>
            <w:noWrap w:val="0"/>
            <w:vAlign w:val="center"/>
          </w:tcPr>
          <w:p w14:paraId="41135110">
            <w:pPr>
              <w:jc w:val="center"/>
              <w:rPr>
                <w:rFonts w:hint="eastAsia" w:ascii="宋体" w:hAnsi="宋体" w:eastAsia="宋体" w:cs="宋体"/>
                <w:color w:val="auto"/>
                <w:szCs w:val="21"/>
                <w:highlight w:val="none"/>
              </w:rPr>
            </w:pPr>
          </w:p>
        </w:tc>
        <w:tc>
          <w:tcPr>
            <w:tcW w:w="1241" w:type="dxa"/>
            <w:vMerge w:val="continue"/>
            <w:tcBorders>
              <w:left w:val="single" w:color="auto" w:sz="4" w:space="0"/>
              <w:right w:val="single" w:color="auto" w:sz="4" w:space="0"/>
            </w:tcBorders>
            <w:noWrap w:val="0"/>
            <w:vAlign w:val="top"/>
          </w:tcPr>
          <w:p w14:paraId="09300E1B">
            <w:pPr>
              <w:rPr>
                <w:rFonts w:hint="eastAsia" w:ascii="宋体" w:hAnsi="宋体" w:eastAsia="宋体" w:cs="宋体"/>
                <w:color w:val="auto"/>
                <w:szCs w:val="21"/>
                <w:highlight w:val="none"/>
              </w:rPr>
            </w:pPr>
          </w:p>
        </w:tc>
        <w:tc>
          <w:tcPr>
            <w:tcW w:w="606" w:type="dxa"/>
            <w:vMerge w:val="continue"/>
            <w:tcBorders>
              <w:left w:val="single" w:color="auto" w:sz="4" w:space="0"/>
              <w:right w:val="single" w:color="auto" w:sz="4" w:space="0"/>
            </w:tcBorders>
            <w:noWrap w:val="0"/>
            <w:vAlign w:val="top"/>
          </w:tcPr>
          <w:p w14:paraId="6F4F953B">
            <w:pPr>
              <w:jc w:val="center"/>
              <w:rPr>
                <w:rFonts w:hint="eastAsia" w:ascii="宋体" w:hAnsi="宋体" w:eastAsia="宋体" w:cs="宋体"/>
                <w:color w:val="auto"/>
                <w:szCs w:val="21"/>
                <w:highlight w:val="none"/>
              </w:rPr>
            </w:pPr>
          </w:p>
        </w:tc>
      </w:tr>
      <w:tr w14:paraId="27EC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A3EA9D0">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w:t>
            </w:r>
          </w:p>
        </w:tc>
        <w:tc>
          <w:tcPr>
            <w:tcW w:w="1573" w:type="dxa"/>
            <w:tcBorders>
              <w:top w:val="single" w:color="auto" w:sz="4" w:space="0"/>
              <w:left w:val="single" w:color="auto" w:sz="4" w:space="0"/>
              <w:bottom w:val="single" w:color="auto" w:sz="4" w:space="0"/>
              <w:right w:val="single" w:color="auto" w:sz="4" w:space="0"/>
            </w:tcBorders>
            <w:shd w:val="clear" w:color="auto" w:fill="auto"/>
            <w:noWrap w:val="0"/>
            <w:vAlign w:val="bottom"/>
          </w:tcPr>
          <w:p w14:paraId="734C2E90">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行为分析系统</w:t>
            </w:r>
          </w:p>
        </w:tc>
        <w:tc>
          <w:tcPr>
            <w:tcW w:w="10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0F62D5">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FishTrack</w:t>
            </w:r>
          </w:p>
        </w:tc>
        <w:tc>
          <w:tcPr>
            <w:tcW w:w="16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381A979">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上海费曦生物科技有限公司</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B7AB88">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63C0B8">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套</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4463C896">
            <w:pPr>
              <w:widowControl/>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p>
        </w:tc>
        <w:tc>
          <w:tcPr>
            <w:tcW w:w="14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BA1023">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138000</w:t>
            </w:r>
          </w:p>
        </w:tc>
        <w:tc>
          <w:tcPr>
            <w:tcW w:w="14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06710E6">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138000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6EB9C36B">
            <w:pPr>
              <w:ind w:right="-107" w:rightChars="-51"/>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232B31AE">
            <w:pPr>
              <w:ind w:right="-107" w:rightChars="-51"/>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已含</w:t>
            </w:r>
          </w:p>
        </w:tc>
        <w:tc>
          <w:tcPr>
            <w:tcW w:w="691" w:type="dxa"/>
            <w:tcBorders>
              <w:top w:val="single" w:color="auto" w:sz="4" w:space="0"/>
              <w:left w:val="single" w:color="auto" w:sz="4" w:space="0"/>
              <w:bottom w:val="single" w:color="auto" w:sz="4" w:space="0"/>
              <w:right w:val="single" w:color="auto" w:sz="4" w:space="0"/>
            </w:tcBorders>
            <w:noWrap w:val="0"/>
            <w:vAlign w:val="center"/>
          </w:tcPr>
          <w:p w14:paraId="4764BE44">
            <w:pPr>
              <w:jc w:val="center"/>
              <w:rPr>
                <w:rFonts w:hint="eastAsia" w:ascii="宋体" w:hAnsi="宋体" w:eastAsia="宋体" w:cs="宋体"/>
                <w:color w:val="auto"/>
                <w:szCs w:val="21"/>
                <w:highlight w:val="none"/>
              </w:rPr>
            </w:pPr>
            <w:r>
              <w:rPr>
                <w:rFonts w:hint="eastAsia" w:ascii="宋体" w:hAnsi="宋体" w:eastAsia="宋体" w:cs="宋体"/>
                <w:bCs/>
                <w:color w:val="auto"/>
                <w:szCs w:val="21"/>
                <w:highlight w:val="none"/>
                <w:lang w:val="en-US" w:eastAsia="zh-CN"/>
              </w:rPr>
              <w:t>含税</w:t>
            </w:r>
          </w:p>
        </w:tc>
        <w:tc>
          <w:tcPr>
            <w:tcW w:w="1314" w:type="dxa"/>
            <w:vMerge w:val="continue"/>
            <w:tcBorders>
              <w:left w:val="single" w:color="auto" w:sz="4" w:space="0"/>
              <w:right w:val="single" w:color="auto" w:sz="4" w:space="0"/>
            </w:tcBorders>
            <w:noWrap w:val="0"/>
            <w:vAlign w:val="center"/>
          </w:tcPr>
          <w:p w14:paraId="380CD4E8">
            <w:pPr>
              <w:jc w:val="center"/>
              <w:rPr>
                <w:rFonts w:hint="eastAsia" w:ascii="宋体" w:hAnsi="宋体" w:eastAsia="宋体" w:cs="宋体"/>
                <w:color w:val="auto"/>
                <w:szCs w:val="21"/>
                <w:highlight w:val="none"/>
              </w:rPr>
            </w:pPr>
          </w:p>
        </w:tc>
        <w:tc>
          <w:tcPr>
            <w:tcW w:w="1241" w:type="dxa"/>
            <w:vMerge w:val="continue"/>
            <w:tcBorders>
              <w:left w:val="single" w:color="auto" w:sz="4" w:space="0"/>
              <w:right w:val="single" w:color="auto" w:sz="4" w:space="0"/>
            </w:tcBorders>
            <w:noWrap w:val="0"/>
            <w:vAlign w:val="top"/>
          </w:tcPr>
          <w:p w14:paraId="14F61631">
            <w:pPr>
              <w:rPr>
                <w:rFonts w:hint="eastAsia" w:ascii="宋体" w:hAnsi="宋体" w:eastAsia="宋体" w:cs="宋体"/>
                <w:color w:val="auto"/>
                <w:szCs w:val="21"/>
                <w:highlight w:val="none"/>
              </w:rPr>
            </w:pPr>
          </w:p>
        </w:tc>
        <w:tc>
          <w:tcPr>
            <w:tcW w:w="606" w:type="dxa"/>
            <w:vMerge w:val="continue"/>
            <w:tcBorders>
              <w:left w:val="single" w:color="auto" w:sz="4" w:space="0"/>
              <w:right w:val="single" w:color="auto" w:sz="4" w:space="0"/>
            </w:tcBorders>
            <w:noWrap w:val="0"/>
            <w:vAlign w:val="top"/>
          </w:tcPr>
          <w:p w14:paraId="67F0DDFE">
            <w:pPr>
              <w:jc w:val="center"/>
              <w:rPr>
                <w:rFonts w:hint="eastAsia" w:ascii="宋体" w:hAnsi="宋体" w:eastAsia="宋体" w:cs="宋体"/>
                <w:color w:val="auto"/>
                <w:szCs w:val="21"/>
                <w:highlight w:val="none"/>
              </w:rPr>
            </w:pPr>
          </w:p>
        </w:tc>
      </w:tr>
      <w:tr w14:paraId="57F32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9EDC81">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w:t>
            </w:r>
          </w:p>
        </w:tc>
        <w:tc>
          <w:tcPr>
            <w:tcW w:w="1573" w:type="dxa"/>
            <w:tcBorders>
              <w:top w:val="single" w:color="auto" w:sz="4" w:space="0"/>
              <w:left w:val="single" w:color="auto" w:sz="4" w:space="0"/>
              <w:bottom w:val="single" w:color="auto" w:sz="4" w:space="0"/>
              <w:right w:val="single" w:color="auto" w:sz="4" w:space="0"/>
            </w:tcBorders>
            <w:shd w:val="clear" w:color="auto" w:fill="auto"/>
            <w:noWrap w:val="0"/>
            <w:vAlign w:val="bottom"/>
          </w:tcPr>
          <w:p w14:paraId="329D7E03">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多通道光催化反应系统</w:t>
            </w:r>
          </w:p>
        </w:tc>
        <w:tc>
          <w:tcPr>
            <w:tcW w:w="10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71D008">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PCX50C</w:t>
            </w:r>
          </w:p>
        </w:tc>
        <w:tc>
          <w:tcPr>
            <w:tcW w:w="16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24C696">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北京泊菲莱科技有限公司</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676EDB">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7E517C">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套</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73E6DE62">
            <w:pPr>
              <w:widowControl/>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p>
        </w:tc>
        <w:tc>
          <w:tcPr>
            <w:tcW w:w="14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034139">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85000</w:t>
            </w:r>
          </w:p>
        </w:tc>
        <w:tc>
          <w:tcPr>
            <w:tcW w:w="14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650D38">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85000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1F021E6B">
            <w:pPr>
              <w:ind w:right="-107" w:rightChars="-51"/>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2AAC7C2C">
            <w:pPr>
              <w:ind w:right="-107" w:rightChars="-51"/>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已含</w:t>
            </w:r>
          </w:p>
        </w:tc>
        <w:tc>
          <w:tcPr>
            <w:tcW w:w="691" w:type="dxa"/>
            <w:tcBorders>
              <w:top w:val="single" w:color="auto" w:sz="4" w:space="0"/>
              <w:left w:val="single" w:color="auto" w:sz="4" w:space="0"/>
              <w:bottom w:val="single" w:color="auto" w:sz="4" w:space="0"/>
              <w:right w:val="single" w:color="auto" w:sz="4" w:space="0"/>
            </w:tcBorders>
            <w:noWrap w:val="0"/>
            <w:vAlign w:val="center"/>
          </w:tcPr>
          <w:p w14:paraId="7AEEA0DF">
            <w:pPr>
              <w:jc w:val="center"/>
              <w:rPr>
                <w:rFonts w:hint="eastAsia" w:ascii="宋体" w:hAnsi="宋体" w:eastAsia="宋体" w:cs="宋体"/>
                <w:color w:val="auto"/>
                <w:szCs w:val="21"/>
                <w:highlight w:val="none"/>
              </w:rPr>
            </w:pPr>
            <w:r>
              <w:rPr>
                <w:rFonts w:hint="eastAsia" w:ascii="宋体" w:hAnsi="宋体" w:eastAsia="宋体" w:cs="宋体"/>
                <w:bCs/>
                <w:color w:val="auto"/>
                <w:szCs w:val="21"/>
                <w:highlight w:val="none"/>
                <w:lang w:val="en-US" w:eastAsia="zh-CN"/>
              </w:rPr>
              <w:t>含税</w:t>
            </w:r>
          </w:p>
        </w:tc>
        <w:tc>
          <w:tcPr>
            <w:tcW w:w="1314" w:type="dxa"/>
            <w:vMerge w:val="continue"/>
            <w:tcBorders>
              <w:left w:val="single" w:color="auto" w:sz="4" w:space="0"/>
              <w:right w:val="single" w:color="auto" w:sz="4" w:space="0"/>
            </w:tcBorders>
            <w:noWrap w:val="0"/>
            <w:vAlign w:val="center"/>
          </w:tcPr>
          <w:p w14:paraId="3A97C505">
            <w:pPr>
              <w:jc w:val="center"/>
              <w:rPr>
                <w:rFonts w:hint="eastAsia" w:ascii="宋体" w:hAnsi="宋体" w:eastAsia="宋体" w:cs="宋体"/>
                <w:color w:val="auto"/>
                <w:szCs w:val="21"/>
                <w:highlight w:val="none"/>
              </w:rPr>
            </w:pPr>
          </w:p>
        </w:tc>
        <w:tc>
          <w:tcPr>
            <w:tcW w:w="1241" w:type="dxa"/>
            <w:vMerge w:val="continue"/>
            <w:tcBorders>
              <w:left w:val="single" w:color="auto" w:sz="4" w:space="0"/>
              <w:right w:val="single" w:color="auto" w:sz="4" w:space="0"/>
            </w:tcBorders>
            <w:noWrap w:val="0"/>
            <w:vAlign w:val="top"/>
          </w:tcPr>
          <w:p w14:paraId="4CED6E84">
            <w:pPr>
              <w:rPr>
                <w:rFonts w:hint="eastAsia" w:ascii="宋体" w:hAnsi="宋体" w:eastAsia="宋体" w:cs="宋体"/>
                <w:color w:val="auto"/>
                <w:szCs w:val="21"/>
                <w:highlight w:val="none"/>
              </w:rPr>
            </w:pPr>
          </w:p>
        </w:tc>
        <w:tc>
          <w:tcPr>
            <w:tcW w:w="606" w:type="dxa"/>
            <w:vMerge w:val="continue"/>
            <w:tcBorders>
              <w:left w:val="single" w:color="auto" w:sz="4" w:space="0"/>
              <w:right w:val="single" w:color="auto" w:sz="4" w:space="0"/>
            </w:tcBorders>
            <w:noWrap w:val="0"/>
            <w:vAlign w:val="top"/>
          </w:tcPr>
          <w:p w14:paraId="47465371">
            <w:pPr>
              <w:jc w:val="center"/>
              <w:rPr>
                <w:rFonts w:hint="eastAsia" w:ascii="宋体" w:hAnsi="宋体" w:eastAsia="宋体" w:cs="宋体"/>
                <w:color w:val="auto"/>
                <w:szCs w:val="21"/>
                <w:highlight w:val="none"/>
              </w:rPr>
            </w:pPr>
          </w:p>
        </w:tc>
      </w:tr>
      <w:tr w14:paraId="2927A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DB7ED9">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w:t>
            </w:r>
          </w:p>
        </w:tc>
        <w:tc>
          <w:tcPr>
            <w:tcW w:w="1573" w:type="dxa"/>
            <w:tcBorders>
              <w:top w:val="single" w:color="auto" w:sz="4" w:space="0"/>
              <w:left w:val="single" w:color="auto" w:sz="4" w:space="0"/>
              <w:bottom w:val="single" w:color="auto" w:sz="4" w:space="0"/>
              <w:right w:val="single" w:color="auto" w:sz="4" w:space="0"/>
            </w:tcBorders>
            <w:shd w:val="clear" w:color="auto" w:fill="auto"/>
            <w:noWrap w:val="0"/>
            <w:vAlign w:val="bottom"/>
          </w:tcPr>
          <w:p w14:paraId="19A36597">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倒置荧光显微镜</w:t>
            </w:r>
          </w:p>
        </w:tc>
        <w:tc>
          <w:tcPr>
            <w:tcW w:w="10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8CE388">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ICX41</w:t>
            </w:r>
          </w:p>
        </w:tc>
        <w:tc>
          <w:tcPr>
            <w:tcW w:w="16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515BFF">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宁波舜宇仪器有限公司</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04B3923">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286FD0">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套</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4E9F468B">
            <w:pPr>
              <w:widowControl/>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p>
        </w:tc>
        <w:tc>
          <w:tcPr>
            <w:tcW w:w="14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00BE82">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99000</w:t>
            </w:r>
          </w:p>
        </w:tc>
        <w:tc>
          <w:tcPr>
            <w:tcW w:w="14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EC2B8E">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99000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7911E4B0">
            <w:pPr>
              <w:ind w:right="-107" w:rightChars="-51"/>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2A368BD7">
            <w:pPr>
              <w:ind w:right="-107" w:rightChars="-51"/>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已含</w:t>
            </w:r>
          </w:p>
        </w:tc>
        <w:tc>
          <w:tcPr>
            <w:tcW w:w="691" w:type="dxa"/>
            <w:tcBorders>
              <w:top w:val="single" w:color="auto" w:sz="4" w:space="0"/>
              <w:left w:val="single" w:color="auto" w:sz="4" w:space="0"/>
              <w:bottom w:val="single" w:color="auto" w:sz="4" w:space="0"/>
              <w:right w:val="single" w:color="auto" w:sz="4" w:space="0"/>
            </w:tcBorders>
            <w:noWrap w:val="0"/>
            <w:vAlign w:val="center"/>
          </w:tcPr>
          <w:p w14:paraId="7D648C09">
            <w:pPr>
              <w:jc w:val="center"/>
              <w:rPr>
                <w:rFonts w:hint="eastAsia" w:ascii="宋体" w:hAnsi="宋体" w:eastAsia="宋体" w:cs="宋体"/>
                <w:b/>
                <w:color w:val="auto"/>
                <w:szCs w:val="21"/>
                <w:highlight w:val="none"/>
              </w:rPr>
            </w:pPr>
            <w:r>
              <w:rPr>
                <w:rFonts w:hint="eastAsia" w:ascii="宋体" w:hAnsi="宋体" w:eastAsia="宋体" w:cs="宋体"/>
                <w:bCs/>
                <w:color w:val="auto"/>
                <w:szCs w:val="21"/>
                <w:highlight w:val="none"/>
                <w:lang w:val="en-US" w:eastAsia="zh-CN"/>
              </w:rPr>
              <w:t>含税</w:t>
            </w:r>
          </w:p>
        </w:tc>
        <w:tc>
          <w:tcPr>
            <w:tcW w:w="1314" w:type="dxa"/>
            <w:vMerge w:val="continue"/>
            <w:tcBorders>
              <w:left w:val="single" w:color="auto" w:sz="4" w:space="0"/>
              <w:right w:val="single" w:color="auto" w:sz="4" w:space="0"/>
            </w:tcBorders>
            <w:noWrap w:val="0"/>
            <w:vAlign w:val="center"/>
          </w:tcPr>
          <w:p w14:paraId="2105A542">
            <w:pPr>
              <w:jc w:val="center"/>
              <w:rPr>
                <w:rFonts w:hint="eastAsia" w:ascii="宋体" w:hAnsi="宋体" w:eastAsia="宋体" w:cs="宋体"/>
                <w:color w:val="auto"/>
                <w:szCs w:val="21"/>
                <w:highlight w:val="none"/>
              </w:rPr>
            </w:pPr>
          </w:p>
        </w:tc>
        <w:tc>
          <w:tcPr>
            <w:tcW w:w="1241" w:type="dxa"/>
            <w:vMerge w:val="continue"/>
            <w:tcBorders>
              <w:left w:val="single" w:color="auto" w:sz="4" w:space="0"/>
              <w:right w:val="single" w:color="auto" w:sz="4" w:space="0"/>
            </w:tcBorders>
            <w:noWrap w:val="0"/>
            <w:vAlign w:val="top"/>
          </w:tcPr>
          <w:p w14:paraId="7C834B50">
            <w:pPr>
              <w:rPr>
                <w:rFonts w:hint="eastAsia" w:ascii="宋体" w:hAnsi="宋体" w:eastAsia="宋体" w:cs="宋体"/>
                <w:color w:val="auto"/>
                <w:szCs w:val="21"/>
                <w:highlight w:val="none"/>
              </w:rPr>
            </w:pPr>
          </w:p>
        </w:tc>
        <w:tc>
          <w:tcPr>
            <w:tcW w:w="606" w:type="dxa"/>
            <w:vMerge w:val="continue"/>
            <w:tcBorders>
              <w:left w:val="single" w:color="auto" w:sz="4" w:space="0"/>
              <w:right w:val="single" w:color="auto" w:sz="4" w:space="0"/>
            </w:tcBorders>
            <w:noWrap w:val="0"/>
            <w:vAlign w:val="top"/>
          </w:tcPr>
          <w:p w14:paraId="31B24944">
            <w:pPr>
              <w:jc w:val="center"/>
              <w:rPr>
                <w:rFonts w:hint="eastAsia" w:ascii="宋体" w:hAnsi="宋体" w:eastAsia="宋体" w:cs="宋体"/>
                <w:color w:val="auto"/>
                <w:szCs w:val="21"/>
                <w:highlight w:val="none"/>
              </w:rPr>
            </w:pPr>
          </w:p>
        </w:tc>
      </w:tr>
      <w:tr w14:paraId="45A6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A5D90F">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w:t>
            </w:r>
          </w:p>
        </w:tc>
        <w:tc>
          <w:tcPr>
            <w:tcW w:w="15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3092B26">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酶标仪</w:t>
            </w:r>
          </w:p>
        </w:tc>
        <w:tc>
          <w:tcPr>
            <w:tcW w:w="10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65AD48">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Multiskan FC</w:t>
            </w:r>
          </w:p>
        </w:tc>
        <w:tc>
          <w:tcPr>
            <w:tcW w:w="16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399FC5">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塞默飞世尔(上海)仪器有限公司</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07E52A3">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C70D1F">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台</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20F3039E">
            <w:pPr>
              <w:widowControl/>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p>
        </w:tc>
        <w:tc>
          <w:tcPr>
            <w:tcW w:w="14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FE0ABC">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31200</w:t>
            </w:r>
          </w:p>
        </w:tc>
        <w:tc>
          <w:tcPr>
            <w:tcW w:w="14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423808">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31200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5A7E3CAF">
            <w:pPr>
              <w:ind w:right="-107" w:rightChars="-51"/>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32D0906E">
            <w:pPr>
              <w:ind w:right="-107" w:rightChars="-51"/>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已含</w:t>
            </w:r>
          </w:p>
        </w:tc>
        <w:tc>
          <w:tcPr>
            <w:tcW w:w="691" w:type="dxa"/>
            <w:tcBorders>
              <w:top w:val="single" w:color="auto" w:sz="4" w:space="0"/>
              <w:left w:val="single" w:color="auto" w:sz="4" w:space="0"/>
              <w:bottom w:val="single" w:color="auto" w:sz="4" w:space="0"/>
              <w:right w:val="single" w:color="auto" w:sz="4" w:space="0"/>
            </w:tcBorders>
            <w:noWrap w:val="0"/>
            <w:vAlign w:val="center"/>
          </w:tcPr>
          <w:p w14:paraId="5FD83E4E">
            <w:pPr>
              <w:jc w:val="center"/>
              <w:rPr>
                <w:rFonts w:hint="eastAsia" w:ascii="宋体" w:hAnsi="宋体" w:eastAsia="宋体" w:cs="宋体"/>
                <w:b/>
                <w:color w:val="auto"/>
                <w:szCs w:val="21"/>
                <w:highlight w:val="none"/>
              </w:rPr>
            </w:pPr>
            <w:r>
              <w:rPr>
                <w:rFonts w:hint="eastAsia" w:ascii="宋体" w:hAnsi="宋体" w:eastAsia="宋体" w:cs="宋体"/>
                <w:bCs/>
                <w:color w:val="auto"/>
                <w:szCs w:val="21"/>
                <w:highlight w:val="none"/>
                <w:lang w:val="en-US" w:eastAsia="zh-CN"/>
              </w:rPr>
              <w:t>免税</w:t>
            </w:r>
          </w:p>
        </w:tc>
        <w:tc>
          <w:tcPr>
            <w:tcW w:w="1314" w:type="dxa"/>
            <w:vMerge w:val="continue"/>
            <w:tcBorders>
              <w:left w:val="single" w:color="auto" w:sz="4" w:space="0"/>
              <w:right w:val="single" w:color="auto" w:sz="4" w:space="0"/>
            </w:tcBorders>
            <w:noWrap w:val="0"/>
            <w:vAlign w:val="center"/>
          </w:tcPr>
          <w:p w14:paraId="1A71BBEA">
            <w:pPr>
              <w:jc w:val="center"/>
              <w:rPr>
                <w:rFonts w:hint="eastAsia" w:ascii="宋体" w:hAnsi="宋体" w:eastAsia="宋体" w:cs="宋体"/>
                <w:color w:val="auto"/>
                <w:szCs w:val="21"/>
                <w:highlight w:val="none"/>
              </w:rPr>
            </w:pPr>
          </w:p>
        </w:tc>
        <w:tc>
          <w:tcPr>
            <w:tcW w:w="1241" w:type="dxa"/>
            <w:vMerge w:val="continue"/>
            <w:tcBorders>
              <w:left w:val="single" w:color="auto" w:sz="4" w:space="0"/>
              <w:right w:val="single" w:color="auto" w:sz="4" w:space="0"/>
            </w:tcBorders>
            <w:noWrap w:val="0"/>
            <w:vAlign w:val="top"/>
          </w:tcPr>
          <w:p w14:paraId="1FF71884">
            <w:pPr>
              <w:rPr>
                <w:rFonts w:hint="eastAsia" w:ascii="宋体" w:hAnsi="宋体" w:eastAsia="宋体" w:cs="宋体"/>
                <w:color w:val="auto"/>
                <w:szCs w:val="21"/>
                <w:highlight w:val="none"/>
              </w:rPr>
            </w:pPr>
          </w:p>
        </w:tc>
        <w:tc>
          <w:tcPr>
            <w:tcW w:w="606" w:type="dxa"/>
            <w:vMerge w:val="continue"/>
            <w:tcBorders>
              <w:left w:val="single" w:color="auto" w:sz="4" w:space="0"/>
              <w:right w:val="single" w:color="auto" w:sz="4" w:space="0"/>
            </w:tcBorders>
            <w:noWrap w:val="0"/>
            <w:vAlign w:val="top"/>
          </w:tcPr>
          <w:p w14:paraId="53F572DB">
            <w:pPr>
              <w:jc w:val="center"/>
              <w:rPr>
                <w:rFonts w:hint="eastAsia" w:ascii="宋体" w:hAnsi="宋体" w:eastAsia="宋体" w:cs="宋体"/>
                <w:color w:val="auto"/>
                <w:szCs w:val="21"/>
                <w:highlight w:val="none"/>
              </w:rPr>
            </w:pPr>
          </w:p>
        </w:tc>
      </w:tr>
      <w:tr w14:paraId="34A5A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FA80789">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8</w:t>
            </w:r>
          </w:p>
        </w:tc>
        <w:tc>
          <w:tcPr>
            <w:tcW w:w="1573" w:type="dxa"/>
            <w:tcBorders>
              <w:top w:val="single" w:color="auto" w:sz="4" w:space="0"/>
              <w:left w:val="single" w:color="auto" w:sz="4" w:space="0"/>
              <w:bottom w:val="single" w:color="auto" w:sz="4" w:space="0"/>
              <w:right w:val="single" w:color="auto" w:sz="4" w:space="0"/>
            </w:tcBorders>
            <w:shd w:val="clear" w:color="auto" w:fill="auto"/>
            <w:noWrap w:val="0"/>
            <w:vAlign w:val="bottom"/>
          </w:tcPr>
          <w:p w14:paraId="7D0DB2FB">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一体式磁力搅拌器</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集热式磁力搅拌器</w:t>
            </w:r>
            <w:r>
              <w:rPr>
                <w:rFonts w:hint="eastAsia" w:ascii="宋体" w:hAnsi="宋体" w:eastAsia="宋体" w:cs="宋体"/>
                <w:color w:val="auto"/>
                <w:szCs w:val="21"/>
                <w:highlight w:val="none"/>
                <w:lang w:eastAsia="zh-CN"/>
              </w:rPr>
              <w:t>）</w:t>
            </w:r>
          </w:p>
        </w:tc>
        <w:tc>
          <w:tcPr>
            <w:tcW w:w="10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DE88188">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DF-101S(分体款）</w:t>
            </w:r>
          </w:p>
        </w:tc>
        <w:tc>
          <w:tcPr>
            <w:tcW w:w="16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BFB900">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力辰科技仪器有限公司</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E7CC3B">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510D13">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台</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7E98A823">
            <w:pPr>
              <w:widowControl/>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p>
        </w:tc>
        <w:tc>
          <w:tcPr>
            <w:tcW w:w="14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361670">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900</w:t>
            </w:r>
          </w:p>
        </w:tc>
        <w:tc>
          <w:tcPr>
            <w:tcW w:w="14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2E7CB1">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2700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58634BA0">
            <w:pPr>
              <w:ind w:right="-107" w:rightChars="-51"/>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574F7FCB">
            <w:pPr>
              <w:ind w:right="-107" w:rightChars="-51"/>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已含</w:t>
            </w:r>
          </w:p>
        </w:tc>
        <w:tc>
          <w:tcPr>
            <w:tcW w:w="691" w:type="dxa"/>
            <w:tcBorders>
              <w:top w:val="single" w:color="auto" w:sz="4" w:space="0"/>
              <w:left w:val="single" w:color="auto" w:sz="4" w:space="0"/>
              <w:bottom w:val="single" w:color="auto" w:sz="4" w:space="0"/>
              <w:right w:val="single" w:color="auto" w:sz="4" w:space="0"/>
            </w:tcBorders>
            <w:noWrap w:val="0"/>
            <w:vAlign w:val="center"/>
          </w:tcPr>
          <w:p w14:paraId="5FD3DAF3">
            <w:pPr>
              <w:jc w:val="center"/>
              <w:rPr>
                <w:rFonts w:hint="eastAsia" w:ascii="宋体" w:hAnsi="宋体" w:eastAsia="宋体" w:cs="宋体"/>
                <w:b/>
                <w:color w:val="auto"/>
                <w:szCs w:val="21"/>
                <w:highlight w:val="none"/>
              </w:rPr>
            </w:pPr>
            <w:r>
              <w:rPr>
                <w:rFonts w:hint="eastAsia" w:ascii="宋体" w:hAnsi="宋体" w:eastAsia="宋体" w:cs="宋体"/>
                <w:bCs/>
                <w:color w:val="auto"/>
                <w:szCs w:val="21"/>
                <w:highlight w:val="none"/>
                <w:lang w:val="en-US" w:eastAsia="zh-CN"/>
              </w:rPr>
              <w:t>含税</w:t>
            </w:r>
          </w:p>
        </w:tc>
        <w:tc>
          <w:tcPr>
            <w:tcW w:w="1314" w:type="dxa"/>
            <w:vMerge w:val="continue"/>
            <w:tcBorders>
              <w:left w:val="single" w:color="auto" w:sz="4" w:space="0"/>
              <w:right w:val="single" w:color="auto" w:sz="4" w:space="0"/>
            </w:tcBorders>
            <w:noWrap w:val="0"/>
            <w:vAlign w:val="center"/>
          </w:tcPr>
          <w:p w14:paraId="1C66E84E">
            <w:pPr>
              <w:jc w:val="center"/>
              <w:rPr>
                <w:rFonts w:hint="eastAsia" w:ascii="宋体" w:hAnsi="宋体" w:eastAsia="宋体" w:cs="宋体"/>
                <w:color w:val="auto"/>
                <w:szCs w:val="21"/>
                <w:highlight w:val="none"/>
              </w:rPr>
            </w:pPr>
          </w:p>
        </w:tc>
        <w:tc>
          <w:tcPr>
            <w:tcW w:w="1241" w:type="dxa"/>
            <w:vMerge w:val="continue"/>
            <w:tcBorders>
              <w:left w:val="single" w:color="auto" w:sz="4" w:space="0"/>
              <w:right w:val="single" w:color="auto" w:sz="4" w:space="0"/>
            </w:tcBorders>
            <w:noWrap w:val="0"/>
            <w:vAlign w:val="top"/>
          </w:tcPr>
          <w:p w14:paraId="3F758D4F">
            <w:pPr>
              <w:rPr>
                <w:rFonts w:hint="eastAsia" w:ascii="宋体" w:hAnsi="宋体" w:eastAsia="宋体" w:cs="宋体"/>
                <w:color w:val="auto"/>
                <w:szCs w:val="21"/>
                <w:highlight w:val="none"/>
              </w:rPr>
            </w:pPr>
          </w:p>
        </w:tc>
        <w:tc>
          <w:tcPr>
            <w:tcW w:w="606" w:type="dxa"/>
            <w:vMerge w:val="continue"/>
            <w:tcBorders>
              <w:left w:val="single" w:color="auto" w:sz="4" w:space="0"/>
              <w:right w:val="single" w:color="auto" w:sz="4" w:space="0"/>
            </w:tcBorders>
            <w:noWrap w:val="0"/>
            <w:vAlign w:val="top"/>
          </w:tcPr>
          <w:p w14:paraId="3F834975">
            <w:pPr>
              <w:jc w:val="center"/>
              <w:rPr>
                <w:rFonts w:hint="eastAsia" w:ascii="宋体" w:hAnsi="宋体" w:eastAsia="宋体" w:cs="宋体"/>
                <w:color w:val="auto"/>
                <w:szCs w:val="21"/>
                <w:highlight w:val="none"/>
              </w:rPr>
            </w:pPr>
          </w:p>
        </w:tc>
      </w:tr>
      <w:tr w14:paraId="703FF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798851">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9</w:t>
            </w:r>
          </w:p>
        </w:tc>
        <w:tc>
          <w:tcPr>
            <w:tcW w:w="1573" w:type="dxa"/>
            <w:tcBorders>
              <w:top w:val="single" w:color="auto" w:sz="4" w:space="0"/>
              <w:left w:val="single" w:color="auto" w:sz="4" w:space="0"/>
              <w:bottom w:val="single" w:color="auto" w:sz="4" w:space="0"/>
              <w:right w:val="single" w:color="auto" w:sz="4" w:space="0"/>
            </w:tcBorders>
            <w:shd w:val="clear" w:color="auto" w:fill="auto"/>
            <w:noWrap w:val="0"/>
            <w:vAlign w:val="bottom"/>
          </w:tcPr>
          <w:p w14:paraId="22C3F8C1">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电热鼓风干燥箱</w:t>
            </w:r>
          </w:p>
        </w:tc>
        <w:tc>
          <w:tcPr>
            <w:tcW w:w="10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EBBE2E">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FXB101-2</w:t>
            </w:r>
          </w:p>
        </w:tc>
        <w:tc>
          <w:tcPr>
            <w:tcW w:w="16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F7B08B">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上海树立仪器仪表有限公司</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E33EC5">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中国</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DBC65F">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台</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4113F9C2">
            <w:pPr>
              <w:widowControl/>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p>
        </w:tc>
        <w:tc>
          <w:tcPr>
            <w:tcW w:w="14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5F360E">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2500</w:t>
            </w:r>
          </w:p>
        </w:tc>
        <w:tc>
          <w:tcPr>
            <w:tcW w:w="14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0DBDA4">
            <w:pPr>
              <w:widowControl/>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2500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206D3F53">
            <w:pPr>
              <w:ind w:right="-107" w:rightChars="-51"/>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5163CB2C">
            <w:pPr>
              <w:ind w:right="-107" w:rightChars="-51"/>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已含</w:t>
            </w:r>
          </w:p>
        </w:tc>
        <w:tc>
          <w:tcPr>
            <w:tcW w:w="691" w:type="dxa"/>
            <w:tcBorders>
              <w:top w:val="single" w:color="auto" w:sz="4" w:space="0"/>
              <w:left w:val="single" w:color="auto" w:sz="4" w:space="0"/>
              <w:bottom w:val="single" w:color="auto" w:sz="4" w:space="0"/>
              <w:right w:val="single" w:color="auto" w:sz="4" w:space="0"/>
            </w:tcBorders>
            <w:noWrap w:val="0"/>
            <w:vAlign w:val="center"/>
          </w:tcPr>
          <w:p w14:paraId="5E3E09F1">
            <w:pPr>
              <w:jc w:val="center"/>
              <w:rPr>
                <w:rFonts w:hint="eastAsia" w:ascii="宋体" w:hAnsi="宋体" w:eastAsia="宋体" w:cs="宋体"/>
                <w:b/>
                <w:color w:val="auto"/>
                <w:szCs w:val="21"/>
                <w:highlight w:val="none"/>
              </w:rPr>
            </w:pPr>
            <w:r>
              <w:rPr>
                <w:rFonts w:hint="eastAsia" w:ascii="宋体" w:hAnsi="宋体" w:eastAsia="宋体" w:cs="宋体"/>
                <w:bCs/>
                <w:color w:val="auto"/>
                <w:szCs w:val="21"/>
                <w:highlight w:val="none"/>
                <w:lang w:val="en-US" w:eastAsia="zh-CN"/>
              </w:rPr>
              <w:t>含税</w:t>
            </w:r>
          </w:p>
        </w:tc>
        <w:tc>
          <w:tcPr>
            <w:tcW w:w="1314" w:type="dxa"/>
            <w:vMerge w:val="continue"/>
            <w:tcBorders>
              <w:left w:val="single" w:color="auto" w:sz="4" w:space="0"/>
              <w:bottom w:val="single" w:color="auto" w:sz="4" w:space="0"/>
              <w:right w:val="single" w:color="auto" w:sz="4" w:space="0"/>
            </w:tcBorders>
            <w:noWrap w:val="0"/>
            <w:vAlign w:val="center"/>
          </w:tcPr>
          <w:p w14:paraId="2BD67FD4">
            <w:pPr>
              <w:jc w:val="center"/>
              <w:rPr>
                <w:rFonts w:hint="eastAsia" w:ascii="宋体" w:hAnsi="宋体" w:eastAsia="宋体" w:cs="宋体"/>
                <w:color w:val="auto"/>
                <w:szCs w:val="21"/>
                <w:highlight w:val="none"/>
              </w:rPr>
            </w:pPr>
          </w:p>
        </w:tc>
        <w:tc>
          <w:tcPr>
            <w:tcW w:w="1241" w:type="dxa"/>
            <w:vMerge w:val="continue"/>
            <w:tcBorders>
              <w:left w:val="single" w:color="auto" w:sz="4" w:space="0"/>
              <w:bottom w:val="single" w:color="auto" w:sz="4" w:space="0"/>
              <w:right w:val="single" w:color="auto" w:sz="4" w:space="0"/>
            </w:tcBorders>
            <w:noWrap w:val="0"/>
            <w:vAlign w:val="top"/>
          </w:tcPr>
          <w:p w14:paraId="782F109D">
            <w:pPr>
              <w:rPr>
                <w:rFonts w:hint="eastAsia" w:ascii="宋体" w:hAnsi="宋体" w:eastAsia="宋体" w:cs="宋体"/>
                <w:color w:val="auto"/>
                <w:szCs w:val="21"/>
                <w:highlight w:val="none"/>
              </w:rPr>
            </w:pPr>
          </w:p>
        </w:tc>
        <w:tc>
          <w:tcPr>
            <w:tcW w:w="606" w:type="dxa"/>
            <w:vMerge w:val="continue"/>
            <w:tcBorders>
              <w:left w:val="single" w:color="auto" w:sz="4" w:space="0"/>
              <w:bottom w:val="single" w:color="auto" w:sz="4" w:space="0"/>
              <w:right w:val="single" w:color="auto" w:sz="4" w:space="0"/>
            </w:tcBorders>
            <w:noWrap w:val="0"/>
            <w:vAlign w:val="top"/>
          </w:tcPr>
          <w:p w14:paraId="0C198B30">
            <w:pPr>
              <w:jc w:val="center"/>
              <w:rPr>
                <w:rFonts w:hint="eastAsia" w:ascii="宋体" w:hAnsi="宋体" w:eastAsia="宋体" w:cs="宋体"/>
                <w:color w:val="auto"/>
                <w:szCs w:val="21"/>
                <w:highlight w:val="none"/>
              </w:rPr>
            </w:pPr>
          </w:p>
        </w:tc>
      </w:tr>
      <w:tr w14:paraId="02879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noWrap w:val="0"/>
            <w:vAlign w:val="top"/>
          </w:tcPr>
          <w:p w14:paraId="2950FE85">
            <w:pPr>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10</w:t>
            </w:r>
          </w:p>
        </w:tc>
        <w:tc>
          <w:tcPr>
            <w:tcW w:w="1573" w:type="dxa"/>
            <w:tcBorders>
              <w:top w:val="single" w:color="auto" w:sz="4" w:space="0"/>
              <w:left w:val="single" w:color="auto" w:sz="4" w:space="0"/>
              <w:bottom w:val="single" w:color="auto" w:sz="4" w:space="0"/>
              <w:right w:val="single" w:color="auto" w:sz="4" w:space="0"/>
            </w:tcBorders>
            <w:noWrap w:val="0"/>
            <w:vAlign w:val="top"/>
          </w:tcPr>
          <w:p w14:paraId="3466A909">
            <w:pPr>
              <w:jc w:val="center"/>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备品备件</w:t>
            </w:r>
          </w:p>
          <w:p w14:paraId="51823FA4">
            <w:pPr>
              <w:jc w:val="center"/>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及其他</w:t>
            </w:r>
          </w:p>
        </w:tc>
        <w:tc>
          <w:tcPr>
            <w:tcW w:w="2712" w:type="dxa"/>
            <w:gridSpan w:val="2"/>
            <w:tcBorders>
              <w:top w:val="single" w:color="auto" w:sz="4" w:space="0"/>
              <w:left w:val="single" w:color="auto" w:sz="4" w:space="0"/>
              <w:bottom w:val="single" w:color="auto" w:sz="4" w:space="0"/>
              <w:right w:val="single" w:color="auto" w:sz="4" w:space="0"/>
            </w:tcBorders>
            <w:noWrap w:val="0"/>
            <w:vAlign w:val="center"/>
          </w:tcPr>
          <w:p w14:paraId="1042599F">
            <w:pPr>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配件</w:t>
            </w:r>
          </w:p>
          <w:p w14:paraId="395A6630">
            <w:pPr>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消耗品</w:t>
            </w:r>
          </w:p>
          <w:p w14:paraId="27B1B33F">
            <w:pPr>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维护工具盒：</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496F4B13">
            <w:pPr>
              <w:jc w:val="center"/>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32E22BF9">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30664355">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w:t>
            </w:r>
          </w:p>
        </w:tc>
        <w:tc>
          <w:tcPr>
            <w:tcW w:w="1414" w:type="dxa"/>
            <w:tcBorders>
              <w:top w:val="single" w:color="auto" w:sz="4" w:space="0"/>
              <w:left w:val="single" w:color="auto" w:sz="4" w:space="0"/>
              <w:bottom w:val="single" w:color="auto" w:sz="4" w:space="0"/>
              <w:right w:val="single" w:color="auto" w:sz="4" w:space="0"/>
            </w:tcBorders>
            <w:noWrap w:val="0"/>
            <w:vAlign w:val="center"/>
          </w:tcPr>
          <w:p w14:paraId="11D249C7">
            <w:pPr>
              <w:widowControl/>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w:t>
            </w:r>
          </w:p>
        </w:tc>
        <w:tc>
          <w:tcPr>
            <w:tcW w:w="1480" w:type="dxa"/>
            <w:tcBorders>
              <w:top w:val="single" w:color="auto" w:sz="4" w:space="0"/>
              <w:left w:val="single" w:color="auto" w:sz="4" w:space="0"/>
              <w:bottom w:val="single" w:color="auto" w:sz="4" w:space="0"/>
              <w:right w:val="single" w:color="auto" w:sz="4" w:space="0"/>
            </w:tcBorders>
            <w:noWrap w:val="0"/>
            <w:vAlign w:val="center"/>
          </w:tcPr>
          <w:p w14:paraId="2BB3541E">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748C1DF3">
            <w:pPr>
              <w:ind w:right="-107" w:rightChars="-51"/>
              <w:jc w:val="center"/>
              <w:rPr>
                <w:rFonts w:hint="eastAsia" w:ascii="宋体" w:hAnsi="宋体" w:eastAsia="宋体" w:cs="宋体"/>
                <w:bCs/>
                <w:color w:val="auto"/>
                <w:szCs w:val="21"/>
                <w:highlight w:val="none"/>
              </w:rPr>
            </w:pPr>
            <w:r>
              <w:rPr>
                <w:rFonts w:hint="eastAsia" w:ascii="宋体" w:hAnsi="宋体" w:eastAsia="宋体" w:cs="宋体"/>
                <w:b/>
                <w:color w:val="auto"/>
                <w:szCs w:val="21"/>
                <w:highlight w:val="none"/>
                <w:lang w:val="en-US" w:eastAsia="zh-CN"/>
              </w:rPr>
              <w:t>/</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57E0CAA3">
            <w:pPr>
              <w:ind w:right="-107" w:rightChars="-51"/>
              <w:jc w:val="center"/>
              <w:rPr>
                <w:rFonts w:hint="eastAsia" w:ascii="宋体" w:hAnsi="宋体" w:eastAsia="宋体" w:cs="宋体"/>
                <w:bCs/>
                <w:color w:val="auto"/>
                <w:szCs w:val="21"/>
                <w:highlight w:val="none"/>
              </w:rPr>
            </w:pPr>
            <w:r>
              <w:rPr>
                <w:rFonts w:hint="eastAsia" w:ascii="宋体" w:hAnsi="宋体" w:eastAsia="宋体" w:cs="宋体"/>
                <w:b/>
                <w:color w:val="auto"/>
                <w:szCs w:val="21"/>
                <w:highlight w:val="none"/>
                <w:lang w:val="en-US" w:eastAsia="zh-CN"/>
              </w:rPr>
              <w:t>/</w:t>
            </w:r>
          </w:p>
        </w:tc>
        <w:tc>
          <w:tcPr>
            <w:tcW w:w="691" w:type="dxa"/>
            <w:tcBorders>
              <w:top w:val="single" w:color="auto" w:sz="4" w:space="0"/>
              <w:left w:val="single" w:color="auto" w:sz="4" w:space="0"/>
              <w:bottom w:val="single" w:color="auto" w:sz="4" w:space="0"/>
              <w:right w:val="single" w:color="auto" w:sz="4" w:space="0"/>
            </w:tcBorders>
            <w:noWrap w:val="0"/>
            <w:vAlign w:val="center"/>
          </w:tcPr>
          <w:p w14:paraId="65628A24">
            <w:pPr>
              <w:jc w:val="center"/>
              <w:rPr>
                <w:rFonts w:hint="eastAsia" w:ascii="宋体" w:hAnsi="宋体" w:eastAsia="宋体" w:cs="宋体"/>
                <w:bCs/>
                <w:color w:val="auto"/>
                <w:szCs w:val="21"/>
                <w:highlight w:val="none"/>
              </w:rPr>
            </w:pPr>
            <w:r>
              <w:rPr>
                <w:rFonts w:hint="eastAsia" w:ascii="宋体" w:hAnsi="宋体" w:eastAsia="宋体" w:cs="宋体"/>
                <w:b/>
                <w:color w:val="auto"/>
                <w:szCs w:val="21"/>
                <w:highlight w:val="none"/>
                <w:lang w:val="en-US" w:eastAsia="zh-CN"/>
              </w:rPr>
              <w:t>/</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4388EE36">
            <w:pPr>
              <w:jc w:val="center"/>
              <w:rPr>
                <w:rFonts w:hint="eastAsia" w:ascii="宋体" w:hAnsi="宋体" w:eastAsia="宋体" w:cs="宋体"/>
                <w:color w:val="auto"/>
                <w:szCs w:val="21"/>
                <w:highlight w:val="none"/>
              </w:rPr>
            </w:pPr>
            <w:r>
              <w:rPr>
                <w:rFonts w:hint="eastAsia" w:ascii="宋体" w:hAnsi="宋体" w:eastAsia="宋体" w:cs="宋体"/>
                <w:b/>
                <w:color w:val="auto"/>
                <w:szCs w:val="21"/>
                <w:highlight w:val="none"/>
                <w:lang w:val="en-US" w:eastAsia="zh-CN"/>
              </w:rPr>
              <w:t>/</w:t>
            </w:r>
          </w:p>
        </w:tc>
        <w:tc>
          <w:tcPr>
            <w:tcW w:w="1241" w:type="dxa"/>
            <w:tcBorders>
              <w:top w:val="single" w:color="auto" w:sz="4" w:space="0"/>
              <w:left w:val="single" w:color="auto" w:sz="4" w:space="0"/>
              <w:bottom w:val="single" w:color="auto" w:sz="4" w:space="0"/>
              <w:right w:val="single" w:color="auto" w:sz="4" w:space="0"/>
            </w:tcBorders>
            <w:noWrap w:val="0"/>
            <w:vAlign w:val="center"/>
          </w:tcPr>
          <w:p w14:paraId="7539ABED">
            <w:pPr>
              <w:jc w:val="center"/>
              <w:rPr>
                <w:rFonts w:hint="eastAsia" w:ascii="宋体" w:hAnsi="宋体" w:eastAsia="宋体" w:cs="宋体"/>
                <w:color w:val="auto"/>
                <w:szCs w:val="21"/>
                <w:highlight w:val="none"/>
              </w:rPr>
            </w:pPr>
            <w:r>
              <w:rPr>
                <w:rFonts w:hint="eastAsia" w:ascii="宋体" w:hAnsi="宋体" w:eastAsia="宋体" w:cs="宋体"/>
                <w:b/>
                <w:color w:val="auto"/>
                <w:szCs w:val="21"/>
                <w:highlight w:val="none"/>
                <w:lang w:val="en-US" w:eastAsia="zh-CN"/>
              </w:rPr>
              <w:t>/</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7253D4F1">
            <w:pPr>
              <w:jc w:val="center"/>
              <w:rPr>
                <w:rFonts w:hint="eastAsia" w:ascii="宋体" w:hAnsi="宋体" w:eastAsia="宋体" w:cs="宋体"/>
                <w:color w:val="auto"/>
                <w:szCs w:val="21"/>
                <w:highlight w:val="none"/>
              </w:rPr>
            </w:pPr>
            <w:r>
              <w:rPr>
                <w:rFonts w:hint="eastAsia" w:ascii="宋体" w:hAnsi="宋体" w:eastAsia="宋体" w:cs="宋体"/>
                <w:b/>
                <w:color w:val="auto"/>
                <w:szCs w:val="21"/>
                <w:highlight w:val="none"/>
                <w:lang w:val="en-US" w:eastAsia="zh-CN"/>
              </w:rPr>
              <w:t>/</w:t>
            </w:r>
          </w:p>
        </w:tc>
      </w:tr>
      <w:tr w14:paraId="073E0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540" w:type="dxa"/>
            <w:tcBorders>
              <w:top w:val="single" w:color="auto" w:sz="4" w:space="0"/>
              <w:left w:val="single" w:color="auto" w:sz="4" w:space="0"/>
              <w:bottom w:val="single" w:color="auto" w:sz="4" w:space="0"/>
              <w:right w:val="single" w:color="auto" w:sz="4" w:space="0"/>
            </w:tcBorders>
            <w:noWrap w:val="0"/>
            <w:vAlign w:val="top"/>
          </w:tcPr>
          <w:p w14:paraId="0737E10C">
            <w:pPr>
              <w:jc w:val="center"/>
              <w:rPr>
                <w:rFonts w:hint="eastAsia" w:ascii="宋体" w:hAnsi="宋体" w:eastAsia="宋体" w:cs="宋体"/>
                <w:color w:val="auto"/>
                <w:szCs w:val="21"/>
                <w:highlight w:val="none"/>
              </w:rPr>
            </w:pPr>
          </w:p>
        </w:tc>
        <w:tc>
          <w:tcPr>
            <w:tcW w:w="1573" w:type="dxa"/>
            <w:tcBorders>
              <w:top w:val="single" w:color="auto" w:sz="4" w:space="0"/>
              <w:left w:val="single" w:color="auto" w:sz="4" w:space="0"/>
              <w:bottom w:val="single" w:color="auto" w:sz="4" w:space="0"/>
              <w:right w:val="single" w:color="auto" w:sz="4" w:space="0"/>
            </w:tcBorders>
            <w:noWrap w:val="0"/>
            <w:vAlign w:val="top"/>
          </w:tcPr>
          <w:p w14:paraId="746D45DB">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合计</w:t>
            </w:r>
          </w:p>
        </w:tc>
        <w:tc>
          <w:tcPr>
            <w:tcW w:w="271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C93F5D8">
            <w:pPr>
              <w:jc w:val="center"/>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szCs w:val="21"/>
                <w:highlight w:val="none"/>
                <w:lang w:val="en-US" w:eastAsia="zh-CN"/>
              </w:rPr>
              <w:t>/</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974447">
            <w:pPr>
              <w:jc w:val="center"/>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szCs w:val="21"/>
                <w:highlight w:val="none"/>
                <w:lang w:val="en-US" w:eastAsia="zh-CN"/>
              </w:rPr>
              <w:t>/</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A6BACBA">
            <w:pPr>
              <w:jc w:val="center"/>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szCs w:val="21"/>
                <w:highlight w:val="none"/>
                <w:lang w:val="en-US" w:eastAsia="zh-CN"/>
              </w:rPr>
              <w:t>/</w:t>
            </w:r>
          </w:p>
        </w:tc>
        <w:tc>
          <w:tcPr>
            <w:tcW w:w="81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89D768">
            <w:pPr>
              <w:widowControl/>
              <w:jc w:val="center"/>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szCs w:val="21"/>
                <w:highlight w:val="none"/>
                <w:lang w:val="en-US" w:eastAsia="zh-CN"/>
              </w:rPr>
              <w:t>/</w:t>
            </w:r>
          </w:p>
        </w:tc>
        <w:tc>
          <w:tcPr>
            <w:tcW w:w="14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654E37">
            <w:pPr>
              <w:jc w:val="center"/>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szCs w:val="21"/>
                <w:highlight w:val="none"/>
                <w:lang w:val="en-US" w:eastAsia="zh-CN"/>
              </w:rPr>
              <w:t>/</w:t>
            </w:r>
          </w:p>
        </w:tc>
        <w:tc>
          <w:tcPr>
            <w:tcW w:w="14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03315F3">
            <w:pPr>
              <w:ind w:right="-107" w:rightChars="-51"/>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
                <w:color w:val="auto"/>
                <w:szCs w:val="21"/>
                <w:highlight w:val="none"/>
                <w:lang w:val="en-US" w:eastAsia="zh-CN"/>
              </w:rPr>
              <w:t>1690000.00</w:t>
            </w:r>
          </w:p>
        </w:tc>
        <w:tc>
          <w:tcPr>
            <w:tcW w:w="8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3B81AFC">
            <w:pPr>
              <w:ind w:right="-107" w:rightChars="-51"/>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
                <w:color w:val="auto"/>
                <w:szCs w:val="21"/>
                <w:highlight w:val="none"/>
                <w:lang w:val="en-US" w:eastAsia="zh-CN"/>
              </w:rPr>
              <w:t>/</w:t>
            </w:r>
          </w:p>
        </w:tc>
        <w:tc>
          <w:tcPr>
            <w:tcW w:w="81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6C55AD">
            <w:pPr>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
                <w:color w:val="auto"/>
                <w:szCs w:val="21"/>
                <w:highlight w:val="none"/>
                <w:lang w:val="en-US" w:eastAsia="zh-CN"/>
              </w:rPr>
              <w:t>/</w:t>
            </w:r>
          </w:p>
        </w:tc>
        <w:tc>
          <w:tcPr>
            <w:tcW w:w="6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B36B61">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color w:val="auto"/>
                <w:szCs w:val="21"/>
                <w:highlight w:val="none"/>
                <w:lang w:val="en-US" w:eastAsia="zh-CN"/>
              </w:rPr>
              <w:t>/</w:t>
            </w:r>
          </w:p>
        </w:tc>
        <w:tc>
          <w:tcPr>
            <w:tcW w:w="13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2D7D70">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color w:val="auto"/>
                <w:szCs w:val="21"/>
                <w:highlight w:val="none"/>
                <w:lang w:val="en-US" w:eastAsia="zh-CN"/>
              </w:rPr>
              <w:t>/</w:t>
            </w:r>
          </w:p>
        </w:tc>
        <w:tc>
          <w:tcPr>
            <w:tcW w:w="12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7962F8D">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color w:val="auto"/>
                <w:szCs w:val="21"/>
                <w:highlight w:val="none"/>
                <w:lang w:val="en-US" w:eastAsia="zh-CN"/>
              </w:rPr>
              <w:t>/</w:t>
            </w:r>
          </w:p>
        </w:tc>
        <w:tc>
          <w:tcPr>
            <w:tcW w:w="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FF273B">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color w:val="auto"/>
                <w:szCs w:val="21"/>
                <w:highlight w:val="none"/>
                <w:lang w:val="en-US" w:eastAsia="zh-CN"/>
              </w:rPr>
              <w:t>/</w:t>
            </w:r>
          </w:p>
        </w:tc>
      </w:tr>
      <w:tr w14:paraId="1CE9C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13" w:type="dxa"/>
            <w:gridSpan w:val="2"/>
            <w:tcBorders>
              <w:top w:val="single" w:color="auto" w:sz="4" w:space="0"/>
              <w:left w:val="single" w:color="auto" w:sz="4" w:space="0"/>
              <w:bottom w:val="single" w:color="auto" w:sz="4" w:space="0"/>
              <w:right w:val="single" w:color="auto" w:sz="4" w:space="0"/>
            </w:tcBorders>
            <w:noWrap w:val="0"/>
            <w:vAlign w:val="top"/>
          </w:tcPr>
          <w:p w14:paraId="20986092">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人民币总价</w:t>
            </w:r>
          </w:p>
        </w:tc>
        <w:tc>
          <w:tcPr>
            <w:tcW w:w="13110" w:type="dxa"/>
            <w:gridSpan w:val="13"/>
            <w:tcBorders>
              <w:top w:val="single" w:color="auto" w:sz="4" w:space="0"/>
              <w:left w:val="single" w:color="auto" w:sz="4" w:space="0"/>
              <w:bottom w:val="single" w:color="auto" w:sz="4" w:space="0"/>
              <w:right w:val="single" w:color="auto" w:sz="4" w:space="0"/>
            </w:tcBorders>
            <w:noWrap w:val="0"/>
            <w:vAlign w:val="center"/>
          </w:tcPr>
          <w:p w14:paraId="29ED9495">
            <w:pP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壹佰陆拾玖万元整</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1690000.00</w:t>
            </w:r>
            <w:r>
              <w:rPr>
                <w:rFonts w:hint="eastAsia" w:ascii="宋体" w:hAnsi="宋体" w:eastAsia="宋体" w:cs="宋体"/>
                <w:color w:val="auto"/>
                <w:szCs w:val="21"/>
                <w:highlight w:val="none"/>
              </w:rPr>
              <w:t>）</w:t>
            </w:r>
          </w:p>
        </w:tc>
      </w:tr>
      <w:tr w14:paraId="0B1C1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13" w:type="dxa"/>
            <w:gridSpan w:val="2"/>
            <w:tcBorders>
              <w:top w:val="single" w:color="auto" w:sz="4" w:space="0"/>
              <w:left w:val="single" w:color="auto" w:sz="4" w:space="0"/>
              <w:bottom w:val="single" w:color="auto" w:sz="4" w:space="0"/>
              <w:right w:val="single" w:color="auto" w:sz="4" w:space="0"/>
            </w:tcBorders>
            <w:noWrap w:val="0"/>
            <w:vAlign w:val="top"/>
          </w:tcPr>
          <w:p w14:paraId="73F85D05">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c>
          <w:tcPr>
            <w:tcW w:w="13110" w:type="dxa"/>
            <w:gridSpan w:val="13"/>
            <w:tcBorders>
              <w:top w:val="single" w:color="auto" w:sz="4" w:space="0"/>
              <w:left w:val="single" w:color="auto" w:sz="4" w:space="0"/>
              <w:bottom w:val="single" w:color="auto" w:sz="4" w:space="0"/>
              <w:right w:val="single" w:color="auto" w:sz="4" w:space="0"/>
            </w:tcBorders>
            <w:noWrap w:val="0"/>
            <w:vAlign w:val="center"/>
          </w:tcPr>
          <w:p w14:paraId="6E632F65">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另附</w:t>
            </w:r>
            <w:r>
              <w:rPr>
                <w:rFonts w:hint="eastAsia" w:ascii="宋体" w:hAnsi="宋体" w:eastAsia="宋体" w:cs="宋体"/>
                <w:color w:val="auto"/>
                <w:kern w:val="0"/>
                <w:szCs w:val="21"/>
                <w:highlight w:val="none"/>
              </w:rPr>
              <w:t>制造商</w:t>
            </w:r>
            <w:r>
              <w:rPr>
                <w:rFonts w:hint="eastAsia" w:ascii="宋体" w:hAnsi="宋体" w:eastAsia="宋体" w:cs="宋体"/>
                <w:color w:val="auto"/>
                <w:szCs w:val="21"/>
                <w:highlight w:val="none"/>
              </w:rPr>
              <w:t>：</w:t>
            </w:r>
            <w:r>
              <w:rPr>
                <w:rFonts w:hint="eastAsia" w:ascii="宋体" w:hAnsi="宋体" w:eastAsia="宋体" w:cs="宋体"/>
                <w:bCs/>
                <w:color w:val="auto"/>
                <w:szCs w:val="21"/>
                <w:highlight w:val="none"/>
              </w:rPr>
              <w:t>配置清单</w:t>
            </w:r>
          </w:p>
        </w:tc>
      </w:tr>
    </w:tbl>
    <w:p w14:paraId="1DCCAF9F">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w:t>
      </w:r>
    </w:p>
    <w:p w14:paraId="0622F72B">
      <w:pP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甲方货物负责人签字：****</w:t>
      </w:r>
    </w:p>
    <w:p w14:paraId="601FFBC8">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w:t>
      </w:r>
    </w:p>
    <w:p w14:paraId="037974A2">
      <w:pPr>
        <w:rPr>
          <w:rFonts w:hint="eastAsia" w:ascii="宋体" w:hAnsi="宋体" w:eastAsia="宋体" w:cs="宋体"/>
          <w:b/>
          <w:color w:val="auto"/>
          <w:kern w:val="0"/>
          <w:sz w:val="24"/>
          <w:szCs w:val="24"/>
          <w:highlight w:val="none"/>
        </w:rPr>
      </w:pPr>
      <w:r>
        <w:rPr>
          <w:rFonts w:hint="eastAsia" w:ascii="宋体" w:hAnsi="宋体" w:eastAsia="宋体" w:cs="宋体"/>
          <w:b/>
          <w:color w:val="auto"/>
          <w:sz w:val="24"/>
          <w:szCs w:val="24"/>
          <w:highlight w:val="none"/>
        </w:rPr>
        <w:t xml:space="preserve"> </w:t>
      </w:r>
    </w:p>
    <w:p w14:paraId="4AD901A9">
      <w:pP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br w:type="page"/>
      </w:r>
    </w:p>
    <w:p w14:paraId="5985968A">
      <w:pPr>
        <w:rPr>
          <w:rFonts w:hint="eastAsia" w:ascii="宋体" w:hAnsi="宋体" w:eastAsia="宋体" w:cs="宋体"/>
          <w:color w:val="auto"/>
          <w:sz w:val="28"/>
          <w:szCs w:val="28"/>
          <w:highlight w:val="none"/>
        </w:rPr>
      </w:pPr>
      <w:r>
        <w:rPr>
          <w:rFonts w:hint="eastAsia" w:ascii="宋体" w:hAnsi="宋体" w:eastAsia="宋体" w:cs="宋体"/>
          <w:b/>
          <w:color w:val="auto"/>
          <w:kern w:val="0"/>
          <w:sz w:val="24"/>
          <w:szCs w:val="24"/>
          <w:highlight w:val="none"/>
        </w:rPr>
        <w:t>附件3：</w:t>
      </w:r>
      <w:r>
        <w:rPr>
          <w:rFonts w:hint="eastAsia" w:ascii="宋体" w:hAnsi="宋体" w:eastAsia="宋体" w:cs="宋体"/>
          <w:b/>
          <w:color w:val="auto"/>
          <w:kern w:val="0"/>
          <w:sz w:val="28"/>
          <w:szCs w:val="28"/>
          <w:highlight w:val="none"/>
        </w:rPr>
        <w:t>制造商</w:t>
      </w:r>
      <w:r>
        <w:rPr>
          <w:rFonts w:hint="eastAsia" w:ascii="宋体" w:hAnsi="宋体" w:eastAsia="宋体" w:cs="宋体"/>
          <w:b/>
          <w:color w:val="auto"/>
          <w:sz w:val="28"/>
          <w:szCs w:val="28"/>
          <w:highlight w:val="none"/>
        </w:rPr>
        <w:t>：</w:t>
      </w:r>
    </w:p>
    <w:p w14:paraId="1202CF29">
      <w:pPr>
        <w:jc w:val="center"/>
        <w:rPr>
          <w:rFonts w:hint="eastAsia" w:ascii="宋体" w:hAnsi="宋体" w:eastAsia="宋体" w:cs="宋体"/>
          <w:b/>
          <w:color w:val="auto"/>
          <w:sz w:val="28"/>
          <w:szCs w:val="28"/>
          <w:highlight w:val="none"/>
        </w:rPr>
      </w:pPr>
      <w:r>
        <w:rPr>
          <w:rFonts w:hint="eastAsia" w:ascii="宋体" w:hAnsi="宋体" w:eastAsia="宋体" w:cs="宋体"/>
          <w:bCs/>
          <w:color w:val="auto"/>
          <w:sz w:val="28"/>
          <w:szCs w:val="28"/>
          <w:highlight w:val="none"/>
        </w:rPr>
        <w:t>货物配置清单</w:t>
      </w:r>
    </w:p>
    <w:p w14:paraId="335738EC">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w:t>
      </w:r>
    </w:p>
    <w:tbl>
      <w:tblPr>
        <w:tblStyle w:val="6"/>
        <w:tblW w:w="14598"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2513"/>
        <w:gridCol w:w="1969"/>
        <w:gridCol w:w="9375"/>
      </w:tblGrid>
      <w:tr w14:paraId="7F163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41" w:type="dxa"/>
            <w:tcBorders>
              <w:top w:val="single" w:color="auto" w:sz="4" w:space="0"/>
              <w:left w:val="single" w:color="auto" w:sz="4" w:space="0"/>
              <w:bottom w:val="single" w:color="auto" w:sz="4" w:space="0"/>
              <w:right w:val="single" w:color="auto" w:sz="4" w:space="0"/>
            </w:tcBorders>
            <w:noWrap w:val="0"/>
            <w:vAlign w:val="center"/>
          </w:tcPr>
          <w:p w14:paraId="36C27F3F">
            <w:pPr>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513" w:type="dxa"/>
            <w:tcBorders>
              <w:top w:val="single" w:color="auto" w:sz="4" w:space="0"/>
              <w:left w:val="single" w:color="auto" w:sz="4" w:space="0"/>
              <w:bottom w:val="single" w:color="auto" w:sz="4" w:space="0"/>
              <w:right w:val="single" w:color="auto" w:sz="4" w:space="0"/>
            </w:tcBorders>
            <w:noWrap w:val="0"/>
            <w:vAlign w:val="center"/>
          </w:tcPr>
          <w:p w14:paraId="502CAC0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969" w:type="dxa"/>
            <w:tcBorders>
              <w:top w:val="single" w:color="auto" w:sz="4" w:space="0"/>
              <w:left w:val="single" w:color="auto" w:sz="4" w:space="0"/>
              <w:bottom w:val="single" w:color="auto" w:sz="4" w:space="0"/>
              <w:right w:val="single" w:color="auto" w:sz="4" w:space="0"/>
            </w:tcBorders>
            <w:noWrap w:val="0"/>
            <w:vAlign w:val="center"/>
          </w:tcPr>
          <w:p w14:paraId="4F97E19E">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型号规格</w:t>
            </w:r>
          </w:p>
        </w:tc>
        <w:tc>
          <w:tcPr>
            <w:tcW w:w="9375" w:type="dxa"/>
            <w:tcBorders>
              <w:top w:val="single" w:color="auto" w:sz="4" w:space="0"/>
              <w:left w:val="single" w:color="auto" w:sz="4" w:space="0"/>
              <w:bottom w:val="single" w:color="auto" w:sz="4" w:space="0"/>
              <w:right w:val="single" w:color="auto" w:sz="4" w:space="0"/>
            </w:tcBorders>
            <w:noWrap w:val="0"/>
            <w:vAlign w:val="center"/>
          </w:tcPr>
          <w:p w14:paraId="7CA36256">
            <w:pPr>
              <w:widowControl/>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设备配置</w:t>
            </w:r>
          </w:p>
        </w:tc>
      </w:tr>
      <w:tr w14:paraId="6FB25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1C8AE3">
            <w:pPr>
              <w:widowControl/>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51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07225FE">
            <w:pPr>
              <w:widowControl/>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非接触式聚焦超声样本处理系统</w:t>
            </w:r>
          </w:p>
        </w:tc>
        <w:tc>
          <w:tcPr>
            <w:tcW w:w="196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6510D4">
            <w:pPr>
              <w:widowControl/>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ME220</w:t>
            </w:r>
          </w:p>
        </w:tc>
        <w:tc>
          <w:tcPr>
            <w:tcW w:w="93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CFAC419">
            <w:pPr>
              <w:widowControl/>
              <w:jc w:val="left"/>
              <w:rPr>
                <w:rFonts w:hint="eastAsia" w:ascii="宋体" w:hAnsi="宋体" w:eastAsia="宋体" w:cs="宋体"/>
                <w:color w:val="auto"/>
                <w:sz w:val="21"/>
                <w:szCs w:val="21"/>
                <w:highlight w:val="none"/>
                <w:lang w:val="en-US" w:eastAsia="zh-CN"/>
              </w:rPr>
            </w:pPr>
            <w:r>
              <w:rPr>
                <w:rStyle w:val="10"/>
                <w:rFonts w:hint="eastAsia" w:ascii="宋体" w:hAnsi="宋体" w:eastAsia="宋体" w:cs="宋体"/>
                <w:sz w:val="21"/>
                <w:szCs w:val="21"/>
                <w:lang w:val="en-US" w:eastAsia="zh-CN" w:bidi="ar"/>
              </w:rPr>
              <w:t>主机一台（含冷却系统）；移动工作站</w:t>
            </w:r>
            <w:r>
              <w:rPr>
                <w:rStyle w:val="11"/>
                <w:rFonts w:hint="eastAsia" w:ascii="宋体" w:hAnsi="宋体" w:eastAsia="宋体" w:cs="宋体"/>
                <w:sz w:val="21"/>
                <w:szCs w:val="21"/>
                <w:lang w:val="en-US" w:eastAsia="zh-CN" w:bidi="ar"/>
              </w:rPr>
              <w:t>1</w:t>
            </w:r>
            <w:r>
              <w:rPr>
                <w:rStyle w:val="10"/>
                <w:rFonts w:hint="eastAsia" w:ascii="宋体" w:hAnsi="宋体" w:eastAsia="宋体" w:cs="宋体"/>
                <w:sz w:val="21"/>
                <w:szCs w:val="21"/>
                <w:lang w:val="en-US" w:eastAsia="zh-CN" w:bidi="ar"/>
              </w:rPr>
              <w:t>套：品牌机，配置不低于</w:t>
            </w:r>
            <w:r>
              <w:rPr>
                <w:rStyle w:val="11"/>
                <w:rFonts w:hint="eastAsia" w:ascii="宋体" w:hAnsi="宋体" w:eastAsia="宋体" w:cs="宋体"/>
                <w:sz w:val="21"/>
                <w:szCs w:val="21"/>
                <w:lang w:val="en-US" w:eastAsia="zh-CN" w:bidi="ar"/>
              </w:rPr>
              <w:t>I5/8G</w:t>
            </w:r>
            <w:r>
              <w:rPr>
                <w:rStyle w:val="10"/>
                <w:rFonts w:hint="eastAsia" w:ascii="宋体" w:hAnsi="宋体" w:eastAsia="宋体" w:cs="宋体"/>
                <w:sz w:val="21"/>
                <w:szCs w:val="21"/>
                <w:lang w:val="en-US" w:eastAsia="zh-CN" w:bidi="ar"/>
              </w:rPr>
              <w:t>内存</w:t>
            </w:r>
            <w:r>
              <w:rPr>
                <w:rStyle w:val="11"/>
                <w:rFonts w:hint="eastAsia" w:ascii="宋体" w:hAnsi="宋体" w:eastAsia="宋体" w:cs="宋体"/>
                <w:sz w:val="21"/>
                <w:szCs w:val="21"/>
                <w:lang w:val="en-US" w:eastAsia="zh-CN" w:bidi="ar"/>
              </w:rPr>
              <w:t>/500G</w:t>
            </w:r>
            <w:r>
              <w:rPr>
                <w:rStyle w:val="10"/>
                <w:rFonts w:hint="eastAsia" w:ascii="宋体" w:hAnsi="宋体" w:eastAsia="宋体" w:cs="宋体"/>
                <w:sz w:val="21"/>
                <w:szCs w:val="21"/>
                <w:lang w:val="en-US" w:eastAsia="zh-CN" w:bidi="ar"/>
              </w:rPr>
              <w:t>硬盘，</w:t>
            </w:r>
            <w:r>
              <w:rPr>
                <w:rStyle w:val="11"/>
                <w:rFonts w:hint="eastAsia" w:ascii="宋体" w:hAnsi="宋体" w:eastAsia="宋体" w:cs="宋体"/>
                <w:sz w:val="21"/>
                <w:szCs w:val="21"/>
                <w:lang w:val="en-US" w:eastAsia="zh-CN" w:bidi="ar"/>
              </w:rPr>
              <w:t>14</w:t>
            </w:r>
            <w:r>
              <w:rPr>
                <w:rStyle w:val="10"/>
                <w:rFonts w:hint="eastAsia" w:ascii="宋体" w:hAnsi="宋体" w:eastAsia="宋体" w:cs="宋体"/>
                <w:sz w:val="21"/>
                <w:szCs w:val="21"/>
                <w:lang w:val="en-US" w:eastAsia="zh-CN" w:bidi="ar"/>
              </w:rPr>
              <w:t>寸显示器；启动试剂盒一套</w:t>
            </w:r>
          </w:p>
        </w:tc>
      </w:tr>
      <w:tr w14:paraId="2B470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6C3C3F0">
            <w:pPr>
              <w:widowControl/>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251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E1360A">
            <w:pPr>
              <w:widowControl/>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全自动活细胞成像仪</w:t>
            </w:r>
          </w:p>
        </w:tc>
        <w:tc>
          <w:tcPr>
            <w:tcW w:w="196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DF0970">
            <w:pPr>
              <w:widowControl/>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CELLImage MINI</w:t>
            </w:r>
          </w:p>
        </w:tc>
        <w:tc>
          <w:tcPr>
            <w:tcW w:w="93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4DA0E55">
            <w:pPr>
              <w:jc w:val="left"/>
              <w:rPr>
                <w:rFonts w:hint="eastAsia" w:ascii="宋体" w:hAnsi="宋体" w:eastAsia="宋体" w:cs="宋体"/>
                <w:sz w:val="21"/>
                <w:szCs w:val="21"/>
              </w:rPr>
            </w:pPr>
            <w:r>
              <w:rPr>
                <w:rFonts w:hint="eastAsia" w:ascii="宋体" w:hAnsi="宋体" w:eastAsia="宋体" w:cs="宋体"/>
                <w:sz w:val="21"/>
                <w:szCs w:val="21"/>
              </w:rPr>
              <w:t>1 全自动活细胞成像系统主机（包含主机与电脑的连接线及连接配件1套） 1台</w:t>
            </w:r>
          </w:p>
          <w:p w14:paraId="5F8BBD78">
            <w:pPr>
              <w:jc w:val="left"/>
              <w:rPr>
                <w:rFonts w:hint="eastAsia" w:ascii="宋体" w:hAnsi="宋体" w:eastAsia="宋体" w:cs="宋体"/>
                <w:sz w:val="21"/>
                <w:szCs w:val="21"/>
              </w:rPr>
            </w:pPr>
            <w:r>
              <w:rPr>
                <w:rFonts w:hint="eastAsia" w:ascii="宋体" w:hAnsi="宋体" w:eastAsia="宋体" w:cs="宋体"/>
                <w:sz w:val="21"/>
                <w:szCs w:val="21"/>
              </w:rPr>
              <w:t>2 6-384孔细胞培养板及T75培养瓶专用适配器 1个</w:t>
            </w:r>
          </w:p>
          <w:p w14:paraId="3BDE9594">
            <w:pPr>
              <w:jc w:val="left"/>
              <w:rPr>
                <w:rFonts w:hint="eastAsia" w:ascii="宋体" w:hAnsi="宋体" w:eastAsia="宋体" w:cs="宋体"/>
                <w:sz w:val="21"/>
                <w:szCs w:val="21"/>
              </w:rPr>
            </w:pPr>
            <w:r>
              <w:rPr>
                <w:rFonts w:hint="eastAsia" w:ascii="宋体" w:hAnsi="宋体" w:eastAsia="宋体" w:cs="宋体"/>
                <w:sz w:val="21"/>
                <w:szCs w:val="21"/>
              </w:rPr>
              <w:t>3 T25培养瓶专用适配器 1个（1个可以同时观察2个T25）</w:t>
            </w:r>
          </w:p>
          <w:p w14:paraId="5637ADD9">
            <w:pPr>
              <w:jc w:val="left"/>
              <w:rPr>
                <w:rFonts w:hint="eastAsia" w:ascii="宋体" w:hAnsi="宋体" w:eastAsia="宋体" w:cs="宋体"/>
                <w:sz w:val="21"/>
                <w:szCs w:val="21"/>
              </w:rPr>
            </w:pPr>
            <w:r>
              <w:rPr>
                <w:rFonts w:hint="eastAsia" w:ascii="宋体" w:hAnsi="宋体" w:eastAsia="宋体" w:cs="宋体"/>
                <w:sz w:val="21"/>
                <w:szCs w:val="21"/>
              </w:rPr>
              <w:t>4 35mm培养皿专用适配器 1个（1个可以同时观察2个35mmdish）</w:t>
            </w:r>
          </w:p>
          <w:p w14:paraId="7A8D5438">
            <w:pPr>
              <w:jc w:val="left"/>
              <w:rPr>
                <w:rFonts w:hint="eastAsia" w:ascii="宋体" w:hAnsi="宋体" w:eastAsia="宋体" w:cs="宋体"/>
                <w:sz w:val="21"/>
                <w:szCs w:val="21"/>
              </w:rPr>
            </w:pPr>
            <w:r>
              <w:rPr>
                <w:rFonts w:hint="eastAsia" w:ascii="宋体" w:hAnsi="宋体" w:eastAsia="宋体" w:cs="宋体"/>
                <w:sz w:val="21"/>
                <w:szCs w:val="21"/>
              </w:rPr>
              <w:t>5 60mm培养皿专用适配器 1个</w:t>
            </w:r>
          </w:p>
          <w:p w14:paraId="473F7A16">
            <w:pPr>
              <w:jc w:val="left"/>
              <w:rPr>
                <w:rFonts w:hint="eastAsia" w:ascii="宋体" w:hAnsi="宋体" w:eastAsia="宋体" w:cs="宋体"/>
                <w:sz w:val="21"/>
                <w:szCs w:val="21"/>
              </w:rPr>
            </w:pPr>
            <w:r>
              <w:rPr>
                <w:rFonts w:hint="eastAsia" w:ascii="宋体" w:hAnsi="宋体" w:eastAsia="宋体" w:cs="宋体"/>
                <w:sz w:val="21"/>
                <w:szCs w:val="21"/>
              </w:rPr>
              <w:t>6 切片适配器1个（1个可以同时观察3张切片）</w:t>
            </w:r>
          </w:p>
          <w:p w14:paraId="51AEB022">
            <w:pPr>
              <w:jc w:val="left"/>
              <w:rPr>
                <w:rFonts w:hint="eastAsia" w:ascii="宋体" w:hAnsi="宋体" w:eastAsia="宋体" w:cs="宋体"/>
                <w:sz w:val="21"/>
                <w:szCs w:val="21"/>
              </w:rPr>
            </w:pPr>
            <w:r>
              <w:rPr>
                <w:rFonts w:hint="eastAsia" w:ascii="宋体" w:hAnsi="宋体" w:eastAsia="宋体" w:cs="宋体"/>
                <w:sz w:val="21"/>
                <w:szCs w:val="21"/>
              </w:rPr>
              <w:t>7 储存器1个（包含控制和分析软件以及操作手册电子版各1套）</w:t>
            </w:r>
          </w:p>
          <w:p w14:paraId="2B2732F8">
            <w:pPr>
              <w:jc w:val="left"/>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rPr>
              <w:t>8 电源一套</w:t>
            </w:r>
          </w:p>
        </w:tc>
      </w:tr>
      <w:tr w14:paraId="3F403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F109F9">
            <w:pPr>
              <w:widowControl/>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251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EEB00B1">
            <w:pPr>
              <w:widowControl/>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高速台式离心机</w:t>
            </w:r>
          </w:p>
        </w:tc>
        <w:tc>
          <w:tcPr>
            <w:tcW w:w="196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D85B12F">
            <w:pPr>
              <w:widowControl/>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Microfuge 20R</w:t>
            </w:r>
          </w:p>
        </w:tc>
        <w:tc>
          <w:tcPr>
            <w:tcW w:w="93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02489E4">
            <w:pPr>
              <w:widowControl/>
              <w:jc w:val="left"/>
              <w:rPr>
                <w:rFonts w:hint="eastAsia" w:ascii="宋体" w:hAnsi="宋体" w:eastAsia="宋体" w:cs="宋体"/>
                <w:color w:val="auto"/>
                <w:sz w:val="21"/>
                <w:szCs w:val="21"/>
                <w:highlight w:val="none"/>
                <w:lang w:val="en-US" w:eastAsia="zh-CN"/>
              </w:rPr>
            </w:pPr>
            <w:r>
              <w:rPr>
                <w:rStyle w:val="10"/>
                <w:rFonts w:hint="eastAsia" w:ascii="宋体" w:hAnsi="宋体" w:eastAsia="宋体" w:cs="宋体"/>
                <w:sz w:val="21"/>
                <w:szCs w:val="21"/>
                <w:lang w:val="en-US" w:eastAsia="zh-CN" w:bidi="ar"/>
              </w:rPr>
              <w:t>主机一台，</w:t>
            </w:r>
            <w:r>
              <w:rPr>
                <w:rStyle w:val="11"/>
                <w:rFonts w:hint="eastAsia" w:ascii="宋体" w:hAnsi="宋体" w:eastAsia="宋体" w:cs="宋体"/>
                <w:sz w:val="21"/>
                <w:szCs w:val="21"/>
                <w:lang w:val="en-US" w:eastAsia="zh-CN" w:bidi="ar"/>
              </w:rPr>
              <w:t>24×1.5/2.0mL</w:t>
            </w:r>
            <w:r>
              <w:rPr>
                <w:rStyle w:val="10"/>
                <w:rFonts w:hint="eastAsia" w:ascii="宋体" w:hAnsi="宋体" w:eastAsia="宋体" w:cs="宋体"/>
                <w:sz w:val="21"/>
                <w:szCs w:val="21"/>
                <w:lang w:val="en-US" w:eastAsia="zh-CN" w:bidi="ar"/>
              </w:rPr>
              <w:t>定角转头一个</w:t>
            </w:r>
          </w:p>
        </w:tc>
      </w:tr>
      <w:tr w14:paraId="70259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78C989">
            <w:pPr>
              <w:widowControl/>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251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CCC9D2">
            <w:pPr>
              <w:widowControl/>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行为分析系统</w:t>
            </w:r>
          </w:p>
        </w:tc>
        <w:tc>
          <w:tcPr>
            <w:tcW w:w="196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41D6B9">
            <w:pPr>
              <w:widowControl/>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FishTrack</w:t>
            </w:r>
          </w:p>
        </w:tc>
        <w:tc>
          <w:tcPr>
            <w:tcW w:w="93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01A022">
            <w:pPr>
              <w:jc w:val="left"/>
              <w:rPr>
                <w:rFonts w:hint="eastAsia" w:ascii="宋体" w:hAnsi="宋体" w:eastAsia="宋体" w:cs="宋体"/>
                <w:sz w:val="21"/>
                <w:szCs w:val="21"/>
              </w:rPr>
            </w:pPr>
            <w:r>
              <w:rPr>
                <w:rFonts w:hint="eastAsia" w:ascii="宋体" w:hAnsi="宋体" w:eastAsia="宋体" w:cs="宋体"/>
                <w:sz w:val="21"/>
                <w:szCs w:val="21"/>
              </w:rPr>
              <w:t>1 系统具备高清相机、红外过滤器及红外照明系统，可以为鱼类的追踪提供良好的监控条件，摄像机采集速率：30-60帧/秒，分辨率：≥1080P，红外照明系统功率可调；</w:t>
            </w:r>
          </w:p>
          <w:p w14:paraId="7DD0A46F">
            <w:pPr>
              <w:jc w:val="left"/>
              <w:rPr>
                <w:rFonts w:hint="eastAsia" w:ascii="宋体" w:hAnsi="宋体" w:eastAsia="宋体" w:cs="宋体"/>
                <w:sz w:val="21"/>
                <w:szCs w:val="21"/>
              </w:rPr>
            </w:pPr>
            <w:r>
              <w:rPr>
                <w:rFonts w:hint="eastAsia" w:ascii="宋体" w:hAnsi="宋体" w:eastAsia="宋体" w:cs="宋体"/>
                <w:sz w:val="21"/>
                <w:szCs w:val="21"/>
              </w:rPr>
              <w:t>2 幼鱼观察箱可以放置 6、12、24、48、96 孔板或者实验皿等完成幼鱼的高通量实验；</w:t>
            </w:r>
          </w:p>
          <w:p w14:paraId="55303676">
            <w:pPr>
              <w:jc w:val="left"/>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rPr>
              <w:t>3 成鱼观察装置需包含十字交互迷宫、旷场实验箱、新物体识别箱、T迷宫等</w:t>
            </w:r>
          </w:p>
        </w:tc>
      </w:tr>
      <w:tr w14:paraId="5AE28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4B1042">
            <w:pPr>
              <w:widowControl/>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251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2514D7">
            <w:pPr>
              <w:widowControl/>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多通道光催化反应系统</w:t>
            </w:r>
          </w:p>
        </w:tc>
        <w:tc>
          <w:tcPr>
            <w:tcW w:w="196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4D3FC9">
            <w:pPr>
              <w:widowControl/>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PCX50C</w:t>
            </w:r>
          </w:p>
        </w:tc>
        <w:tc>
          <w:tcPr>
            <w:tcW w:w="93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D4DD00">
            <w:pPr>
              <w:jc w:val="left"/>
              <w:rPr>
                <w:rFonts w:hint="eastAsia" w:ascii="宋体" w:hAnsi="宋体" w:eastAsia="宋体" w:cs="宋体"/>
                <w:sz w:val="21"/>
                <w:szCs w:val="21"/>
              </w:rPr>
            </w:pPr>
            <w:r>
              <w:rPr>
                <w:rFonts w:hint="eastAsia" w:ascii="宋体" w:hAnsi="宋体" w:eastAsia="宋体" w:cs="宋体"/>
                <w:sz w:val="21"/>
                <w:szCs w:val="21"/>
              </w:rPr>
              <w:t>1 PCX50C Discover系统主机，含旋片式光源1组；</w:t>
            </w:r>
          </w:p>
          <w:p w14:paraId="7D3A304D">
            <w:pPr>
              <w:jc w:val="left"/>
              <w:rPr>
                <w:rFonts w:hint="eastAsia" w:ascii="宋体" w:hAnsi="宋体" w:eastAsia="宋体" w:cs="宋体"/>
                <w:sz w:val="21"/>
                <w:szCs w:val="21"/>
              </w:rPr>
            </w:pPr>
            <w:r>
              <w:rPr>
                <w:rFonts w:hint="eastAsia" w:ascii="宋体" w:hAnsi="宋体" w:eastAsia="宋体" w:cs="宋体"/>
                <w:sz w:val="21"/>
                <w:szCs w:val="21"/>
              </w:rPr>
              <w:t>2 配件箱：石英反应瓶9个（含搅拌子）；多功能瓶盖9个（含密封垫）；气体取样针1个；液体取样针1个；温度计一支；水平仪一个；气氛控制器（选配）。</w:t>
            </w:r>
          </w:p>
          <w:p w14:paraId="7E6C7FD0">
            <w:pPr>
              <w:jc w:val="left"/>
              <w:rPr>
                <w:rFonts w:hint="eastAsia" w:ascii="宋体" w:hAnsi="宋体" w:eastAsia="宋体" w:cs="宋体"/>
                <w:sz w:val="21"/>
                <w:szCs w:val="21"/>
              </w:rPr>
            </w:pPr>
            <w:r>
              <w:rPr>
                <w:rFonts w:hint="eastAsia" w:ascii="宋体" w:hAnsi="宋体" w:eastAsia="宋体" w:cs="宋体"/>
                <w:sz w:val="21"/>
                <w:szCs w:val="21"/>
              </w:rPr>
              <w:t>3 DCM-0506低温恒温槽</w:t>
            </w:r>
          </w:p>
          <w:p w14:paraId="21139D43">
            <w:pPr>
              <w:jc w:val="left"/>
              <w:rPr>
                <w:rFonts w:hint="eastAsia" w:ascii="宋体" w:hAnsi="宋体" w:eastAsia="宋体" w:cs="宋体"/>
                <w:sz w:val="21"/>
                <w:szCs w:val="21"/>
              </w:rPr>
            </w:pPr>
            <w:r>
              <w:rPr>
                <w:rFonts w:hint="eastAsia" w:ascii="宋体" w:hAnsi="宋体" w:eastAsia="宋体" w:cs="宋体"/>
                <w:sz w:val="21"/>
                <w:szCs w:val="21"/>
              </w:rPr>
              <w:t>4 强光功率计1台</w:t>
            </w:r>
          </w:p>
          <w:p w14:paraId="3B193B6F">
            <w:pPr>
              <w:jc w:val="left"/>
              <w:rPr>
                <w:rFonts w:hint="eastAsia" w:ascii="宋体" w:hAnsi="宋体" w:eastAsia="宋体" w:cs="宋体"/>
                <w:sz w:val="21"/>
                <w:szCs w:val="21"/>
              </w:rPr>
            </w:pPr>
            <w:r>
              <w:rPr>
                <w:rFonts w:hint="eastAsia" w:ascii="宋体" w:hAnsi="宋体" w:eastAsia="宋体" w:cs="宋体"/>
                <w:sz w:val="21"/>
                <w:szCs w:val="21"/>
              </w:rPr>
              <w:t>5 低温循环水机</w:t>
            </w:r>
          </w:p>
          <w:p w14:paraId="527DAAC4">
            <w:pPr>
              <w:jc w:val="left"/>
              <w:rPr>
                <w:rFonts w:hint="eastAsia" w:ascii="宋体" w:hAnsi="宋体" w:eastAsia="宋体" w:cs="宋体"/>
                <w:sz w:val="21"/>
                <w:szCs w:val="21"/>
              </w:rPr>
            </w:pPr>
            <w:r>
              <w:rPr>
                <w:rFonts w:hint="eastAsia" w:ascii="宋体" w:hAnsi="宋体" w:eastAsia="宋体" w:cs="宋体"/>
                <w:sz w:val="21"/>
                <w:szCs w:val="21"/>
              </w:rPr>
              <w:t>6 专用300W 氙灯稳流电源；</w:t>
            </w:r>
          </w:p>
          <w:p w14:paraId="2108461D">
            <w:pPr>
              <w:jc w:val="left"/>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rPr>
              <w:t>7  300W氙灯光源；</w:t>
            </w:r>
          </w:p>
        </w:tc>
      </w:tr>
      <w:tr w14:paraId="3315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7017CA">
            <w:pPr>
              <w:widowControl/>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251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F3333E">
            <w:pPr>
              <w:widowControl/>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倒置荧光显微镜</w:t>
            </w:r>
          </w:p>
        </w:tc>
        <w:tc>
          <w:tcPr>
            <w:tcW w:w="196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824B12">
            <w:pPr>
              <w:widowControl/>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ICX41</w:t>
            </w:r>
          </w:p>
        </w:tc>
        <w:tc>
          <w:tcPr>
            <w:tcW w:w="93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12BBFB">
            <w:pPr>
              <w:jc w:val="left"/>
              <w:rPr>
                <w:rFonts w:hint="eastAsia" w:ascii="宋体" w:hAnsi="宋体" w:eastAsia="宋体" w:cs="宋体"/>
                <w:sz w:val="21"/>
                <w:szCs w:val="21"/>
              </w:rPr>
            </w:pPr>
            <w:r>
              <w:rPr>
                <w:rFonts w:hint="eastAsia" w:ascii="宋体" w:hAnsi="宋体" w:eastAsia="宋体" w:cs="宋体"/>
                <w:sz w:val="21"/>
                <w:szCs w:val="21"/>
              </w:rPr>
              <w:t xml:space="preserve">1 目镜：PL10X22mm，视度可调；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数量：1对。</w:t>
            </w:r>
          </w:p>
          <w:p w14:paraId="2F6A6C88">
            <w:pPr>
              <w:jc w:val="left"/>
              <w:rPr>
                <w:rFonts w:hint="eastAsia" w:ascii="宋体" w:hAnsi="宋体" w:eastAsia="宋体" w:cs="宋体"/>
                <w:sz w:val="21"/>
                <w:szCs w:val="21"/>
              </w:rPr>
            </w:pPr>
            <w:r>
              <w:rPr>
                <w:rFonts w:hint="eastAsia" w:ascii="宋体" w:hAnsi="宋体" w:eastAsia="宋体" w:cs="宋体"/>
                <w:sz w:val="21"/>
                <w:szCs w:val="21"/>
              </w:rPr>
              <w:t>2 物镜：半复荧光专用物镜（带FL和NA标识），4倍、10倍；               数量：1组。</w:t>
            </w:r>
          </w:p>
          <w:p w14:paraId="600BD91E">
            <w:pPr>
              <w:jc w:val="left"/>
              <w:rPr>
                <w:rFonts w:hint="eastAsia" w:ascii="宋体" w:hAnsi="宋体" w:eastAsia="宋体" w:cs="宋体"/>
                <w:sz w:val="21"/>
                <w:szCs w:val="21"/>
              </w:rPr>
            </w:pPr>
            <w:r>
              <w:rPr>
                <w:rFonts w:hint="eastAsia" w:ascii="宋体" w:hAnsi="宋体" w:eastAsia="宋体" w:cs="宋体"/>
                <w:sz w:val="21"/>
                <w:szCs w:val="21"/>
              </w:rPr>
              <w:t>3 物镜：半复荧光专用带相称物镜（带FL、PH、NA标识），20倍、40倍；     数量：1组。</w:t>
            </w:r>
          </w:p>
          <w:p w14:paraId="2C74765F">
            <w:pPr>
              <w:jc w:val="left"/>
              <w:rPr>
                <w:rFonts w:hint="eastAsia" w:ascii="宋体" w:hAnsi="宋体" w:eastAsia="宋体" w:cs="宋体"/>
                <w:sz w:val="21"/>
                <w:szCs w:val="21"/>
              </w:rPr>
            </w:pPr>
            <w:r>
              <w:rPr>
                <w:rFonts w:hint="eastAsia" w:ascii="宋体" w:hAnsi="宋体" w:eastAsia="宋体" w:cs="宋体"/>
                <w:sz w:val="21"/>
                <w:szCs w:val="21"/>
              </w:rPr>
              <w:t>4 主机机架组：含调焦机构，载物平台，5孔物镜转盘，三目观察筒，聚光镜； 数量：1台</w:t>
            </w:r>
          </w:p>
          <w:p w14:paraId="4DA9CEB9">
            <w:pPr>
              <w:jc w:val="left"/>
              <w:rPr>
                <w:rFonts w:hint="eastAsia" w:ascii="宋体" w:hAnsi="宋体" w:eastAsia="宋体" w:cs="宋体"/>
                <w:sz w:val="21"/>
                <w:szCs w:val="21"/>
              </w:rPr>
            </w:pPr>
            <w:r>
              <w:rPr>
                <w:rFonts w:hint="eastAsia" w:ascii="宋体" w:hAnsi="宋体" w:eastAsia="宋体" w:cs="宋体"/>
                <w:sz w:val="21"/>
                <w:szCs w:val="21"/>
              </w:rPr>
              <w:t>5 载物台附件：延伸板、金属载物台板、切片托座、Terasaki托座；          数量：1套。</w:t>
            </w:r>
          </w:p>
          <w:p w14:paraId="78D58D2E">
            <w:pPr>
              <w:jc w:val="left"/>
              <w:rPr>
                <w:rFonts w:hint="eastAsia" w:ascii="宋体" w:hAnsi="宋体" w:eastAsia="宋体" w:cs="宋体"/>
                <w:sz w:val="21"/>
                <w:szCs w:val="21"/>
              </w:rPr>
            </w:pPr>
            <w:r>
              <w:rPr>
                <w:rFonts w:hint="eastAsia" w:ascii="宋体" w:hAnsi="宋体" w:eastAsia="宋体" w:cs="宋体"/>
                <w:sz w:val="21"/>
                <w:szCs w:val="21"/>
              </w:rPr>
              <w:t xml:space="preserve">6 附件：合格证、说明书、防尘罩、绿色反差滤色片、相称插板、电源线；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数量：1套。</w:t>
            </w:r>
          </w:p>
          <w:p w14:paraId="68101BD5">
            <w:pPr>
              <w:jc w:val="left"/>
              <w:rPr>
                <w:rFonts w:hint="eastAsia" w:ascii="宋体" w:hAnsi="宋体" w:eastAsia="宋体" w:cs="宋体"/>
                <w:sz w:val="21"/>
                <w:szCs w:val="21"/>
              </w:rPr>
            </w:pPr>
            <w:r>
              <w:rPr>
                <w:rFonts w:hint="eastAsia" w:ascii="宋体" w:hAnsi="宋体" w:eastAsia="宋体" w:cs="宋体"/>
                <w:sz w:val="21"/>
                <w:szCs w:val="21"/>
              </w:rPr>
              <w:t>7 成像系统：原装500万像素超高色彩还原相机（含C型接口、标准软件，能支持荧光拍摄）；   数量：1套。</w:t>
            </w:r>
          </w:p>
          <w:p w14:paraId="03A78CBD">
            <w:pPr>
              <w:jc w:val="left"/>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rPr>
              <w:t>8 工作站1套：品牌机，配置为不低于I5/8G/1T/23寸液显</w:t>
            </w:r>
          </w:p>
        </w:tc>
      </w:tr>
      <w:tr w14:paraId="2F5D2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0D0802">
            <w:pPr>
              <w:widowControl/>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251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C06AF3">
            <w:pPr>
              <w:widowControl/>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酶标仪</w:t>
            </w:r>
          </w:p>
        </w:tc>
        <w:tc>
          <w:tcPr>
            <w:tcW w:w="196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C82603">
            <w:pPr>
              <w:widowControl/>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Multiskan FC</w:t>
            </w:r>
          </w:p>
        </w:tc>
        <w:tc>
          <w:tcPr>
            <w:tcW w:w="93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F38EF8">
            <w:pPr>
              <w:jc w:val="left"/>
              <w:rPr>
                <w:rFonts w:hint="eastAsia" w:ascii="宋体" w:hAnsi="宋体" w:eastAsia="宋体" w:cs="宋体"/>
                <w:sz w:val="21"/>
                <w:szCs w:val="21"/>
              </w:rPr>
            </w:pPr>
            <w:r>
              <w:rPr>
                <w:rFonts w:hint="eastAsia" w:ascii="宋体" w:hAnsi="宋体" w:eastAsia="宋体" w:cs="宋体"/>
                <w:sz w:val="21"/>
                <w:szCs w:val="21"/>
              </w:rPr>
              <w:t>1 主机一台（带有高分辨彩色显示屏）</w:t>
            </w:r>
          </w:p>
          <w:p w14:paraId="47E8A2E4">
            <w:pPr>
              <w:jc w:val="left"/>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rPr>
              <w:t>2 标准滤光片5块：405nm，450nm，490nm，562nm，620nm。</w:t>
            </w:r>
          </w:p>
        </w:tc>
      </w:tr>
      <w:tr w14:paraId="3FDBA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C38799">
            <w:pPr>
              <w:widowControl/>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251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23C4DB">
            <w:pPr>
              <w:widowControl/>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一体式磁力搅拌器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集热式磁力搅拌器</w:t>
            </w:r>
            <w:r>
              <w:rPr>
                <w:rFonts w:hint="eastAsia" w:ascii="宋体" w:hAnsi="宋体" w:eastAsia="宋体" w:cs="宋体"/>
                <w:color w:val="auto"/>
                <w:sz w:val="21"/>
                <w:szCs w:val="21"/>
                <w:highlight w:val="none"/>
                <w:lang w:eastAsia="zh-CN"/>
              </w:rPr>
              <w:t>）</w:t>
            </w:r>
          </w:p>
        </w:tc>
        <w:tc>
          <w:tcPr>
            <w:tcW w:w="196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E88B02">
            <w:pPr>
              <w:widowControl/>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DF-101S(分体款）</w:t>
            </w:r>
          </w:p>
        </w:tc>
        <w:tc>
          <w:tcPr>
            <w:tcW w:w="93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98D99F">
            <w:pPr>
              <w:widowControl/>
              <w:jc w:val="lef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一体式磁力搅拌器</w:t>
            </w:r>
            <w:r>
              <w:rPr>
                <w:rFonts w:hint="eastAsia" w:ascii="宋体" w:hAnsi="宋体" w:cs="宋体"/>
                <w:color w:val="auto"/>
                <w:sz w:val="21"/>
                <w:szCs w:val="21"/>
                <w:highlight w:val="none"/>
                <w:lang w:val="en-US" w:eastAsia="zh-CN"/>
              </w:rPr>
              <w:t>主机 1台</w:t>
            </w:r>
          </w:p>
        </w:tc>
      </w:tr>
      <w:tr w14:paraId="5C5CD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750DCA">
            <w:pPr>
              <w:widowControl/>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251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1CAE71">
            <w:pPr>
              <w:widowControl/>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电热鼓风干燥箱</w:t>
            </w:r>
          </w:p>
        </w:tc>
        <w:tc>
          <w:tcPr>
            <w:tcW w:w="196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AAAF60">
            <w:pPr>
              <w:widowControl/>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FXB101-2</w:t>
            </w:r>
          </w:p>
        </w:tc>
        <w:tc>
          <w:tcPr>
            <w:tcW w:w="93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DDB27A4">
            <w:pPr>
              <w:widowControl/>
              <w:jc w:val="lef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电热鼓风干燥箱</w:t>
            </w:r>
            <w:r>
              <w:rPr>
                <w:rFonts w:hint="eastAsia" w:ascii="宋体" w:hAnsi="宋体" w:cs="宋体"/>
                <w:color w:val="auto"/>
                <w:sz w:val="21"/>
                <w:szCs w:val="21"/>
                <w:highlight w:val="none"/>
                <w:lang w:val="en-US" w:eastAsia="zh-CN"/>
              </w:rPr>
              <w:t>主机 1台</w:t>
            </w:r>
          </w:p>
        </w:tc>
      </w:tr>
    </w:tbl>
    <w:p w14:paraId="5ED4D276">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w:t>
      </w:r>
    </w:p>
    <w:p w14:paraId="061235D7">
      <w:pP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甲方货物负责人签字：****</w:t>
      </w:r>
    </w:p>
    <w:p w14:paraId="7085D573">
      <w:pPr>
        <w:rPr>
          <w:rFonts w:hint="eastAsia" w:ascii="宋体" w:hAnsi="宋体" w:eastAsia="宋体" w:cs="宋体"/>
          <w:b/>
          <w:color w:val="auto"/>
          <w:sz w:val="24"/>
          <w:szCs w:val="24"/>
          <w:highlight w:val="none"/>
        </w:rPr>
      </w:pPr>
    </w:p>
    <w:p w14:paraId="38B6293C">
      <w:pPr>
        <w:widowControl/>
        <w:jc w:val="left"/>
        <w:rPr>
          <w:rFonts w:hint="eastAsia" w:ascii="宋体" w:hAnsi="宋体" w:eastAsia="宋体" w:cs="宋体"/>
          <w:b/>
          <w:color w:val="auto"/>
          <w:sz w:val="24"/>
          <w:szCs w:val="24"/>
          <w:highlight w:val="none"/>
        </w:rPr>
        <w:sectPr>
          <w:pgSz w:w="16838" w:h="11906" w:orient="landscape"/>
          <w:pgMar w:top="1134" w:right="794" w:bottom="1134" w:left="1077" w:header="851" w:footer="992" w:gutter="0"/>
          <w:pgNumType w:fmt="decimal"/>
          <w:cols w:space="720" w:num="1"/>
          <w:docGrid w:type="lines" w:linePitch="312" w:charSpace="0"/>
        </w:sectPr>
      </w:pPr>
    </w:p>
    <w:p w14:paraId="5E0AEF6F">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附件4：                                         货物技术参数及配置表</w:t>
      </w:r>
    </w:p>
    <w:tbl>
      <w:tblPr>
        <w:tblStyle w:val="6"/>
        <w:tblW w:w="0" w:type="auto"/>
        <w:tblInd w:w="-7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0"/>
        <w:gridCol w:w="1244"/>
        <w:gridCol w:w="1733"/>
        <w:gridCol w:w="1117"/>
        <w:gridCol w:w="6467"/>
        <w:gridCol w:w="566"/>
        <w:gridCol w:w="1234"/>
        <w:gridCol w:w="816"/>
        <w:gridCol w:w="1217"/>
      </w:tblGrid>
      <w:tr w14:paraId="06C738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0"/>
            <w:vAlign w:val="center"/>
          </w:tcPr>
          <w:p w14:paraId="57358E55">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1244" w:type="dxa"/>
            <w:tcBorders>
              <w:top w:val="single" w:color="auto" w:sz="4" w:space="0"/>
              <w:left w:val="nil"/>
              <w:bottom w:val="single" w:color="auto" w:sz="4" w:space="0"/>
              <w:right w:val="single" w:color="auto" w:sz="4" w:space="0"/>
            </w:tcBorders>
            <w:noWrap w:val="0"/>
            <w:vAlign w:val="center"/>
          </w:tcPr>
          <w:p w14:paraId="355E0538">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货物或配置名称</w:t>
            </w:r>
          </w:p>
        </w:tc>
        <w:tc>
          <w:tcPr>
            <w:tcW w:w="1733" w:type="dxa"/>
            <w:tcBorders>
              <w:top w:val="single" w:color="auto" w:sz="4" w:space="0"/>
              <w:left w:val="nil"/>
              <w:bottom w:val="single" w:color="auto" w:sz="4" w:space="0"/>
              <w:right w:val="single" w:color="auto" w:sz="4" w:space="0"/>
            </w:tcBorders>
            <w:noWrap w:val="0"/>
            <w:vAlign w:val="center"/>
          </w:tcPr>
          <w:p w14:paraId="494B389D">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图片</w:t>
            </w:r>
          </w:p>
        </w:tc>
        <w:tc>
          <w:tcPr>
            <w:tcW w:w="1117" w:type="dxa"/>
            <w:tcBorders>
              <w:top w:val="single" w:color="auto" w:sz="4" w:space="0"/>
              <w:left w:val="nil"/>
              <w:bottom w:val="single" w:color="auto" w:sz="4" w:space="0"/>
              <w:right w:val="single" w:color="auto" w:sz="4" w:space="0"/>
            </w:tcBorders>
            <w:noWrap w:val="0"/>
            <w:vAlign w:val="center"/>
          </w:tcPr>
          <w:p w14:paraId="74D9EAA3">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型号规格</w:t>
            </w:r>
          </w:p>
        </w:tc>
        <w:tc>
          <w:tcPr>
            <w:tcW w:w="6467" w:type="dxa"/>
            <w:tcBorders>
              <w:top w:val="single" w:color="auto" w:sz="4" w:space="0"/>
              <w:left w:val="nil"/>
              <w:bottom w:val="single" w:color="auto" w:sz="4" w:space="0"/>
              <w:right w:val="single" w:color="auto" w:sz="4" w:space="0"/>
            </w:tcBorders>
            <w:noWrap w:val="0"/>
            <w:vAlign w:val="center"/>
          </w:tcPr>
          <w:p w14:paraId="04A3400A">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规格参数</w:t>
            </w:r>
          </w:p>
        </w:tc>
        <w:tc>
          <w:tcPr>
            <w:tcW w:w="566" w:type="dxa"/>
            <w:tcBorders>
              <w:top w:val="single" w:color="auto" w:sz="4" w:space="0"/>
              <w:left w:val="nil"/>
              <w:bottom w:val="single" w:color="auto" w:sz="4" w:space="0"/>
              <w:right w:val="single" w:color="auto" w:sz="4" w:space="0"/>
            </w:tcBorders>
            <w:noWrap w:val="0"/>
            <w:vAlign w:val="center"/>
          </w:tcPr>
          <w:p w14:paraId="6A701184">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数量</w:t>
            </w:r>
          </w:p>
        </w:tc>
        <w:tc>
          <w:tcPr>
            <w:tcW w:w="1234" w:type="dxa"/>
            <w:tcBorders>
              <w:top w:val="single" w:color="auto" w:sz="4" w:space="0"/>
              <w:left w:val="nil"/>
              <w:bottom w:val="single" w:color="auto" w:sz="4" w:space="0"/>
              <w:right w:val="single" w:color="auto" w:sz="4" w:space="0"/>
            </w:tcBorders>
            <w:noWrap w:val="0"/>
            <w:vAlign w:val="center"/>
          </w:tcPr>
          <w:p w14:paraId="74C773FE">
            <w:pPr>
              <w:ind w:right="-107" w:rightChars="-51"/>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制造厂(商)</w:t>
            </w:r>
          </w:p>
        </w:tc>
        <w:tc>
          <w:tcPr>
            <w:tcW w:w="816" w:type="dxa"/>
            <w:tcBorders>
              <w:top w:val="single" w:color="auto" w:sz="4" w:space="0"/>
              <w:left w:val="nil"/>
              <w:bottom w:val="single" w:color="auto" w:sz="4" w:space="0"/>
              <w:right w:val="single" w:color="auto" w:sz="4" w:space="0"/>
            </w:tcBorders>
            <w:noWrap w:val="0"/>
            <w:vAlign w:val="center"/>
          </w:tcPr>
          <w:p w14:paraId="02E4949C">
            <w:pPr>
              <w:ind w:right="-107" w:rightChars="-51"/>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原产地</w:t>
            </w:r>
          </w:p>
          <w:p w14:paraId="2CCCAC17">
            <w:pPr>
              <w:ind w:right="-107" w:rightChars="-51"/>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(国)</w:t>
            </w:r>
          </w:p>
        </w:tc>
        <w:tc>
          <w:tcPr>
            <w:tcW w:w="1217" w:type="dxa"/>
            <w:tcBorders>
              <w:top w:val="single" w:color="auto" w:sz="4" w:space="0"/>
              <w:left w:val="nil"/>
              <w:bottom w:val="single" w:color="auto" w:sz="4" w:space="0"/>
              <w:right w:val="single" w:color="auto" w:sz="4" w:space="0"/>
            </w:tcBorders>
            <w:noWrap w:val="0"/>
            <w:vAlign w:val="top"/>
          </w:tcPr>
          <w:p w14:paraId="05F904B4">
            <w:pPr>
              <w:ind w:right="-107" w:rightChars="-51"/>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甲方货物负责人签字确认</w:t>
            </w:r>
          </w:p>
        </w:tc>
      </w:tr>
      <w:tr w14:paraId="0824CA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7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80670B">
            <w:pPr>
              <w:keepNext w:val="0"/>
              <w:keepLines w:val="0"/>
              <w:pageBreakBefore w:val="0"/>
              <w:widowControl w:val="0"/>
              <w:kinsoku/>
              <w:wordWrap/>
              <w:overflowPunct/>
              <w:topLinePunct w:val="0"/>
              <w:autoSpaceDE/>
              <w:autoSpaceDN/>
              <w:bidi w:val="0"/>
              <w:adjustRightInd/>
              <w:snapToGrid/>
              <w:spacing w:line="440" w:lineRule="exact"/>
              <w:ind w:left="-63" w:leftChars="-30" w:right="-63" w:rightChars="-3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1</w:t>
            </w:r>
          </w:p>
        </w:tc>
        <w:tc>
          <w:tcPr>
            <w:tcW w:w="1244" w:type="dxa"/>
            <w:tcBorders>
              <w:top w:val="single" w:color="auto" w:sz="4" w:space="0"/>
              <w:left w:val="nil"/>
              <w:bottom w:val="single" w:color="auto" w:sz="4" w:space="0"/>
              <w:right w:val="single" w:color="auto" w:sz="4" w:space="0"/>
            </w:tcBorders>
            <w:shd w:val="clear" w:color="auto" w:fill="auto"/>
            <w:noWrap w:val="0"/>
            <w:vAlign w:val="center"/>
          </w:tcPr>
          <w:p w14:paraId="4CEFC22B">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rPr>
              <w:t>非接触式聚焦超声样本处理系统</w:t>
            </w:r>
          </w:p>
        </w:tc>
        <w:tc>
          <w:tcPr>
            <w:tcW w:w="1733" w:type="dxa"/>
            <w:tcBorders>
              <w:top w:val="single" w:color="auto" w:sz="4" w:space="0"/>
              <w:left w:val="nil"/>
              <w:bottom w:val="single" w:color="auto" w:sz="4" w:space="0"/>
              <w:right w:val="single" w:color="auto" w:sz="4" w:space="0"/>
            </w:tcBorders>
            <w:noWrap w:val="0"/>
            <w:vAlign w:val="center"/>
          </w:tcPr>
          <w:p w14:paraId="58E08D47">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drawing>
                <wp:inline distT="0" distB="0" distL="114300" distR="114300">
                  <wp:extent cx="1004570" cy="1034415"/>
                  <wp:effectExtent l="0" t="0" r="5080" b="13335"/>
                  <wp:docPr id="1" name="图片 1" descr="174677573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46775734327"/>
                          <pic:cNvPicPr>
                            <a:picLocks noChangeAspect="1"/>
                          </pic:cNvPicPr>
                        </pic:nvPicPr>
                        <pic:blipFill>
                          <a:blip r:embed="rId7"/>
                          <a:stretch>
                            <a:fillRect/>
                          </a:stretch>
                        </pic:blipFill>
                        <pic:spPr>
                          <a:xfrm>
                            <a:off x="0" y="0"/>
                            <a:ext cx="1004570" cy="1034415"/>
                          </a:xfrm>
                          <a:prstGeom prst="rect">
                            <a:avLst/>
                          </a:prstGeom>
                        </pic:spPr>
                      </pic:pic>
                    </a:graphicData>
                  </a:graphic>
                </wp:inline>
              </w:drawing>
            </w:r>
          </w:p>
        </w:tc>
        <w:tc>
          <w:tcPr>
            <w:tcW w:w="1117" w:type="dxa"/>
            <w:tcBorders>
              <w:top w:val="single" w:color="auto" w:sz="4" w:space="0"/>
              <w:left w:val="nil"/>
              <w:bottom w:val="single" w:color="auto" w:sz="4" w:space="0"/>
              <w:right w:val="single" w:color="auto" w:sz="4" w:space="0"/>
            </w:tcBorders>
            <w:shd w:val="clear" w:color="auto" w:fill="auto"/>
            <w:noWrap w:val="0"/>
            <w:vAlign w:val="center"/>
          </w:tcPr>
          <w:p w14:paraId="4DF348C6">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ME220</w:t>
            </w:r>
          </w:p>
        </w:tc>
        <w:tc>
          <w:tcPr>
            <w:tcW w:w="6467" w:type="dxa"/>
            <w:tcBorders>
              <w:top w:val="single" w:color="auto" w:sz="4" w:space="0"/>
              <w:left w:val="nil"/>
              <w:bottom w:val="single" w:color="auto" w:sz="4" w:space="0"/>
              <w:right w:val="single" w:color="auto" w:sz="4" w:space="0"/>
            </w:tcBorders>
            <w:noWrap w:val="0"/>
            <w:vAlign w:val="center"/>
          </w:tcPr>
          <w:p w14:paraId="096EB49B">
            <w:pPr>
              <w:rPr>
                <w:rFonts w:hint="eastAsia" w:ascii="宋体" w:hAnsi="宋体" w:eastAsia="宋体" w:cs="宋体"/>
              </w:rPr>
            </w:pPr>
            <w:r>
              <w:rPr>
                <w:rFonts w:hint="eastAsia" w:ascii="宋体" w:hAnsi="宋体" w:eastAsia="宋体" w:cs="宋体"/>
              </w:rPr>
              <w:t>1. 功能：基于自动声波聚焦原理，利用几何聚焦声波能量，通过400kHz的球面固态超声传感器可将波长3mm的声波能量聚焦在样品上。用于多种样品如动物组织、植物组织、细胞等样品的蛋白质、DNA、RNA、多肽等物质的提取。</w:t>
            </w:r>
          </w:p>
          <w:p w14:paraId="70933E47">
            <w:pPr>
              <w:rPr>
                <w:rFonts w:hint="eastAsia" w:ascii="宋体" w:hAnsi="宋体" w:eastAsia="宋体" w:cs="宋体"/>
              </w:rPr>
            </w:pPr>
            <w:r>
              <w:rPr>
                <w:rFonts w:hint="eastAsia" w:ascii="宋体" w:hAnsi="宋体" w:eastAsia="宋体" w:cs="宋体"/>
              </w:rPr>
              <w:t xml:space="preserve">2. 配置：主机一台（含冷却系统）；移动工作站1套：品牌机，配置I5/8G内存/500G硬盘，14寸显示器；启动试剂盒一套      </w:t>
            </w:r>
          </w:p>
          <w:p w14:paraId="1CFCE15B">
            <w:pPr>
              <w:rPr>
                <w:rFonts w:hint="eastAsia" w:ascii="宋体" w:hAnsi="宋体" w:eastAsia="宋体" w:cs="宋体"/>
              </w:rPr>
            </w:pPr>
            <w:r>
              <w:rPr>
                <w:rFonts w:hint="eastAsia" w:ascii="宋体" w:hAnsi="宋体" w:eastAsia="宋体" w:cs="宋体"/>
              </w:rPr>
              <w:t>3.技术参数</w:t>
            </w:r>
          </w:p>
          <w:p w14:paraId="03E00D53">
            <w:pPr>
              <w:rPr>
                <w:rFonts w:hint="eastAsia" w:ascii="宋体" w:hAnsi="宋体" w:eastAsia="宋体" w:cs="宋体"/>
              </w:rPr>
            </w:pPr>
            <w:r>
              <w:rPr>
                <w:rFonts w:hint="eastAsia" w:ascii="宋体" w:hAnsi="宋体" w:eastAsia="宋体" w:cs="宋体"/>
              </w:rPr>
              <w:t>3.1 样本上压强达到1Mpa 所需功率0.8W</w:t>
            </w:r>
          </w:p>
          <w:p w14:paraId="51ED5391">
            <w:pPr>
              <w:rPr>
                <w:rFonts w:hint="eastAsia" w:ascii="宋体" w:hAnsi="宋体" w:eastAsia="宋体" w:cs="宋体"/>
              </w:rPr>
            </w:pPr>
            <w:r>
              <w:rPr>
                <w:rFonts w:hint="eastAsia" w:ascii="宋体" w:hAnsi="宋体" w:eastAsia="宋体" w:cs="宋体"/>
              </w:rPr>
              <w:t>3.2 整合非线性、高强度、会聚性声学冲击波和高级计算机控制系统，可根据应用范围和样品量来选择波频率和波形来控制聚焦带的尺寸和声波强度。</w:t>
            </w:r>
          </w:p>
          <w:p w14:paraId="68104A2F">
            <w:pPr>
              <w:rPr>
                <w:rFonts w:hint="eastAsia" w:ascii="宋体" w:hAnsi="宋体" w:eastAsia="宋体" w:cs="宋体"/>
              </w:rPr>
            </w:pPr>
            <w:r>
              <w:rPr>
                <w:rFonts w:hint="eastAsia" w:ascii="宋体" w:hAnsi="宋体" w:eastAsia="宋体" w:cs="宋体"/>
              </w:rPr>
              <w:t>3.3等温过程：内置整合冷却水浴系统，样品处理在等温下进行，温度可调范围：8℃ - 20℃，温度精度±0.1℃步进，无热损伤;</w:t>
            </w:r>
          </w:p>
          <w:p w14:paraId="613E9F60">
            <w:pPr>
              <w:rPr>
                <w:rFonts w:hint="eastAsia" w:ascii="宋体" w:hAnsi="宋体" w:eastAsia="宋体" w:cs="宋体"/>
              </w:rPr>
            </w:pPr>
            <w:r>
              <w:rPr>
                <w:rFonts w:hint="eastAsia" w:ascii="宋体" w:hAnsi="宋体" w:eastAsia="宋体" w:cs="宋体"/>
              </w:rPr>
              <w:t>3.4自动化水浴控制：具备，自动排气，自动调节水位</w:t>
            </w:r>
          </w:p>
          <w:p w14:paraId="17060098">
            <w:pPr>
              <w:rPr>
                <w:rFonts w:hint="eastAsia" w:ascii="宋体" w:hAnsi="宋体" w:eastAsia="宋体" w:cs="宋体"/>
              </w:rPr>
            </w:pPr>
            <w:r>
              <w:rPr>
                <w:rFonts w:hint="eastAsia" w:ascii="宋体" w:hAnsi="宋体" w:eastAsia="宋体" w:cs="宋体"/>
              </w:rPr>
              <w:t>3.5水浴温度监控：具备，且能实时显示水浴系统温度</w:t>
            </w:r>
          </w:p>
          <w:p w14:paraId="5ACAB4F6">
            <w:pPr>
              <w:rPr>
                <w:rFonts w:hint="eastAsia" w:ascii="宋体" w:hAnsi="宋体" w:eastAsia="宋体" w:cs="宋体"/>
              </w:rPr>
            </w:pPr>
            <w:r>
              <w:rPr>
                <w:rFonts w:hint="eastAsia" w:ascii="宋体" w:hAnsi="宋体" w:eastAsia="宋体" w:cs="宋体"/>
              </w:rPr>
              <w:t>3.6封闭无接触体系：具备，样品在密闭的非接触体系中，无需探头，没有交叉污染，不同样本之间无需清洁</w:t>
            </w:r>
          </w:p>
          <w:p w14:paraId="30F5F9A4">
            <w:pPr>
              <w:rPr>
                <w:rFonts w:hint="eastAsia" w:ascii="宋体" w:hAnsi="宋体" w:eastAsia="宋体" w:cs="宋体"/>
              </w:rPr>
            </w:pPr>
            <w:r>
              <w:rPr>
                <w:rFonts w:hint="eastAsia" w:ascii="宋体" w:hAnsi="宋体" w:eastAsia="宋体" w:cs="宋体"/>
              </w:rPr>
              <w:t>3.7能量可调且控制精准：超声波输出功率可自由调节；专业的软件参数控制及优化的Protocol</w:t>
            </w:r>
          </w:p>
          <w:p w14:paraId="243F3815">
            <w:pPr>
              <w:rPr>
                <w:rFonts w:hint="eastAsia" w:ascii="宋体" w:hAnsi="宋体" w:eastAsia="宋体" w:cs="宋体"/>
              </w:rPr>
            </w:pPr>
            <w:r>
              <w:rPr>
                <w:rFonts w:hint="eastAsia" w:ascii="宋体" w:hAnsi="宋体" w:eastAsia="宋体" w:cs="宋体"/>
              </w:rPr>
              <w:t>3.8 通量：1-8个样本/每轮，支持单管和8连排管</w:t>
            </w:r>
          </w:p>
          <w:p w14:paraId="2253D69A">
            <w:pPr>
              <w:rPr>
                <w:rFonts w:hint="eastAsia" w:ascii="宋体" w:hAnsi="宋体" w:eastAsia="宋体" w:cs="宋体"/>
              </w:rPr>
            </w:pPr>
            <w:r>
              <w:rPr>
                <w:rFonts w:hint="eastAsia" w:ascii="宋体" w:hAnsi="宋体" w:eastAsia="宋体" w:cs="宋体"/>
              </w:rPr>
              <w:t>3.9 超声波传感器频率：400k Hz，噪音低</w:t>
            </w:r>
          </w:p>
          <w:p w14:paraId="1257EB03">
            <w:pPr>
              <w:rPr>
                <w:rFonts w:hint="eastAsia" w:ascii="宋体" w:hAnsi="宋体" w:eastAsia="宋体" w:cs="宋体"/>
              </w:rPr>
            </w:pPr>
            <w:r>
              <w:rPr>
                <w:rFonts w:hint="eastAsia" w:ascii="宋体" w:hAnsi="宋体" w:eastAsia="宋体" w:cs="宋体"/>
              </w:rPr>
              <w:t>3.10超声波波长：3 mm，处于处理生物大分子的理想波长范围内</w:t>
            </w:r>
          </w:p>
          <w:p w14:paraId="1AE450F1">
            <w:pPr>
              <w:rPr>
                <w:rFonts w:hint="eastAsia" w:ascii="宋体" w:hAnsi="宋体" w:eastAsia="宋体" w:cs="宋体"/>
              </w:rPr>
            </w:pPr>
            <w:r>
              <w:rPr>
                <w:rFonts w:hint="eastAsia" w:ascii="宋体" w:hAnsi="宋体" w:eastAsia="宋体" w:cs="宋体"/>
              </w:rPr>
              <w:t>3.11超声能量可调：可设置的超声能量6档，以满足不同样品处理需求</w:t>
            </w:r>
          </w:p>
          <w:p w14:paraId="2B3A67C8">
            <w:pPr>
              <w:rPr>
                <w:rFonts w:hint="eastAsia" w:ascii="宋体" w:hAnsi="宋体" w:eastAsia="宋体" w:cs="宋体"/>
              </w:rPr>
            </w:pPr>
            <w:r>
              <w:rPr>
                <w:rFonts w:hint="eastAsia" w:ascii="宋体" w:hAnsi="宋体" w:eastAsia="宋体" w:cs="宋体"/>
              </w:rPr>
              <w:t>3.12 DNA剪切：</w:t>
            </w:r>
          </w:p>
          <w:p w14:paraId="41E5276D">
            <w:pPr>
              <w:rPr>
                <w:rFonts w:hint="eastAsia" w:ascii="宋体" w:hAnsi="宋体" w:eastAsia="宋体" w:cs="宋体"/>
              </w:rPr>
            </w:pPr>
            <w:r>
              <w:rPr>
                <w:rFonts w:hint="eastAsia" w:ascii="宋体" w:hAnsi="宋体" w:eastAsia="宋体" w:cs="宋体"/>
              </w:rPr>
              <w:t>3.12.1.剪切片段范围：100 bp-5 kb，DNA剪切的片段均匀分布在预定大小内，</w:t>
            </w:r>
          </w:p>
          <w:p w14:paraId="2CA49843">
            <w:pPr>
              <w:rPr>
                <w:rFonts w:hint="eastAsia" w:ascii="宋体" w:hAnsi="宋体" w:eastAsia="宋体" w:cs="宋体"/>
              </w:rPr>
            </w:pPr>
            <w:r>
              <w:rPr>
                <w:rFonts w:hint="eastAsia" w:ascii="宋体" w:hAnsi="宋体" w:eastAsia="宋体" w:cs="宋体"/>
              </w:rPr>
              <w:t>3.12.2. 优化程序：15种，无需条件摸索</w:t>
            </w:r>
          </w:p>
          <w:p w14:paraId="4A999EAF">
            <w:pPr>
              <w:rPr>
                <w:rFonts w:hint="eastAsia" w:ascii="宋体" w:hAnsi="宋体" w:eastAsia="宋体" w:cs="宋体"/>
              </w:rPr>
            </w:pPr>
            <w:r>
              <w:rPr>
                <w:rFonts w:hint="eastAsia" w:ascii="宋体" w:hAnsi="宋体" w:eastAsia="宋体" w:cs="宋体"/>
              </w:rPr>
              <w:t>3.12.3. 专用剪切管DNA剪切长度最高可达20kb</w:t>
            </w:r>
          </w:p>
          <w:p w14:paraId="558B58EE">
            <w:pPr>
              <w:rPr>
                <w:rFonts w:hint="eastAsia" w:ascii="宋体" w:hAnsi="宋体" w:eastAsia="宋体" w:cs="宋体"/>
              </w:rPr>
            </w:pPr>
            <w:r>
              <w:rPr>
                <w:rFonts w:hint="eastAsia" w:ascii="宋体" w:hAnsi="宋体" w:eastAsia="宋体" w:cs="宋体"/>
              </w:rPr>
              <w:t>3.12.4. 剪切管带二维码标记，方便追踪记录，实现实验流程化</w:t>
            </w:r>
          </w:p>
          <w:p w14:paraId="4FBA721C">
            <w:pPr>
              <w:rPr>
                <w:rFonts w:hint="eastAsia" w:ascii="宋体" w:hAnsi="宋体" w:eastAsia="宋体" w:cs="宋体"/>
              </w:rPr>
            </w:pPr>
            <w:r>
              <w:rPr>
                <w:rFonts w:hint="eastAsia" w:ascii="宋体" w:hAnsi="宋体" w:eastAsia="宋体" w:cs="宋体"/>
              </w:rPr>
              <w:t>3.12.5. 样本最小体积：16ul</w:t>
            </w:r>
          </w:p>
          <w:p w14:paraId="156EA1A1">
            <w:pPr>
              <w:rPr>
                <w:rFonts w:hint="eastAsia" w:ascii="宋体" w:hAnsi="宋体" w:eastAsia="宋体" w:cs="宋体"/>
              </w:rPr>
            </w:pPr>
            <w:r>
              <w:rPr>
                <w:rFonts w:hint="eastAsia" w:ascii="宋体" w:hAnsi="宋体" w:eastAsia="宋体" w:cs="宋体"/>
              </w:rPr>
              <w:t>3.13染色质剪切：</w:t>
            </w:r>
          </w:p>
          <w:p w14:paraId="4355F82A">
            <w:pPr>
              <w:rPr>
                <w:rFonts w:hint="eastAsia" w:ascii="宋体" w:hAnsi="宋体" w:eastAsia="宋体" w:cs="宋体"/>
              </w:rPr>
            </w:pPr>
            <w:r>
              <w:rPr>
                <w:rFonts w:hint="eastAsia" w:ascii="宋体" w:hAnsi="宋体" w:eastAsia="宋体" w:cs="宋体"/>
              </w:rPr>
              <w:t>3.13.1 单次处理最多3x107个细胞，可检测60个靶标；</w:t>
            </w:r>
          </w:p>
          <w:p w14:paraId="50B8DF25">
            <w:pPr>
              <w:rPr>
                <w:rFonts w:hint="eastAsia" w:ascii="宋体" w:hAnsi="宋体" w:eastAsia="宋体" w:cs="宋体"/>
              </w:rPr>
            </w:pPr>
            <w:r>
              <w:rPr>
                <w:rFonts w:hint="eastAsia" w:ascii="宋体" w:hAnsi="宋体" w:eastAsia="宋体" w:cs="宋体"/>
              </w:rPr>
              <w:t>3.13.2 标准转录因子和组蛋白芯片检测仅需5x104个细胞；</w:t>
            </w:r>
          </w:p>
          <w:p w14:paraId="092094FE">
            <w:pPr>
              <w:rPr>
                <w:rFonts w:hint="eastAsia" w:ascii="宋体" w:hAnsi="宋体" w:eastAsia="宋体" w:cs="宋体"/>
              </w:rPr>
            </w:pPr>
            <w:r>
              <w:rPr>
                <w:rFonts w:hint="eastAsia" w:ascii="宋体" w:hAnsi="宋体" w:eastAsia="宋体" w:cs="宋体"/>
              </w:rPr>
              <w:t>3.13.3 最低使用5ng DNA即可检测到组蛋白H2B和低含量转录因子Suz12的富集效果；</w:t>
            </w:r>
          </w:p>
          <w:p w14:paraId="566889AC">
            <w:pPr>
              <w:rPr>
                <w:rFonts w:hint="eastAsia" w:ascii="宋体" w:hAnsi="宋体" w:eastAsia="宋体" w:cs="宋体"/>
              </w:rPr>
            </w:pPr>
            <w:r>
              <w:rPr>
                <w:rFonts w:hint="eastAsia" w:ascii="宋体" w:hAnsi="宋体" w:eastAsia="宋体" w:cs="宋体"/>
              </w:rPr>
              <w:t>3.13.4 提供有染色质片段化（ChIP）剪切试剂盒；</w:t>
            </w:r>
          </w:p>
          <w:p w14:paraId="020E0855">
            <w:pPr>
              <w:rPr>
                <w:rFonts w:hint="eastAsia" w:ascii="宋体" w:hAnsi="宋体" w:eastAsia="宋体" w:cs="宋体"/>
              </w:rPr>
            </w:pPr>
            <w:r>
              <w:rPr>
                <w:rFonts w:hint="eastAsia" w:ascii="宋体" w:hAnsi="宋体" w:eastAsia="宋体" w:cs="宋体"/>
              </w:rPr>
              <w:t>3.13.5 剪切管带二维码标记，方便追踪记录，实现实验流程化</w:t>
            </w:r>
          </w:p>
          <w:p w14:paraId="35099176">
            <w:pPr>
              <w:rPr>
                <w:rFonts w:hint="eastAsia" w:ascii="宋体" w:hAnsi="宋体" w:eastAsia="宋体" w:cs="宋体"/>
                <w:color w:val="auto"/>
                <w:szCs w:val="21"/>
                <w:highlight w:val="none"/>
              </w:rPr>
            </w:pPr>
            <w:r>
              <w:rPr>
                <w:rFonts w:hint="eastAsia" w:ascii="宋体" w:hAnsi="宋体" w:eastAsia="宋体" w:cs="宋体"/>
              </w:rPr>
              <w:t>3.14 其他应用: DNA 剪切、RNA 剪切、低体积细胞裂解</w:t>
            </w:r>
          </w:p>
        </w:tc>
        <w:tc>
          <w:tcPr>
            <w:tcW w:w="566" w:type="dxa"/>
            <w:tcBorders>
              <w:top w:val="single" w:color="auto" w:sz="4" w:space="0"/>
              <w:left w:val="nil"/>
              <w:bottom w:val="single" w:color="auto" w:sz="4" w:space="0"/>
              <w:right w:val="single" w:color="auto" w:sz="4" w:space="0"/>
            </w:tcBorders>
            <w:shd w:val="clear" w:color="auto" w:fill="auto"/>
            <w:noWrap w:val="0"/>
            <w:vAlign w:val="center"/>
          </w:tcPr>
          <w:p w14:paraId="68A405C6">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eastAsia="宋体" w:cs="宋体"/>
                <w:b w:val="0"/>
                <w:bCs w:val="0"/>
                <w:sz w:val="24"/>
                <w:szCs w:val="24"/>
              </w:rPr>
              <w:t>套</w:t>
            </w:r>
          </w:p>
        </w:tc>
        <w:tc>
          <w:tcPr>
            <w:tcW w:w="1234" w:type="dxa"/>
            <w:tcBorders>
              <w:top w:val="single" w:color="auto" w:sz="4" w:space="0"/>
              <w:left w:val="nil"/>
              <w:bottom w:val="single" w:color="auto" w:sz="4" w:space="0"/>
              <w:right w:val="single" w:color="auto" w:sz="4" w:space="0"/>
            </w:tcBorders>
            <w:shd w:val="clear" w:color="auto" w:fill="auto"/>
            <w:noWrap w:val="0"/>
            <w:vAlign w:val="center"/>
          </w:tcPr>
          <w:p w14:paraId="1202853B">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sz w:val="24"/>
                <w:szCs w:val="24"/>
                <w:highlight w:val="none"/>
                <w:vertAlign w:val="baseline"/>
                <w:lang w:val="en-US" w:eastAsia="zh-CN"/>
              </w:rPr>
              <w:t>Covaris Inc</w:t>
            </w:r>
          </w:p>
        </w:tc>
        <w:tc>
          <w:tcPr>
            <w:tcW w:w="816" w:type="dxa"/>
            <w:tcBorders>
              <w:top w:val="single" w:color="auto" w:sz="4" w:space="0"/>
              <w:left w:val="nil"/>
              <w:bottom w:val="single" w:color="auto" w:sz="4" w:space="0"/>
              <w:right w:val="single" w:color="auto" w:sz="4" w:space="0"/>
            </w:tcBorders>
            <w:shd w:val="clear" w:color="auto" w:fill="auto"/>
            <w:noWrap w:val="0"/>
            <w:vAlign w:val="center"/>
          </w:tcPr>
          <w:p w14:paraId="41C06329">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sz w:val="24"/>
                <w:szCs w:val="24"/>
                <w:highlight w:val="none"/>
                <w:vertAlign w:val="baseline"/>
                <w:lang w:val="en-US" w:eastAsia="zh-CN"/>
              </w:rPr>
              <w:t>美国</w:t>
            </w:r>
          </w:p>
        </w:tc>
        <w:tc>
          <w:tcPr>
            <w:tcW w:w="1217" w:type="dxa"/>
            <w:tcBorders>
              <w:top w:val="single" w:color="auto" w:sz="4" w:space="0"/>
              <w:left w:val="nil"/>
              <w:bottom w:val="single" w:color="auto" w:sz="4" w:space="0"/>
              <w:right w:val="single" w:color="auto" w:sz="4" w:space="0"/>
            </w:tcBorders>
            <w:noWrap w:val="0"/>
            <w:vAlign w:val="top"/>
          </w:tcPr>
          <w:p w14:paraId="5F91CCE1">
            <w:pPr>
              <w:jc w:val="center"/>
              <w:rPr>
                <w:rFonts w:hint="eastAsia" w:ascii="宋体" w:hAnsi="宋体" w:eastAsia="宋体" w:cs="宋体"/>
                <w:color w:val="auto"/>
                <w:szCs w:val="21"/>
                <w:highlight w:val="none"/>
              </w:rPr>
            </w:pPr>
          </w:p>
        </w:tc>
      </w:tr>
      <w:tr w14:paraId="39C0C0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7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3A2239">
            <w:pPr>
              <w:keepNext w:val="0"/>
              <w:keepLines w:val="0"/>
              <w:pageBreakBefore w:val="0"/>
              <w:widowControl w:val="0"/>
              <w:kinsoku/>
              <w:wordWrap/>
              <w:overflowPunct/>
              <w:topLinePunct w:val="0"/>
              <w:autoSpaceDE/>
              <w:autoSpaceDN/>
              <w:bidi w:val="0"/>
              <w:adjustRightInd/>
              <w:snapToGrid/>
              <w:spacing w:line="440" w:lineRule="exact"/>
              <w:ind w:left="-63" w:leftChars="-30" w:right="-63" w:rightChars="-3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2</w:t>
            </w:r>
          </w:p>
        </w:tc>
        <w:tc>
          <w:tcPr>
            <w:tcW w:w="1244" w:type="dxa"/>
            <w:tcBorders>
              <w:top w:val="single" w:color="auto" w:sz="4" w:space="0"/>
              <w:left w:val="nil"/>
              <w:bottom w:val="single" w:color="auto" w:sz="4" w:space="0"/>
              <w:right w:val="single" w:color="auto" w:sz="4" w:space="0"/>
            </w:tcBorders>
            <w:shd w:val="clear" w:color="auto" w:fill="auto"/>
            <w:noWrap w:val="0"/>
            <w:vAlign w:val="center"/>
          </w:tcPr>
          <w:p w14:paraId="26142AB3">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rPr>
              <w:t>全自动活细胞成像仪</w:t>
            </w:r>
          </w:p>
        </w:tc>
        <w:tc>
          <w:tcPr>
            <w:tcW w:w="1733" w:type="dxa"/>
            <w:tcBorders>
              <w:top w:val="single" w:color="auto" w:sz="4" w:space="0"/>
              <w:left w:val="nil"/>
              <w:bottom w:val="single" w:color="auto" w:sz="4" w:space="0"/>
              <w:right w:val="single" w:color="auto" w:sz="4" w:space="0"/>
            </w:tcBorders>
            <w:noWrap w:val="0"/>
            <w:vAlign w:val="center"/>
          </w:tcPr>
          <w:p w14:paraId="3E6E6CBC">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drawing>
                <wp:inline distT="0" distB="0" distL="114300" distR="114300">
                  <wp:extent cx="1004570" cy="894715"/>
                  <wp:effectExtent l="0" t="0" r="5080" b="635"/>
                  <wp:docPr id="3" name="图片 3" descr="174677581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46775816292"/>
                          <pic:cNvPicPr>
                            <a:picLocks noChangeAspect="1"/>
                          </pic:cNvPicPr>
                        </pic:nvPicPr>
                        <pic:blipFill>
                          <a:blip r:embed="rId8"/>
                          <a:stretch>
                            <a:fillRect/>
                          </a:stretch>
                        </pic:blipFill>
                        <pic:spPr>
                          <a:xfrm>
                            <a:off x="0" y="0"/>
                            <a:ext cx="1004570" cy="894715"/>
                          </a:xfrm>
                          <a:prstGeom prst="rect">
                            <a:avLst/>
                          </a:prstGeom>
                        </pic:spPr>
                      </pic:pic>
                    </a:graphicData>
                  </a:graphic>
                </wp:inline>
              </w:drawing>
            </w:r>
          </w:p>
        </w:tc>
        <w:tc>
          <w:tcPr>
            <w:tcW w:w="1117" w:type="dxa"/>
            <w:tcBorders>
              <w:top w:val="single" w:color="auto" w:sz="4" w:space="0"/>
              <w:left w:val="nil"/>
              <w:bottom w:val="single" w:color="auto" w:sz="4" w:space="0"/>
              <w:right w:val="single" w:color="auto" w:sz="4" w:space="0"/>
            </w:tcBorders>
            <w:shd w:val="clear" w:color="auto" w:fill="auto"/>
            <w:noWrap w:val="0"/>
            <w:vAlign w:val="center"/>
          </w:tcPr>
          <w:p w14:paraId="3BEF8F73">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CELLImage MINI</w:t>
            </w:r>
          </w:p>
        </w:tc>
        <w:tc>
          <w:tcPr>
            <w:tcW w:w="6467" w:type="dxa"/>
            <w:tcBorders>
              <w:top w:val="single" w:color="auto" w:sz="4" w:space="0"/>
              <w:left w:val="nil"/>
              <w:bottom w:val="single" w:color="auto" w:sz="4" w:space="0"/>
              <w:right w:val="single" w:color="auto" w:sz="4" w:space="0"/>
            </w:tcBorders>
            <w:noWrap w:val="0"/>
            <w:vAlign w:val="center"/>
          </w:tcPr>
          <w:p w14:paraId="05AFC3A1">
            <w:pPr>
              <w:rPr>
                <w:rFonts w:hint="eastAsia" w:ascii="宋体" w:hAnsi="宋体" w:eastAsia="宋体" w:cs="宋体"/>
              </w:rPr>
            </w:pPr>
            <w:r>
              <w:rPr>
                <w:rFonts w:hint="eastAsia" w:ascii="宋体" w:hAnsi="宋体" w:eastAsia="宋体" w:cs="宋体"/>
              </w:rPr>
              <w:t>1. 功能：整台设备可长时间放置于CO2培养箱内无人值守自动监测，也可放置于普通试验台上使用对多位点的活细胞进行实时全自动的成像。</w:t>
            </w:r>
          </w:p>
          <w:p w14:paraId="20CB4B35">
            <w:pPr>
              <w:rPr>
                <w:rFonts w:hint="eastAsia" w:ascii="宋体" w:hAnsi="宋体" w:eastAsia="宋体" w:cs="宋体"/>
              </w:rPr>
            </w:pPr>
            <w:r>
              <w:rPr>
                <w:rFonts w:hint="eastAsia" w:ascii="宋体" w:hAnsi="宋体" w:eastAsia="宋体" w:cs="宋体"/>
              </w:rPr>
              <w:t>2. 配置：</w:t>
            </w:r>
          </w:p>
          <w:p w14:paraId="439B471F">
            <w:pPr>
              <w:rPr>
                <w:rFonts w:hint="eastAsia" w:ascii="宋体" w:hAnsi="宋体" w:eastAsia="宋体" w:cs="宋体"/>
              </w:rPr>
            </w:pPr>
            <w:r>
              <w:rPr>
                <w:rFonts w:hint="eastAsia" w:ascii="宋体" w:hAnsi="宋体" w:eastAsia="宋体" w:cs="宋体"/>
              </w:rPr>
              <w:t>2.1 全自动活细胞成像系统主机（包含主机与电脑的连接线及连接配件1套） 1台</w:t>
            </w:r>
          </w:p>
          <w:p w14:paraId="2D646AA6">
            <w:pPr>
              <w:rPr>
                <w:rFonts w:hint="eastAsia" w:ascii="宋体" w:hAnsi="宋体" w:eastAsia="宋体" w:cs="宋体"/>
              </w:rPr>
            </w:pPr>
            <w:r>
              <w:rPr>
                <w:rFonts w:hint="eastAsia" w:ascii="宋体" w:hAnsi="宋体" w:eastAsia="宋体" w:cs="宋体"/>
              </w:rPr>
              <w:t>2.2 6-384孔细胞培养板及T75培养瓶专用适配器 1个</w:t>
            </w:r>
          </w:p>
          <w:p w14:paraId="71213B26">
            <w:pPr>
              <w:rPr>
                <w:rFonts w:hint="eastAsia" w:ascii="宋体" w:hAnsi="宋体" w:eastAsia="宋体" w:cs="宋体"/>
              </w:rPr>
            </w:pPr>
            <w:r>
              <w:rPr>
                <w:rFonts w:hint="eastAsia" w:ascii="宋体" w:hAnsi="宋体" w:eastAsia="宋体" w:cs="宋体"/>
              </w:rPr>
              <w:t>2.3 T25培养瓶专用适配器 1个（1个可以同时观察2个T25）</w:t>
            </w:r>
          </w:p>
          <w:p w14:paraId="4B5E9654">
            <w:pPr>
              <w:rPr>
                <w:rFonts w:hint="eastAsia" w:ascii="宋体" w:hAnsi="宋体" w:eastAsia="宋体" w:cs="宋体"/>
              </w:rPr>
            </w:pPr>
            <w:r>
              <w:rPr>
                <w:rFonts w:hint="eastAsia" w:ascii="宋体" w:hAnsi="宋体" w:eastAsia="宋体" w:cs="宋体"/>
              </w:rPr>
              <w:t>2.4 35mm培养皿专用适配器 1个（1个可以同时观察2个35mmdish）</w:t>
            </w:r>
          </w:p>
          <w:p w14:paraId="7E9B9101">
            <w:pPr>
              <w:rPr>
                <w:rFonts w:hint="eastAsia" w:ascii="宋体" w:hAnsi="宋体" w:eastAsia="宋体" w:cs="宋体"/>
              </w:rPr>
            </w:pPr>
            <w:r>
              <w:rPr>
                <w:rFonts w:hint="eastAsia" w:ascii="宋体" w:hAnsi="宋体" w:eastAsia="宋体" w:cs="宋体"/>
              </w:rPr>
              <w:t>2.5 60mm培养皿专用适配器 1个</w:t>
            </w:r>
          </w:p>
          <w:p w14:paraId="35D236DE">
            <w:pPr>
              <w:rPr>
                <w:rFonts w:hint="eastAsia" w:ascii="宋体" w:hAnsi="宋体" w:eastAsia="宋体" w:cs="宋体"/>
              </w:rPr>
            </w:pPr>
            <w:r>
              <w:rPr>
                <w:rFonts w:hint="eastAsia" w:ascii="宋体" w:hAnsi="宋体" w:eastAsia="宋体" w:cs="宋体"/>
              </w:rPr>
              <w:t>2.6 切片适配器1个（1个可以同时观察3张切片）</w:t>
            </w:r>
          </w:p>
          <w:p w14:paraId="526B735D">
            <w:pPr>
              <w:rPr>
                <w:rFonts w:hint="eastAsia" w:ascii="宋体" w:hAnsi="宋体" w:eastAsia="宋体" w:cs="宋体"/>
              </w:rPr>
            </w:pPr>
            <w:r>
              <w:rPr>
                <w:rFonts w:hint="eastAsia" w:ascii="宋体" w:hAnsi="宋体" w:eastAsia="宋体" w:cs="宋体"/>
              </w:rPr>
              <w:t>2.7 储存器1个（包含控制和分析软件以及操作手册电子版各1套）</w:t>
            </w:r>
          </w:p>
          <w:p w14:paraId="388AE06D">
            <w:pPr>
              <w:rPr>
                <w:rFonts w:hint="eastAsia" w:ascii="宋体" w:hAnsi="宋体" w:eastAsia="宋体" w:cs="宋体"/>
              </w:rPr>
            </w:pPr>
            <w:r>
              <w:rPr>
                <w:rFonts w:hint="eastAsia" w:ascii="宋体" w:hAnsi="宋体" w:eastAsia="宋体" w:cs="宋体"/>
              </w:rPr>
              <w:t>2.8 电源一套</w:t>
            </w:r>
          </w:p>
          <w:p w14:paraId="43E800C9">
            <w:pPr>
              <w:rPr>
                <w:rFonts w:hint="eastAsia" w:ascii="宋体" w:hAnsi="宋体" w:eastAsia="宋体" w:cs="宋体"/>
              </w:rPr>
            </w:pPr>
            <w:r>
              <w:rPr>
                <w:rFonts w:hint="eastAsia" w:ascii="宋体" w:hAnsi="宋体" w:eastAsia="宋体" w:cs="宋体"/>
              </w:rPr>
              <w:t>3 技术参数</w:t>
            </w:r>
          </w:p>
          <w:p w14:paraId="5B62E8B4">
            <w:pPr>
              <w:rPr>
                <w:rFonts w:hint="eastAsia" w:ascii="宋体" w:hAnsi="宋体" w:eastAsia="宋体" w:cs="宋体"/>
              </w:rPr>
            </w:pPr>
            <w:r>
              <w:rPr>
                <w:rFonts w:hint="eastAsia" w:ascii="宋体" w:hAnsi="宋体" w:eastAsia="宋体" w:cs="宋体"/>
              </w:rPr>
              <w:t>3.1 .光源：配备长寿命LED阵列384颗LED灯，光强可调且具有灯光跟随系统，需要拍照的标本点位上方LED灯亮，其余LED灯不亮</w:t>
            </w:r>
          </w:p>
          <w:p w14:paraId="41CC5537">
            <w:pPr>
              <w:rPr>
                <w:rFonts w:hint="eastAsia" w:ascii="宋体" w:hAnsi="宋体" w:eastAsia="宋体" w:cs="宋体"/>
              </w:rPr>
            </w:pPr>
            <w:r>
              <w:rPr>
                <w:rFonts w:hint="eastAsia" w:ascii="宋体" w:hAnsi="宋体" w:eastAsia="宋体" w:cs="宋体"/>
              </w:rPr>
              <w:t># 3.2.相机：800物理万像素兼容明场及荧光成像的背照式高分辨CMOS</w:t>
            </w:r>
          </w:p>
          <w:p w14:paraId="66CBA94B">
            <w:pPr>
              <w:rPr>
                <w:rFonts w:hint="eastAsia" w:ascii="宋体" w:hAnsi="宋体" w:eastAsia="宋体" w:cs="宋体"/>
              </w:rPr>
            </w:pPr>
            <w:r>
              <w:rPr>
                <w:rFonts w:hint="eastAsia" w:ascii="宋体" w:hAnsi="宋体" w:eastAsia="宋体" w:cs="宋体"/>
              </w:rPr>
              <w:t>3.3.拍摄的细胞图片尺寸3800*2100像素，图片格式为TIFF，并支持图片格式另存为PNG,JPEG等格式</w:t>
            </w:r>
          </w:p>
          <w:p w14:paraId="61D94186">
            <w:pPr>
              <w:rPr>
                <w:rFonts w:hint="eastAsia" w:ascii="宋体" w:hAnsi="宋体" w:eastAsia="宋体" w:cs="宋体"/>
              </w:rPr>
            </w:pPr>
            <w:r>
              <w:rPr>
                <w:rFonts w:hint="eastAsia" w:ascii="宋体" w:hAnsi="宋体" w:eastAsia="宋体" w:cs="宋体"/>
              </w:rPr>
              <w:t># 3.4.成像的视场宽度1.8mm</w:t>
            </w:r>
          </w:p>
          <w:p w14:paraId="27A24F71">
            <w:pPr>
              <w:rPr>
                <w:rFonts w:hint="eastAsia" w:ascii="宋体" w:hAnsi="宋体" w:eastAsia="宋体" w:cs="宋体"/>
              </w:rPr>
            </w:pPr>
            <w:r>
              <w:rPr>
                <w:rFonts w:hint="eastAsia" w:ascii="宋体" w:hAnsi="宋体" w:eastAsia="宋体" w:cs="宋体"/>
              </w:rPr>
              <w:t>3.5配备隐藏式高精度XY轴自动载物台，不移动标本可实现多点位成像</w:t>
            </w:r>
          </w:p>
          <w:p w14:paraId="18DA1BBD">
            <w:pPr>
              <w:rPr>
                <w:rFonts w:hint="eastAsia" w:ascii="宋体" w:hAnsi="宋体" w:eastAsia="宋体" w:cs="宋体"/>
              </w:rPr>
            </w:pPr>
            <w:r>
              <w:rPr>
                <w:rFonts w:hint="eastAsia" w:ascii="宋体" w:hAnsi="宋体" w:eastAsia="宋体" w:cs="宋体"/>
              </w:rPr>
              <w:t>3.6可任意设置每个器皿、每个孔板中每个孔的成像位点，如中心点或其他任意位点，且不限拍摄位点数量；可一键完成所有孔板孔位的中心点位置选择，快速部署实现多位点成像</w:t>
            </w:r>
          </w:p>
          <w:p w14:paraId="39B86DCB">
            <w:pPr>
              <w:rPr>
                <w:rFonts w:hint="eastAsia" w:ascii="宋体" w:hAnsi="宋体" w:eastAsia="宋体" w:cs="宋体"/>
              </w:rPr>
            </w:pPr>
            <w:r>
              <w:rPr>
                <w:rFonts w:hint="eastAsia" w:ascii="宋体" w:hAnsi="宋体" w:eastAsia="宋体" w:cs="宋体"/>
              </w:rPr>
              <w:t>3.7简化布线设计，单线连接设备实现数据传输、控制、供电</w:t>
            </w:r>
          </w:p>
          <w:p w14:paraId="01E9534C">
            <w:pPr>
              <w:rPr>
                <w:rFonts w:hint="eastAsia" w:ascii="宋体" w:hAnsi="宋体" w:eastAsia="宋体" w:cs="宋体"/>
              </w:rPr>
            </w:pPr>
            <w:r>
              <w:rPr>
                <w:rFonts w:hint="eastAsia" w:ascii="宋体" w:hAnsi="宋体" w:eastAsia="宋体" w:cs="宋体"/>
              </w:rPr>
              <w:t>3.8设备具有防起雾和除雾功能，有效防止细胞培养器皿上盖产生雾气影响成像效果，支持≥10天的持续自动监测中设备上的培养器皿不起雾。</w:t>
            </w:r>
          </w:p>
          <w:p w14:paraId="51CC90AE">
            <w:pPr>
              <w:rPr>
                <w:rFonts w:hint="eastAsia" w:ascii="宋体" w:hAnsi="宋体" w:eastAsia="宋体" w:cs="宋体"/>
              </w:rPr>
            </w:pPr>
            <w:r>
              <w:rPr>
                <w:rFonts w:hint="eastAsia" w:ascii="宋体" w:hAnsi="宋体" w:eastAsia="宋体" w:cs="宋体"/>
              </w:rPr>
              <w:t>3.9.配备全电动物镜和Z轴自动聚焦功能，不移动标本，通过电动物镜实现</w:t>
            </w:r>
          </w:p>
          <w:p w14:paraId="37FFF870">
            <w:pPr>
              <w:rPr>
                <w:rFonts w:hint="eastAsia" w:ascii="宋体" w:hAnsi="宋体" w:eastAsia="宋体" w:cs="宋体"/>
              </w:rPr>
            </w:pPr>
            <w:r>
              <w:rPr>
                <w:rFonts w:hint="eastAsia" w:ascii="宋体" w:hAnsi="宋体" w:eastAsia="宋体" w:cs="宋体"/>
              </w:rPr>
              <w:t>3.10  成像模式：明场成像或明场+荧光成像</w:t>
            </w:r>
          </w:p>
          <w:p w14:paraId="48B7587D">
            <w:pPr>
              <w:rPr>
                <w:rFonts w:hint="eastAsia" w:ascii="宋体" w:hAnsi="宋体" w:eastAsia="宋体" w:cs="宋体"/>
              </w:rPr>
            </w:pPr>
            <w:r>
              <w:rPr>
                <w:rFonts w:hint="eastAsia" w:ascii="宋体" w:hAnsi="宋体" w:eastAsia="宋体" w:cs="宋体"/>
              </w:rPr>
              <w:t>3.11. 物镜放大倍数：10倍</w:t>
            </w:r>
          </w:p>
          <w:p w14:paraId="13CAEEBE">
            <w:pPr>
              <w:rPr>
                <w:rFonts w:hint="eastAsia" w:ascii="宋体" w:hAnsi="宋体" w:eastAsia="宋体" w:cs="宋体"/>
              </w:rPr>
            </w:pPr>
            <w:r>
              <w:rPr>
                <w:rFonts w:hint="eastAsia" w:ascii="宋体" w:hAnsi="宋体" w:eastAsia="宋体" w:cs="宋体"/>
              </w:rPr>
              <w:t>3.12. 图像采集和分析一体功能，在图像采集的同时可实时分析</w:t>
            </w:r>
          </w:p>
          <w:p w14:paraId="16D1D866">
            <w:pPr>
              <w:rPr>
                <w:rFonts w:hint="eastAsia" w:ascii="宋体" w:hAnsi="宋体" w:eastAsia="宋体" w:cs="宋体"/>
              </w:rPr>
            </w:pPr>
            <w:r>
              <w:rPr>
                <w:rFonts w:hint="eastAsia" w:ascii="宋体" w:hAnsi="宋体" w:eastAsia="宋体" w:cs="宋体"/>
              </w:rPr>
              <w:t>3.13.仪器具有自动分析功能，如自动计算融合度，自动合成视频，自动生成细胞生长曲线</w:t>
            </w:r>
          </w:p>
          <w:p w14:paraId="64E74609">
            <w:pPr>
              <w:rPr>
                <w:rFonts w:hint="eastAsia" w:ascii="宋体" w:hAnsi="宋体" w:eastAsia="宋体" w:cs="宋体"/>
              </w:rPr>
            </w:pPr>
            <w:r>
              <w:rPr>
                <w:rFonts w:hint="eastAsia" w:ascii="宋体" w:hAnsi="宋体" w:eastAsia="宋体" w:cs="宋体"/>
              </w:rPr>
              <w:t>3.14.软件为原生中文，可选外文</w:t>
            </w:r>
          </w:p>
          <w:p w14:paraId="23FD0598">
            <w:pPr>
              <w:rPr>
                <w:rFonts w:hint="eastAsia" w:ascii="宋体" w:hAnsi="宋体" w:eastAsia="宋体" w:cs="宋体"/>
              </w:rPr>
            </w:pPr>
            <w:r>
              <w:rPr>
                <w:rFonts w:hint="eastAsia" w:ascii="宋体" w:hAnsi="宋体" w:eastAsia="宋体" w:cs="宋体"/>
              </w:rPr>
              <w:t>3.15.软件构架基于网络，一套软件包含控制，实时分析和离线分析功能</w:t>
            </w:r>
          </w:p>
          <w:p w14:paraId="3246F0E0">
            <w:pPr>
              <w:rPr>
                <w:rFonts w:hint="eastAsia" w:ascii="宋体" w:hAnsi="宋体" w:eastAsia="宋体" w:cs="宋体"/>
              </w:rPr>
            </w:pPr>
            <w:r>
              <w:rPr>
                <w:rFonts w:hint="eastAsia" w:ascii="宋体" w:hAnsi="宋体" w:eastAsia="宋体" w:cs="宋体"/>
              </w:rPr>
              <w:t>3.16.通过分析功能可将不同成像位置、不同时间点的生长曲线自动拟合到一个图表中，用于对比分析；</w:t>
            </w:r>
          </w:p>
          <w:p w14:paraId="7EACF68F">
            <w:pPr>
              <w:rPr>
                <w:rFonts w:hint="eastAsia" w:ascii="宋体" w:hAnsi="宋体" w:eastAsia="宋体" w:cs="宋体"/>
              </w:rPr>
            </w:pPr>
            <w:r>
              <w:rPr>
                <w:rFonts w:hint="eastAsia" w:ascii="宋体" w:hAnsi="宋体" w:eastAsia="宋体" w:cs="宋体"/>
              </w:rPr>
              <w:t>3.17.可在水平，垂直和对角线三个方向对细胞的大小以及划痕的距离进行测量</w:t>
            </w:r>
          </w:p>
          <w:p w14:paraId="72F54B00">
            <w:pPr>
              <w:rPr>
                <w:rFonts w:hint="eastAsia" w:ascii="宋体" w:hAnsi="宋体" w:eastAsia="宋体" w:cs="宋体"/>
              </w:rPr>
            </w:pPr>
            <w:r>
              <w:rPr>
                <w:rFonts w:hint="eastAsia" w:ascii="宋体" w:hAnsi="宋体" w:eastAsia="宋体" w:cs="宋体"/>
              </w:rPr>
              <w:t>3.18.耗材开放，可兼容实验室常用的细胞培养板(6/12/24/48/96/384孔板)，细胞培养皿、细胞培养瓶和标准载玻片</w:t>
            </w:r>
          </w:p>
          <w:p w14:paraId="135E7BF1">
            <w:pPr>
              <w:rPr>
                <w:rFonts w:hint="eastAsia" w:ascii="宋体" w:hAnsi="宋体" w:eastAsia="宋体" w:cs="宋体"/>
              </w:rPr>
            </w:pPr>
            <w:r>
              <w:rPr>
                <w:rFonts w:hint="eastAsia" w:ascii="宋体" w:hAnsi="宋体" w:eastAsia="宋体" w:cs="宋体"/>
              </w:rPr>
              <w:t>3.19.采用分布式架构，可远程控制多台设备（基于网络）</w:t>
            </w:r>
          </w:p>
          <w:p w14:paraId="1FD75C01">
            <w:pPr>
              <w:rPr>
                <w:rFonts w:hint="eastAsia" w:ascii="宋体" w:hAnsi="宋体" w:eastAsia="宋体" w:cs="宋体"/>
              </w:rPr>
            </w:pPr>
            <w:r>
              <w:rPr>
                <w:rFonts w:hint="eastAsia" w:ascii="宋体" w:hAnsi="宋体" w:eastAsia="宋体" w:cs="宋体"/>
              </w:rPr>
              <w:t>3.20.设备外观尺寸：350mm×250mm×250mm，具有高速度的千兆网口数据接口</w:t>
            </w:r>
          </w:p>
          <w:p w14:paraId="57229F39">
            <w:pPr>
              <w:adjustRightInd w:val="0"/>
              <w:snapToGrid w:val="0"/>
              <w:spacing w:line="260" w:lineRule="exact"/>
              <w:rPr>
                <w:rFonts w:hint="eastAsia" w:ascii="宋体" w:hAnsi="宋体" w:eastAsia="宋体" w:cs="宋体"/>
                <w:color w:val="auto"/>
                <w:szCs w:val="21"/>
                <w:highlight w:val="none"/>
              </w:rPr>
            </w:pPr>
          </w:p>
        </w:tc>
        <w:tc>
          <w:tcPr>
            <w:tcW w:w="566" w:type="dxa"/>
            <w:tcBorders>
              <w:top w:val="single" w:color="auto" w:sz="4" w:space="0"/>
              <w:left w:val="nil"/>
              <w:bottom w:val="single" w:color="auto" w:sz="4" w:space="0"/>
              <w:right w:val="single" w:color="auto" w:sz="4" w:space="0"/>
            </w:tcBorders>
            <w:shd w:val="clear" w:color="auto" w:fill="auto"/>
            <w:noWrap w:val="0"/>
            <w:vAlign w:val="center"/>
          </w:tcPr>
          <w:p w14:paraId="7D7AA008">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eastAsia="宋体" w:cs="宋体"/>
                <w:b w:val="0"/>
                <w:bCs w:val="0"/>
                <w:sz w:val="24"/>
                <w:szCs w:val="24"/>
              </w:rPr>
              <w:t>套</w:t>
            </w:r>
          </w:p>
        </w:tc>
        <w:tc>
          <w:tcPr>
            <w:tcW w:w="1234" w:type="dxa"/>
            <w:tcBorders>
              <w:top w:val="single" w:color="auto" w:sz="4" w:space="0"/>
              <w:left w:val="nil"/>
              <w:bottom w:val="single" w:color="auto" w:sz="4" w:space="0"/>
              <w:right w:val="single" w:color="auto" w:sz="4" w:space="0"/>
            </w:tcBorders>
            <w:shd w:val="clear" w:color="auto" w:fill="auto"/>
            <w:noWrap w:val="0"/>
            <w:vAlign w:val="center"/>
          </w:tcPr>
          <w:p w14:paraId="65A93D9D">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sz w:val="24"/>
                <w:szCs w:val="24"/>
                <w:highlight w:val="none"/>
                <w:vertAlign w:val="baseline"/>
                <w:lang w:val="en-US" w:eastAsia="zh-CN"/>
              </w:rPr>
              <w:t>重庆联庆瑞奇科技有限公司</w:t>
            </w:r>
          </w:p>
        </w:tc>
        <w:tc>
          <w:tcPr>
            <w:tcW w:w="816" w:type="dxa"/>
            <w:tcBorders>
              <w:top w:val="single" w:color="auto" w:sz="4" w:space="0"/>
              <w:left w:val="nil"/>
              <w:bottom w:val="single" w:color="auto" w:sz="4" w:space="0"/>
              <w:right w:val="single" w:color="auto" w:sz="4" w:space="0"/>
            </w:tcBorders>
            <w:shd w:val="clear" w:color="auto" w:fill="auto"/>
            <w:noWrap w:val="0"/>
            <w:vAlign w:val="center"/>
          </w:tcPr>
          <w:p w14:paraId="6337922E">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sz w:val="24"/>
                <w:szCs w:val="24"/>
                <w:highlight w:val="none"/>
                <w:vertAlign w:val="baseline"/>
                <w:lang w:val="en-US" w:eastAsia="zh-CN"/>
              </w:rPr>
              <w:t>中国</w:t>
            </w:r>
          </w:p>
        </w:tc>
        <w:tc>
          <w:tcPr>
            <w:tcW w:w="1217" w:type="dxa"/>
            <w:tcBorders>
              <w:top w:val="single" w:color="auto" w:sz="4" w:space="0"/>
              <w:left w:val="nil"/>
              <w:bottom w:val="single" w:color="auto" w:sz="4" w:space="0"/>
              <w:right w:val="single" w:color="auto" w:sz="4" w:space="0"/>
            </w:tcBorders>
            <w:noWrap w:val="0"/>
            <w:vAlign w:val="top"/>
          </w:tcPr>
          <w:p w14:paraId="52931CB8">
            <w:pPr>
              <w:jc w:val="center"/>
              <w:rPr>
                <w:rFonts w:hint="eastAsia" w:ascii="宋体" w:hAnsi="宋体" w:eastAsia="宋体" w:cs="宋体"/>
                <w:color w:val="auto"/>
                <w:szCs w:val="21"/>
                <w:highlight w:val="none"/>
              </w:rPr>
            </w:pPr>
          </w:p>
        </w:tc>
      </w:tr>
      <w:tr w14:paraId="519193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7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4CE51B">
            <w:pPr>
              <w:keepNext w:val="0"/>
              <w:keepLines w:val="0"/>
              <w:pageBreakBefore w:val="0"/>
              <w:widowControl w:val="0"/>
              <w:kinsoku/>
              <w:wordWrap/>
              <w:overflowPunct/>
              <w:topLinePunct w:val="0"/>
              <w:autoSpaceDE/>
              <w:autoSpaceDN/>
              <w:bidi w:val="0"/>
              <w:adjustRightInd/>
              <w:snapToGrid/>
              <w:spacing w:line="440" w:lineRule="exact"/>
              <w:ind w:left="-63" w:leftChars="-30" w:right="-63" w:rightChars="-3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3</w:t>
            </w:r>
          </w:p>
        </w:tc>
        <w:tc>
          <w:tcPr>
            <w:tcW w:w="1244" w:type="dxa"/>
            <w:tcBorders>
              <w:top w:val="single" w:color="auto" w:sz="4" w:space="0"/>
              <w:left w:val="nil"/>
              <w:bottom w:val="single" w:color="auto" w:sz="4" w:space="0"/>
              <w:right w:val="single" w:color="auto" w:sz="4" w:space="0"/>
            </w:tcBorders>
            <w:shd w:val="clear" w:color="auto" w:fill="auto"/>
            <w:noWrap w:val="0"/>
            <w:vAlign w:val="center"/>
          </w:tcPr>
          <w:p w14:paraId="4E987F04">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rPr>
              <w:t>高速台式离心机</w:t>
            </w:r>
          </w:p>
        </w:tc>
        <w:tc>
          <w:tcPr>
            <w:tcW w:w="1733" w:type="dxa"/>
            <w:tcBorders>
              <w:top w:val="single" w:color="auto" w:sz="4" w:space="0"/>
              <w:left w:val="nil"/>
              <w:bottom w:val="single" w:color="auto" w:sz="4" w:space="0"/>
              <w:right w:val="single" w:color="auto" w:sz="4" w:space="0"/>
            </w:tcBorders>
            <w:noWrap w:val="0"/>
            <w:vAlign w:val="center"/>
          </w:tcPr>
          <w:p w14:paraId="77B9202F">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drawing>
                <wp:inline distT="0" distB="0" distL="114300" distR="114300">
                  <wp:extent cx="1005840" cy="799465"/>
                  <wp:effectExtent l="0" t="0" r="3810" b="635"/>
                  <wp:docPr id="4" name="图片 4" descr="微信图片_2025050915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509153253"/>
                          <pic:cNvPicPr>
                            <a:picLocks noChangeAspect="1"/>
                          </pic:cNvPicPr>
                        </pic:nvPicPr>
                        <pic:blipFill>
                          <a:blip r:embed="rId9"/>
                          <a:stretch>
                            <a:fillRect/>
                          </a:stretch>
                        </pic:blipFill>
                        <pic:spPr>
                          <a:xfrm>
                            <a:off x="0" y="0"/>
                            <a:ext cx="1005840" cy="799465"/>
                          </a:xfrm>
                          <a:prstGeom prst="rect">
                            <a:avLst/>
                          </a:prstGeom>
                        </pic:spPr>
                      </pic:pic>
                    </a:graphicData>
                  </a:graphic>
                </wp:inline>
              </w:drawing>
            </w:r>
          </w:p>
        </w:tc>
        <w:tc>
          <w:tcPr>
            <w:tcW w:w="1117" w:type="dxa"/>
            <w:tcBorders>
              <w:top w:val="single" w:color="auto" w:sz="4" w:space="0"/>
              <w:left w:val="nil"/>
              <w:bottom w:val="single" w:color="auto" w:sz="4" w:space="0"/>
              <w:right w:val="single" w:color="auto" w:sz="4" w:space="0"/>
            </w:tcBorders>
            <w:shd w:val="clear" w:color="auto" w:fill="auto"/>
            <w:noWrap w:val="0"/>
            <w:vAlign w:val="center"/>
          </w:tcPr>
          <w:p w14:paraId="599D86C2">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Microfuge 20R</w:t>
            </w:r>
          </w:p>
        </w:tc>
        <w:tc>
          <w:tcPr>
            <w:tcW w:w="6467" w:type="dxa"/>
            <w:tcBorders>
              <w:top w:val="single" w:color="auto" w:sz="4" w:space="0"/>
              <w:left w:val="nil"/>
              <w:bottom w:val="single" w:color="auto" w:sz="4" w:space="0"/>
              <w:right w:val="single" w:color="auto" w:sz="4" w:space="0"/>
            </w:tcBorders>
            <w:noWrap w:val="0"/>
            <w:vAlign w:val="center"/>
          </w:tcPr>
          <w:p w14:paraId="04D0D5D9">
            <w:pPr>
              <w:rPr>
                <w:rFonts w:hint="eastAsia" w:ascii="宋体" w:hAnsi="宋体" w:eastAsia="宋体" w:cs="宋体"/>
              </w:rPr>
            </w:pPr>
            <w:r>
              <w:rPr>
                <w:rFonts w:hint="eastAsia" w:ascii="宋体" w:hAnsi="宋体" w:eastAsia="宋体" w:cs="宋体"/>
              </w:rPr>
              <w:t>1. 功能：能够产生强大的离心力，使不同密度的物质在离心力的作用下实现分离。</w:t>
            </w:r>
          </w:p>
          <w:p w14:paraId="09F61EBD">
            <w:pPr>
              <w:rPr>
                <w:rFonts w:hint="eastAsia" w:ascii="宋体" w:hAnsi="宋体" w:eastAsia="宋体" w:cs="宋体"/>
              </w:rPr>
            </w:pPr>
            <w:r>
              <w:rPr>
                <w:rFonts w:hint="eastAsia" w:ascii="宋体" w:hAnsi="宋体" w:eastAsia="宋体" w:cs="宋体"/>
              </w:rPr>
              <w:t>2. 配置： 主机一台，24×1.5/2.0mL定角转头一个，最高转速15000rpm，最大离心力20627×g</w:t>
            </w:r>
          </w:p>
          <w:p w14:paraId="11D9AB05">
            <w:pPr>
              <w:rPr>
                <w:rFonts w:hint="eastAsia" w:ascii="宋体" w:hAnsi="宋体" w:eastAsia="宋体" w:cs="宋体"/>
              </w:rPr>
            </w:pPr>
            <w:r>
              <w:rPr>
                <w:rFonts w:hint="eastAsia" w:ascii="宋体" w:hAnsi="宋体" w:eastAsia="宋体" w:cs="宋体"/>
              </w:rPr>
              <w:t>3. 技术参数</w:t>
            </w:r>
          </w:p>
          <w:p w14:paraId="2AF94904">
            <w:pPr>
              <w:rPr>
                <w:rFonts w:hint="eastAsia" w:ascii="宋体" w:hAnsi="宋体" w:eastAsia="宋体" w:cs="宋体"/>
              </w:rPr>
            </w:pPr>
            <w:r>
              <w:rPr>
                <w:rFonts w:hint="eastAsia" w:ascii="宋体" w:hAnsi="宋体" w:eastAsia="宋体" w:cs="宋体"/>
              </w:rPr>
              <w:t>3.1用户可以直接输入转速、相对离心力，可在离心过程中改变参数值</w:t>
            </w:r>
          </w:p>
          <w:p w14:paraId="7EBD19E2">
            <w:pPr>
              <w:rPr>
                <w:rFonts w:hint="eastAsia" w:ascii="宋体" w:hAnsi="宋体" w:eastAsia="宋体" w:cs="宋体"/>
              </w:rPr>
            </w:pPr>
            <w:r>
              <w:rPr>
                <w:rFonts w:hint="eastAsia" w:ascii="宋体" w:hAnsi="宋体" w:eastAsia="宋体" w:cs="宋体"/>
              </w:rPr>
              <w:t>3.2面板控制：包含系统键、程序键和数字显示屏。</w:t>
            </w:r>
          </w:p>
          <w:p w14:paraId="3AFCBCF7">
            <w:pPr>
              <w:rPr>
                <w:rFonts w:hint="eastAsia" w:ascii="宋体" w:hAnsi="宋体" w:eastAsia="宋体" w:cs="宋体"/>
              </w:rPr>
            </w:pPr>
            <w:r>
              <w:rPr>
                <w:rFonts w:hint="eastAsia" w:ascii="宋体" w:hAnsi="宋体" w:eastAsia="宋体" w:cs="宋体"/>
              </w:rPr>
              <w:t>3.3速度显示：rpm/rcf可相互转换，且有独立按键，便于操作</w:t>
            </w:r>
          </w:p>
          <w:p w14:paraId="32BC5388">
            <w:pPr>
              <w:rPr>
                <w:rFonts w:hint="eastAsia" w:ascii="宋体" w:hAnsi="宋体" w:eastAsia="宋体" w:cs="宋体"/>
              </w:rPr>
            </w:pPr>
            <w:r>
              <w:rPr>
                <w:rFonts w:hint="eastAsia" w:ascii="宋体" w:hAnsi="宋体" w:eastAsia="宋体" w:cs="宋体"/>
              </w:rPr>
              <w:t>3.4快速运行功能：按下 QUICK RUN键可短期运行</w:t>
            </w:r>
          </w:p>
          <w:p w14:paraId="5E6DC042">
            <w:pPr>
              <w:rPr>
                <w:rFonts w:hint="eastAsia" w:ascii="宋体" w:hAnsi="宋体" w:eastAsia="宋体" w:cs="宋体"/>
              </w:rPr>
            </w:pPr>
            <w:r>
              <w:rPr>
                <w:rFonts w:hint="eastAsia" w:ascii="宋体" w:hAnsi="宋体" w:eastAsia="宋体" w:cs="宋体"/>
              </w:rPr>
              <w:t>3.5冷冻功能：最高转速时转子温度可保持4°C；带预冷功能，只需按下 PRECOOL键便可加载预冷程序。</w:t>
            </w:r>
          </w:p>
          <w:p w14:paraId="1CCD3044">
            <w:pPr>
              <w:rPr>
                <w:rFonts w:hint="eastAsia" w:ascii="宋体" w:hAnsi="宋体" w:eastAsia="宋体" w:cs="宋体"/>
              </w:rPr>
            </w:pPr>
            <w:r>
              <w:rPr>
                <w:rFonts w:hint="eastAsia" w:ascii="宋体" w:hAnsi="宋体" w:eastAsia="宋体" w:cs="宋体"/>
              </w:rPr>
              <w:t>3.6安全性能：转子自动识别功能；自动失衡识别；带生物安全转头，提高生物安全性高。</w:t>
            </w:r>
          </w:p>
          <w:p w14:paraId="24101EE9">
            <w:pPr>
              <w:rPr>
                <w:rFonts w:hint="eastAsia" w:ascii="宋体" w:hAnsi="宋体" w:eastAsia="宋体" w:cs="宋体"/>
              </w:rPr>
            </w:pPr>
            <w:r>
              <w:rPr>
                <w:rFonts w:hint="eastAsia" w:ascii="宋体" w:hAnsi="宋体" w:eastAsia="宋体" w:cs="宋体"/>
              </w:rPr>
              <w:t>3.7最高转速15000rpm，最大离心力：20627×g</w:t>
            </w:r>
          </w:p>
          <w:p w14:paraId="02CDF5CD">
            <w:pPr>
              <w:rPr>
                <w:rFonts w:hint="eastAsia" w:ascii="宋体" w:hAnsi="宋体" w:eastAsia="宋体" w:cs="宋体"/>
              </w:rPr>
            </w:pPr>
            <w:r>
              <w:rPr>
                <w:rFonts w:hint="eastAsia" w:ascii="宋体" w:hAnsi="宋体" w:eastAsia="宋体" w:cs="宋体"/>
              </w:rPr>
              <w:t>3.8最大容量：36×2.0mL</w:t>
            </w:r>
          </w:p>
          <w:p w14:paraId="5034F92D">
            <w:pPr>
              <w:rPr>
                <w:rFonts w:hint="eastAsia" w:ascii="宋体" w:hAnsi="宋体" w:eastAsia="宋体" w:cs="宋体"/>
              </w:rPr>
            </w:pPr>
            <w:r>
              <w:rPr>
                <w:rFonts w:hint="eastAsia" w:ascii="宋体" w:hAnsi="宋体" w:eastAsia="宋体" w:cs="宋体"/>
              </w:rPr>
              <w:t>3.9 可选合金、PC等多种材质转子、可高温灭菌；可选配经第三方认证的生物安全转头，能有效的避免气溶胶的外溢</w:t>
            </w:r>
          </w:p>
          <w:p w14:paraId="6B4D3828">
            <w:pPr>
              <w:rPr>
                <w:rFonts w:hint="eastAsia" w:ascii="宋体" w:hAnsi="宋体" w:eastAsia="宋体" w:cs="宋体"/>
              </w:rPr>
            </w:pPr>
            <w:r>
              <w:rPr>
                <w:rFonts w:hint="eastAsia" w:ascii="宋体" w:hAnsi="宋体" w:eastAsia="宋体" w:cs="宋体"/>
              </w:rPr>
              <w:t>3.10多种转头、适配器可供选择，分离样本范围为0.2ml-80ml</w:t>
            </w:r>
          </w:p>
          <w:p w14:paraId="1CF476EE">
            <w:pPr>
              <w:rPr>
                <w:rFonts w:hint="eastAsia" w:ascii="宋体" w:hAnsi="宋体" w:eastAsia="宋体" w:cs="宋体"/>
              </w:rPr>
            </w:pPr>
            <w:r>
              <w:rPr>
                <w:rFonts w:hint="eastAsia" w:ascii="宋体" w:hAnsi="宋体" w:eastAsia="宋体" w:cs="宋体"/>
              </w:rPr>
              <w:t>3.11.温控范围 ：-10－40°C</w:t>
            </w:r>
          </w:p>
          <w:p w14:paraId="5F2DB90D">
            <w:pPr>
              <w:rPr>
                <w:rFonts w:hint="eastAsia" w:ascii="宋体" w:hAnsi="宋体" w:eastAsia="宋体" w:cs="宋体"/>
              </w:rPr>
            </w:pPr>
            <w:r>
              <w:rPr>
                <w:rFonts w:hint="eastAsia" w:ascii="宋体" w:hAnsi="宋体" w:eastAsia="宋体" w:cs="宋体"/>
              </w:rPr>
              <w:t>3.12时间控制：10s-99min59s ，连续离心、瞬时离心</w:t>
            </w:r>
          </w:p>
          <w:p w14:paraId="4B1EC181">
            <w:pPr>
              <w:rPr>
                <w:rFonts w:hint="eastAsia" w:ascii="宋体" w:hAnsi="宋体" w:eastAsia="宋体" w:cs="宋体"/>
              </w:rPr>
            </w:pPr>
            <w:r>
              <w:rPr>
                <w:rFonts w:hint="eastAsia" w:ascii="宋体" w:hAnsi="宋体" w:eastAsia="宋体" w:cs="宋体"/>
              </w:rPr>
              <w:t>3.13加/减速率：2/2加减档      最大加速时间：11秒，最小减速时间：13秒</w:t>
            </w:r>
          </w:p>
          <w:p w14:paraId="40075070">
            <w:pPr>
              <w:rPr>
                <w:rFonts w:hint="eastAsia" w:ascii="宋体" w:hAnsi="宋体" w:eastAsia="宋体" w:cs="宋体"/>
              </w:rPr>
            </w:pPr>
            <w:r>
              <w:rPr>
                <w:rFonts w:hint="eastAsia" w:ascii="宋体" w:hAnsi="宋体" w:eastAsia="宋体" w:cs="宋体"/>
              </w:rPr>
              <w:t>3.14程序：10个程序存储功能，方便保存及调用常用的程序</w:t>
            </w:r>
          </w:p>
          <w:p w14:paraId="5DC4B7BE">
            <w:pPr>
              <w:rPr>
                <w:rFonts w:hint="eastAsia" w:ascii="宋体" w:hAnsi="宋体" w:eastAsia="宋体" w:cs="宋体"/>
              </w:rPr>
            </w:pPr>
            <w:r>
              <w:rPr>
                <w:rFonts w:hint="eastAsia" w:ascii="宋体" w:hAnsi="宋体" w:eastAsia="宋体" w:cs="宋体"/>
              </w:rPr>
              <w:t>3.15电机类型：免维护无碳刷变频电机</w:t>
            </w:r>
          </w:p>
          <w:p w14:paraId="67BEFD01">
            <w:pPr>
              <w:rPr>
                <w:rFonts w:hint="eastAsia" w:ascii="宋体" w:hAnsi="宋体" w:eastAsia="宋体" w:cs="宋体"/>
              </w:rPr>
            </w:pPr>
            <w:r>
              <w:rPr>
                <w:rFonts w:hint="eastAsia" w:ascii="宋体" w:hAnsi="宋体" w:eastAsia="宋体" w:cs="宋体"/>
              </w:rPr>
              <w:t>3.16备有PCR排管转头可供选择，且PCR排管转头的最高转速可达到15,000 rpm</w:t>
            </w:r>
          </w:p>
          <w:p w14:paraId="59BEAB61">
            <w:pPr>
              <w:rPr>
                <w:rFonts w:hint="eastAsia" w:ascii="宋体" w:hAnsi="宋体" w:eastAsia="宋体" w:cs="宋体"/>
              </w:rPr>
            </w:pPr>
            <w:r>
              <w:rPr>
                <w:rFonts w:hint="eastAsia" w:ascii="宋体" w:hAnsi="宋体" w:eastAsia="宋体" w:cs="宋体"/>
              </w:rPr>
              <w:t>3.17 提供原厂售后维修服务，提供有制造商在郑州有办事处或者售后服务机构的证明文件</w:t>
            </w:r>
          </w:p>
          <w:p w14:paraId="2DB7EC7B">
            <w:pPr>
              <w:rPr>
                <w:rFonts w:hint="eastAsia" w:ascii="宋体" w:hAnsi="宋体" w:eastAsia="宋体" w:cs="宋体"/>
              </w:rPr>
            </w:pPr>
            <w:r>
              <w:rPr>
                <w:rFonts w:hint="eastAsia" w:ascii="宋体" w:hAnsi="宋体" w:eastAsia="宋体" w:cs="宋体"/>
              </w:rPr>
              <w:t>3.18噪音：&lt;58dB</w:t>
            </w:r>
          </w:p>
          <w:p w14:paraId="72ABACDD">
            <w:pPr>
              <w:rPr>
                <w:rFonts w:hint="eastAsia" w:ascii="宋体" w:hAnsi="宋体" w:eastAsia="宋体" w:cs="宋体"/>
              </w:rPr>
            </w:pPr>
            <w:r>
              <w:rPr>
                <w:rFonts w:hint="eastAsia" w:ascii="宋体" w:hAnsi="宋体" w:eastAsia="宋体" w:cs="宋体"/>
              </w:rPr>
              <w:t>3.19电源：220V/50-60Hz</w:t>
            </w:r>
          </w:p>
          <w:p w14:paraId="030EF54E">
            <w:pPr>
              <w:adjustRightInd w:val="0"/>
              <w:snapToGrid w:val="0"/>
              <w:spacing w:line="260" w:lineRule="exact"/>
              <w:rPr>
                <w:rFonts w:hint="eastAsia" w:ascii="宋体" w:hAnsi="宋体" w:eastAsia="宋体" w:cs="宋体"/>
                <w:color w:val="auto"/>
                <w:szCs w:val="21"/>
                <w:highlight w:val="none"/>
              </w:rPr>
            </w:pPr>
          </w:p>
        </w:tc>
        <w:tc>
          <w:tcPr>
            <w:tcW w:w="566" w:type="dxa"/>
            <w:tcBorders>
              <w:top w:val="single" w:color="auto" w:sz="4" w:space="0"/>
              <w:left w:val="nil"/>
              <w:bottom w:val="single" w:color="auto" w:sz="4" w:space="0"/>
              <w:right w:val="single" w:color="auto" w:sz="4" w:space="0"/>
            </w:tcBorders>
            <w:shd w:val="clear" w:color="auto" w:fill="auto"/>
            <w:noWrap w:val="0"/>
            <w:vAlign w:val="center"/>
          </w:tcPr>
          <w:p w14:paraId="0C100028">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eastAsia="宋体" w:cs="宋体"/>
                <w:b w:val="0"/>
                <w:bCs w:val="0"/>
                <w:sz w:val="24"/>
                <w:szCs w:val="24"/>
              </w:rPr>
              <w:t>台</w:t>
            </w:r>
          </w:p>
        </w:tc>
        <w:tc>
          <w:tcPr>
            <w:tcW w:w="1234" w:type="dxa"/>
            <w:tcBorders>
              <w:top w:val="single" w:color="auto" w:sz="4" w:space="0"/>
              <w:left w:val="nil"/>
              <w:bottom w:val="single" w:color="auto" w:sz="4" w:space="0"/>
              <w:right w:val="single" w:color="auto" w:sz="4" w:space="0"/>
            </w:tcBorders>
            <w:shd w:val="clear" w:color="auto" w:fill="auto"/>
            <w:noWrap w:val="0"/>
            <w:vAlign w:val="center"/>
          </w:tcPr>
          <w:p w14:paraId="364A465E">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sz w:val="24"/>
                <w:szCs w:val="24"/>
                <w:highlight w:val="none"/>
                <w:vertAlign w:val="baseline"/>
                <w:lang w:val="en-US" w:eastAsia="zh-CN"/>
              </w:rPr>
              <w:t>贝克曼库尔特生物科技(苏州)有限公司</w:t>
            </w:r>
          </w:p>
        </w:tc>
        <w:tc>
          <w:tcPr>
            <w:tcW w:w="816" w:type="dxa"/>
            <w:tcBorders>
              <w:top w:val="single" w:color="auto" w:sz="4" w:space="0"/>
              <w:left w:val="nil"/>
              <w:bottom w:val="single" w:color="auto" w:sz="4" w:space="0"/>
              <w:right w:val="single" w:color="auto" w:sz="4" w:space="0"/>
            </w:tcBorders>
            <w:shd w:val="clear" w:color="auto" w:fill="auto"/>
            <w:noWrap w:val="0"/>
            <w:vAlign w:val="center"/>
          </w:tcPr>
          <w:p w14:paraId="2CF7F47C">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sz w:val="24"/>
                <w:szCs w:val="24"/>
                <w:highlight w:val="none"/>
                <w:vertAlign w:val="baseline"/>
                <w:lang w:val="en-US" w:eastAsia="zh-CN"/>
              </w:rPr>
              <w:t>中国</w:t>
            </w:r>
          </w:p>
        </w:tc>
        <w:tc>
          <w:tcPr>
            <w:tcW w:w="1217" w:type="dxa"/>
            <w:tcBorders>
              <w:top w:val="single" w:color="auto" w:sz="4" w:space="0"/>
              <w:left w:val="nil"/>
              <w:bottom w:val="single" w:color="auto" w:sz="4" w:space="0"/>
              <w:right w:val="single" w:color="auto" w:sz="4" w:space="0"/>
            </w:tcBorders>
            <w:noWrap w:val="0"/>
            <w:vAlign w:val="top"/>
          </w:tcPr>
          <w:p w14:paraId="00D25FCA">
            <w:pPr>
              <w:jc w:val="center"/>
              <w:rPr>
                <w:rFonts w:hint="eastAsia" w:ascii="宋体" w:hAnsi="宋体" w:eastAsia="宋体" w:cs="宋体"/>
                <w:color w:val="auto"/>
                <w:szCs w:val="21"/>
                <w:highlight w:val="none"/>
              </w:rPr>
            </w:pPr>
          </w:p>
        </w:tc>
      </w:tr>
      <w:tr w14:paraId="6E49FB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7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CF3BF5">
            <w:pPr>
              <w:keepNext w:val="0"/>
              <w:keepLines w:val="0"/>
              <w:pageBreakBefore w:val="0"/>
              <w:widowControl w:val="0"/>
              <w:kinsoku/>
              <w:wordWrap/>
              <w:overflowPunct/>
              <w:topLinePunct w:val="0"/>
              <w:autoSpaceDE/>
              <w:autoSpaceDN/>
              <w:bidi w:val="0"/>
              <w:adjustRightInd/>
              <w:snapToGrid/>
              <w:spacing w:line="440" w:lineRule="exact"/>
              <w:ind w:left="-63" w:leftChars="-30" w:right="-63" w:rightChars="-3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4</w:t>
            </w:r>
          </w:p>
        </w:tc>
        <w:tc>
          <w:tcPr>
            <w:tcW w:w="1244" w:type="dxa"/>
            <w:tcBorders>
              <w:top w:val="single" w:color="auto" w:sz="4" w:space="0"/>
              <w:left w:val="nil"/>
              <w:bottom w:val="single" w:color="auto" w:sz="4" w:space="0"/>
              <w:right w:val="single" w:color="auto" w:sz="4" w:space="0"/>
            </w:tcBorders>
            <w:shd w:val="clear" w:color="auto" w:fill="auto"/>
            <w:noWrap w:val="0"/>
            <w:vAlign w:val="center"/>
          </w:tcPr>
          <w:p w14:paraId="318FD5D2">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highlight w:val="none"/>
              </w:rPr>
              <w:t>行为分析系统</w:t>
            </w:r>
          </w:p>
        </w:tc>
        <w:tc>
          <w:tcPr>
            <w:tcW w:w="1733" w:type="dxa"/>
            <w:tcBorders>
              <w:top w:val="single" w:color="auto" w:sz="4" w:space="0"/>
              <w:left w:val="nil"/>
              <w:bottom w:val="single" w:color="auto" w:sz="4" w:space="0"/>
              <w:right w:val="single" w:color="auto" w:sz="4" w:space="0"/>
            </w:tcBorders>
            <w:noWrap w:val="0"/>
            <w:vAlign w:val="center"/>
          </w:tcPr>
          <w:p w14:paraId="4D57291E">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drawing>
                <wp:inline distT="0" distB="0" distL="114300" distR="114300">
                  <wp:extent cx="1005205" cy="1447165"/>
                  <wp:effectExtent l="0" t="0" r="4445" b="635"/>
                  <wp:docPr id="5" name="图片 5" descr="微信图片_2025050915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0509153712"/>
                          <pic:cNvPicPr>
                            <a:picLocks noChangeAspect="1"/>
                          </pic:cNvPicPr>
                        </pic:nvPicPr>
                        <pic:blipFill>
                          <a:blip r:embed="rId10"/>
                          <a:stretch>
                            <a:fillRect/>
                          </a:stretch>
                        </pic:blipFill>
                        <pic:spPr>
                          <a:xfrm>
                            <a:off x="0" y="0"/>
                            <a:ext cx="1005205" cy="1447165"/>
                          </a:xfrm>
                          <a:prstGeom prst="rect">
                            <a:avLst/>
                          </a:prstGeom>
                        </pic:spPr>
                      </pic:pic>
                    </a:graphicData>
                  </a:graphic>
                </wp:inline>
              </w:drawing>
            </w:r>
          </w:p>
        </w:tc>
        <w:tc>
          <w:tcPr>
            <w:tcW w:w="1117" w:type="dxa"/>
            <w:tcBorders>
              <w:top w:val="single" w:color="auto" w:sz="4" w:space="0"/>
              <w:left w:val="nil"/>
              <w:bottom w:val="single" w:color="auto" w:sz="4" w:space="0"/>
              <w:right w:val="single" w:color="auto" w:sz="4" w:space="0"/>
            </w:tcBorders>
            <w:shd w:val="clear" w:color="auto" w:fill="auto"/>
            <w:noWrap w:val="0"/>
            <w:vAlign w:val="center"/>
          </w:tcPr>
          <w:p w14:paraId="719D5FBF">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FishTrack</w:t>
            </w:r>
          </w:p>
        </w:tc>
        <w:tc>
          <w:tcPr>
            <w:tcW w:w="6467" w:type="dxa"/>
            <w:tcBorders>
              <w:top w:val="single" w:color="auto" w:sz="4" w:space="0"/>
              <w:left w:val="nil"/>
              <w:bottom w:val="single" w:color="auto" w:sz="4" w:space="0"/>
              <w:right w:val="single" w:color="auto" w:sz="4" w:space="0"/>
            </w:tcBorders>
            <w:noWrap w:val="0"/>
            <w:vAlign w:val="center"/>
          </w:tcPr>
          <w:p w14:paraId="3BE92567">
            <w:pPr>
              <w:rPr>
                <w:rFonts w:hint="eastAsia" w:ascii="宋体" w:hAnsi="宋体" w:eastAsia="宋体" w:cs="宋体"/>
              </w:rPr>
            </w:pPr>
            <w:r>
              <w:rPr>
                <w:rFonts w:hint="eastAsia" w:ascii="宋体" w:hAnsi="宋体" w:eastAsia="宋体" w:cs="宋体"/>
              </w:rPr>
              <w:t>1. 功能：应用于斑马鱼行为自动分析的系统。可准确追踪成年鱼与幼鱼的轨迹，并完成T迷宫、Y迷宫、条件性位置偏爱、社交等行为学实验。</w:t>
            </w:r>
          </w:p>
          <w:p w14:paraId="24ACD5C1">
            <w:pPr>
              <w:rPr>
                <w:rFonts w:hint="eastAsia" w:ascii="宋体" w:hAnsi="宋体" w:eastAsia="宋体" w:cs="宋体"/>
              </w:rPr>
            </w:pPr>
            <w:r>
              <w:rPr>
                <w:rFonts w:hint="eastAsia" w:ascii="宋体" w:hAnsi="宋体" w:eastAsia="宋体" w:cs="宋体"/>
              </w:rPr>
              <w:t>2. 配置：</w:t>
            </w:r>
          </w:p>
          <w:p w14:paraId="1FFBF089">
            <w:pPr>
              <w:rPr>
                <w:rFonts w:hint="eastAsia" w:ascii="宋体" w:hAnsi="宋体" w:eastAsia="宋体" w:cs="宋体"/>
              </w:rPr>
            </w:pPr>
            <w:r>
              <w:rPr>
                <w:rFonts w:hint="eastAsia" w:ascii="宋体" w:hAnsi="宋体" w:eastAsia="宋体" w:cs="宋体"/>
              </w:rPr>
              <w:t>2.1 系统具备高清相机、红外过滤器及红外照明系统，可以为鱼类的追踪提供良好的监控条件，摄像机采集速率：30-60帧/秒，分辨率：≥1080P，红外照明系统功率可调；</w:t>
            </w:r>
          </w:p>
          <w:p w14:paraId="04C44179">
            <w:pPr>
              <w:rPr>
                <w:rFonts w:hint="eastAsia" w:ascii="宋体" w:hAnsi="宋体" w:eastAsia="宋体" w:cs="宋体"/>
              </w:rPr>
            </w:pPr>
            <w:r>
              <w:rPr>
                <w:rFonts w:hint="eastAsia" w:ascii="宋体" w:hAnsi="宋体" w:eastAsia="宋体" w:cs="宋体"/>
              </w:rPr>
              <w:t>2.2 幼鱼观察箱可以放置 6、12、24、48、96 孔板或者实验皿等完成幼鱼的高通量实验；</w:t>
            </w:r>
          </w:p>
          <w:p w14:paraId="455FE3BD">
            <w:pPr>
              <w:rPr>
                <w:rFonts w:hint="eastAsia" w:ascii="宋体" w:hAnsi="宋体" w:eastAsia="宋体" w:cs="宋体"/>
              </w:rPr>
            </w:pPr>
            <w:r>
              <w:rPr>
                <w:rFonts w:hint="eastAsia" w:ascii="宋体" w:hAnsi="宋体" w:eastAsia="宋体" w:cs="宋体"/>
              </w:rPr>
              <w:t>2.3 成鱼观察装置需包含十字交互迷宫、旷场实验箱、新物体识别箱、T迷宫等</w:t>
            </w:r>
          </w:p>
          <w:p w14:paraId="2B2B7104">
            <w:pPr>
              <w:rPr>
                <w:rFonts w:hint="eastAsia" w:ascii="宋体" w:hAnsi="宋体" w:eastAsia="宋体" w:cs="宋体"/>
              </w:rPr>
            </w:pPr>
            <w:r>
              <w:rPr>
                <w:rFonts w:hint="eastAsia" w:ascii="宋体" w:hAnsi="宋体" w:eastAsia="宋体" w:cs="宋体"/>
              </w:rPr>
              <w:t>3. 技术参数</w:t>
            </w:r>
          </w:p>
          <w:p w14:paraId="60BEE3EA">
            <w:pPr>
              <w:rPr>
                <w:rFonts w:hint="eastAsia" w:ascii="宋体" w:hAnsi="宋体" w:eastAsia="宋体" w:cs="宋体"/>
              </w:rPr>
            </w:pPr>
            <w:r>
              <w:rPr>
                <w:rFonts w:hint="eastAsia" w:ascii="宋体" w:hAnsi="宋体" w:eastAsia="宋体" w:cs="宋体"/>
              </w:rPr>
              <w:t>3.1 系统检测的指标包括：游泳距离、区域进入次数、区域进入时间、行为持续时间、行为持续次数、交互次数、方向矢量值等。</w:t>
            </w:r>
          </w:p>
          <w:p w14:paraId="7FA44952">
            <w:pPr>
              <w:rPr>
                <w:rFonts w:hint="eastAsia" w:ascii="宋体" w:hAnsi="宋体" w:eastAsia="宋体" w:cs="宋体"/>
              </w:rPr>
            </w:pPr>
            <w:r>
              <w:rPr>
                <w:rFonts w:hint="eastAsia" w:ascii="宋体" w:hAnsi="宋体" w:eastAsia="宋体" w:cs="宋体"/>
              </w:rPr>
              <w:t># 3.2 量化斑马鱼的行为状态：包括微小运动、正常运动、剧烈运动。</w:t>
            </w:r>
          </w:p>
          <w:p w14:paraId="5AD46318">
            <w:pPr>
              <w:rPr>
                <w:rFonts w:hint="eastAsia" w:ascii="宋体" w:hAnsi="宋体" w:eastAsia="宋体" w:cs="宋体"/>
              </w:rPr>
            </w:pPr>
            <w:r>
              <w:rPr>
                <w:rFonts w:hint="eastAsia" w:ascii="宋体" w:hAnsi="宋体" w:eastAsia="宋体" w:cs="宋体"/>
              </w:rPr>
              <w:t>3.3 量化斑马鱼的微视行为指标，包含斑马鱼的胚胎惊厥行为、斑马鱼的心率检测、斑马鱼的血流动力学检测等。</w:t>
            </w:r>
          </w:p>
          <w:p w14:paraId="0A7D8127">
            <w:pPr>
              <w:rPr>
                <w:rFonts w:hint="eastAsia" w:ascii="宋体" w:hAnsi="宋体" w:eastAsia="宋体" w:cs="宋体"/>
              </w:rPr>
            </w:pPr>
            <w:r>
              <w:rPr>
                <w:rFonts w:hint="eastAsia" w:ascii="宋体" w:hAnsi="宋体" w:eastAsia="宋体" w:cs="宋体"/>
              </w:rPr>
              <w:t>3.4 进行斑马鱼的形态学测量，如身体长度、心包区面积等参数，可自定义测量范围。</w:t>
            </w:r>
          </w:p>
          <w:p w14:paraId="095578FE">
            <w:pPr>
              <w:rPr>
                <w:rFonts w:hint="eastAsia" w:ascii="宋体" w:hAnsi="宋体" w:eastAsia="宋体" w:cs="宋体"/>
              </w:rPr>
            </w:pPr>
            <w:r>
              <w:rPr>
                <w:rFonts w:hint="eastAsia" w:ascii="宋体" w:hAnsi="宋体" w:eastAsia="宋体" w:cs="宋体"/>
              </w:rPr>
              <w:t>3.5 进行鱼类焦虑抑郁、学习认知等常规实验，同时可以支持多条鱼的社交实验、高通量孔板实验，可观察斑马鱼的胚胎、血流、心跳等参数。</w:t>
            </w:r>
          </w:p>
          <w:p w14:paraId="43B0C1D8">
            <w:pPr>
              <w:rPr>
                <w:rFonts w:hint="eastAsia" w:ascii="宋体" w:hAnsi="宋体" w:eastAsia="宋体" w:cs="宋体"/>
              </w:rPr>
            </w:pPr>
            <w:r>
              <w:rPr>
                <w:rFonts w:hint="eastAsia" w:ascii="宋体" w:hAnsi="宋体" w:eastAsia="宋体" w:cs="宋体"/>
              </w:rPr>
              <w:t>3.6 系统提供至少7种观察对象识别的方法：智能识别法、灰度法、静态背景法、动态背景法、高斯背景法、色度法、深度学习模型法，可以应对几乎所有的困难的试验环境，并支持斑马鱼行为数据量化展现：轨迹图、轨迹矢量图、热图（2D、3D）、活动量图（2D、3D）等。</w:t>
            </w:r>
          </w:p>
          <w:p w14:paraId="68EE59A7">
            <w:pPr>
              <w:rPr>
                <w:rFonts w:hint="eastAsia" w:ascii="宋体" w:hAnsi="宋体" w:eastAsia="宋体" w:cs="宋体"/>
              </w:rPr>
            </w:pPr>
            <w:r>
              <w:rPr>
                <w:rFonts w:hint="eastAsia" w:ascii="宋体" w:hAnsi="宋体" w:eastAsia="宋体" w:cs="宋体"/>
              </w:rPr>
              <w:t>3.7系统具备完善的外部输入输出控制，将行为与生物信号（脑电图、血压、神经元活动、超声波发声）和实验刺激（声音、光、电击）整合，可扩展斑马鱼的声光电的刺激实验。</w:t>
            </w:r>
          </w:p>
          <w:p w14:paraId="2BFDE98B">
            <w:pPr>
              <w:rPr>
                <w:rFonts w:hint="eastAsia" w:ascii="宋体" w:hAnsi="宋体" w:eastAsia="宋体" w:cs="宋体"/>
              </w:rPr>
            </w:pPr>
            <w:r>
              <w:rPr>
                <w:rFonts w:hint="eastAsia" w:ascii="宋体" w:hAnsi="宋体" w:eastAsia="宋体" w:cs="宋体"/>
              </w:rPr>
              <w:t>3.8系统需支持云部署及本地部署两种部署方式，用户无需安装桌面端软件可直接登录网址直接进行实验，支持用户使用PC、手机、平板等移动端随时随地登录网址进行视频在线回放、数据在线查看、数据在线分析、数据在线下载等，并可通过微信小程序随时查看分析进程，并拥有在线提问功能。</w:t>
            </w:r>
          </w:p>
          <w:p w14:paraId="3EFA0A7A">
            <w:pPr>
              <w:rPr>
                <w:rFonts w:hint="eastAsia" w:ascii="宋体" w:hAnsi="宋体" w:eastAsia="宋体" w:cs="宋体"/>
              </w:rPr>
            </w:pPr>
            <w:r>
              <w:rPr>
                <w:rFonts w:hint="eastAsia" w:ascii="宋体" w:hAnsi="宋体" w:eastAsia="宋体" w:cs="宋体"/>
              </w:rPr>
              <w:t>3.9.系统具有全面实时功能，可以实时显示插件窗口，用以实时显示动物的跟踪状态，判断是否准确跟踪；Event窗口，实时显示动物跟踪分析过程的精细行为事件；Result窗口，实时显示指标测量结果。</w:t>
            </w:r>
          </w:p>
          <w:p w14:paraId="04C1B062">
            <w:pPr>
              <w:rPr>
                <w:rFonts w:hint="eastAsia" w:ascii="宋体" w:hAnsi="宋体" w:eastAsia="宋体" w:cs="宋体"/>
              </w:rPr>
            </w:pPr>
            <w:r>
              <w:rPr>
                <w:rFonts w:hint="eastAsia" w:ascii="宋体" w:hAnsi="宋体" w:eastAsia="宋体" w:cs="宋体"/>
              </w:rPr>
              <w:t>3.10.系统可提供复验功能，即对检测的事件可以通过点击来自动回/播放相应事件对应的视频，便于校验</w:t>
            </w:r>
          </w:p>
          <w:p w14:paraId="1E873C32">
            <w:pPr>
              <w:rPr>
                <w:rFonts w:hint="eastAsia" w:ascii="宋体" w:hAnsi="宋体" w:eastAsia="宋体" w:cs="宋体"/>
              </w:rPr>
            </w:pPr>
            <w:r>
              <w:rPr>
                <w:rFonts w:hint="eastAsia" w:ascii="宋体" w:hAnsi="宋体" w:eastAsia="宋体" w:cs="宋体"/>
              </w:rPr>
              <w:t># 3.11.系统可新建多个实验平台，实验平台之间互不影响，采集分析可支持多视频窗口展示，支持窗口数量不低于16个，每个窗口可独立开启测试。</w:t>
            </w:r>
          </w:p>
          <w:p w14:paraId="704239F3">
            <w:pPr>
              <w:rPr>
                <w:rFonts w:hint="eastAsia" w:ascii="宋体" w:hAnsi="宋体" w:eastAsia="宋体" w:cs="宋体"/>
              </w:rPr>
            </w:pPr>
            <w:r>
              <w:rPr>
                <w:rFonts w:hint="eastAsia" w:ascii="宋体" w:hAnsi="宋体" w:eastAsia="宋体" w:cs="宋体"/>
              </w:rPr>
              <w:t>3.12.系统可以针对录像环境进行全部或者部分区域亮度和对比度的调节，并可进行滤波平滑调节，已达到最佳跟踪效果。</w:t>
            </w:r>
          </w:p>
          <w:p w14:paraId="3BE6E83B">
            <w:pPr>
              <w:rPr>
                <w:rFonts w:hint="eastAsia" w:ascii="宋体" w:hAnsi="宋体" w:eastAsia="宋体" w:cs="宋体"/>
              </w:rPr>
            </w:pPr>
            <w:r>
              <w:rPr>
                <w:rFonts w:hint="eastAsia" w:ascii="宋体" w:hAnsi="宋体" w:eastAsia="宋体" w:cs="宋体"/>
              </w:rPr>
              <w:t>3.13.系统自带录屏工具，可以挑选任意的时刻进行录屏输出。</w:t>
            </w:r>
          </w:p>
          <w:p w14:paraId="0AB0C2A5">
            <w:pPr>
              <w:rPr>
                <w:rFonts w:hint="eastAsia" w:ascii="宋体" w:hAnsi="宋体" w:eastAsia="宋体" w:cs="宋体"/>
              </w:rPr>
            </w:pPr>
            <w:r>
              <w:rPr>
                <w:rFonts w:hint="eastAsia" w:ascii="宋体" w:hAnsi="宋体" w:eastAsia="宋体" w:cs="宋体"/>
              </w:rPr>
              <w:t>3.14.系统可以将数值数据、事件数据以及动物的运动视频，整合到一个可视化界面，用户可以对数据进行验证和筛选。</w:t>
            </w:r>
          </w:p>
          <w:p w14:paraId="70B676E7">
            <w:pPr>
              <w:adjustRightInd w:val="0"/>
              <w:snapToGrid w:val="0"/>
              <w:spacing w:line="260" w:lineRule="exact"/>
              <w:rPr>
                <w:rFonts w:hint="eastAsia" w:ascii="宋体" w:hAnsi="宋体" w:eastAsia="宋体" w:cs="宋体"/>
                <w:color w:val="auto"/>
                <w:szCs w:val="21"/>
                <w:highlight w:val="none"/>
              </w:rPr>
            </w:pPr>
          </w:p>
        </w:tc>
        <w:tc>
          <w:tcPr>
            <w:tcW w:w="566" w:type="dxa"/>
            <w:tcBorders>
              <w:top w:val="single" w:color="auto" w:sz="4" w:space="0"/>
              <w:left w:val="nil"/>
              <w:bottom w:val="single" w:color="auto" w:sz="4" w:space="0"/>
              <w:right w:val="single" w:color="auto" w:sz="4" w:space="0"/>
            </w:tcBorders>
            <w:shd w:val="clear" w:color="auto" w:fill="auto"/>
            <w:noWrap w:val="0"/>
            <w:vAlign w:val="center"/>
          </w:tcPr>
          <w:p w14:paraId="4E3B9DBA">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eastAsia="宋体" w:cs="宋体"/>
                <w:b w:val="0"/>
                <w:bCs w:val="0"/>
                <w:sz w:val="24"/>
                <w:szCs w:val="24"/>
              </w:rPr>
              <w:t>套</w:t>
            </w:r>
          </w:p>
        </w:tc>
        <w:tc>
          <w:tcPr>
            <w:tcW w:w="1234" w:type="dxa"/>
            <w:tcBorders>
              <w:top w:val="single" w:color="auto" w:sz="4" w:space="0"/>
              <w:left w:val="nil"/>
              <w:bottom w:val="single" w:color="auto" w:sz="4" w:space="0"/>
              <w:right w:val="single" w:color="auto" w:sz="4" w:space="0"/>
            </w:tcBorders>
            <w:shd w:val="clear" w:color="auto" w:fill="auto"/>
            <w:noWrap w:val="0"/>
            <w:vAlign w:val="center"/>
          </w:tcPr>
          <w:p w14:paraId="08237C63">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sz w:val="24"/>
                <w:szCs w:val="24"/>
                <w:highlight w:val="none"/>
                <w:vertAlign w:val="baseline"/>
                <w:lang w:val="en-US" w:eastAsia="zh-CN"/>
              </w:rPr>
              <w:t>上海费曦生物科技有限公司</w:t>
            </w:r>
          </w:p>
        </w:tc>
        <w:tc>
          <w:tcPr>
            <w:tcW w:w="816" w:type="dxa"/>
            <w:tcBorders>
              <w:top w:val="single" w:color="auto" w:sz="4" w:space="0"/>
              <w:left w:val="nil"/>
              <w:bottom w:val="single" w:color="auto" w:sz="4" w:space="0"/>
              <w:right w:val="single" w:color="auto" w:sz="4" w:space="0"/>
            </w:tcBorders>
            <w:shd w:val="clear" w:color="auto" w:fill="auto"/>
            <w:noWrap w:val="0"/>
            <w:vAlign w:val="center"/>
          </w:tcPr>
          <w:p w14:paraId="2770518A">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sz w:val="24"/>
                <w:szCs w:val="24"/>
                <w:highlight w:val="none"/>
                <w:vertAlign w:val="baseline"/>
                <w:lang w:val="en-US" w:eastAsia="zh-CN"/>
              </w:rPr>
              <w:t>中国</w:t>
            </w:r>
          </w:p>
        </w:tc>
        <w:tc>
          <w:tcPr>
            <w:tcW w:w="1217" w:type="dxa"/>
            <w:tcBorders>
              <w:top w:val="single" w:color="auto" w:sz="4" w:space="0"/>
              <w:left w:val="nil"/>
              <w:bottom w:val="single" w:color="auto" w:sz="4" w:space="0"/>
              <w:right w:val="single" w:color="auto" w:sz="4" w:space="0"/>
            </w:tcBorders>
            <w:noWrap w:val="0"/>
            <w:vAlign w:val="top"/>
          </w:tcPr>
          <w:p w14:paraId="56283403">
            <w:pPr>
              <w:jc w:val="center"/>
              <w:rPr>
                <w:rFonts w:hint="eastAsia" w:ascii="宋体" w:hAnsi="宋体" w:eastAsia="宋体" w:cs="宋体"/>
                <w:color w:val="auto"/>
                <w:szCs w:val="21"/>
                <w:highlight w:val="none"/>
              </w:rPr>
            </w:pPr>
          </w:p>
        </w:tc>
      </w:tr>
      <w:tr w14:paraId="66C11B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7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4489B1">
            <w:pPr>
              <w:keepNext w:val="0"/>
              <w:keepLines w:val="0"/>
              <w:pageBreakBefore w:val="0"/>
              <w:widowControl w:val="0"/>
              <w:kinsoku/>
              <w:wordWrap/>
              <w:overflowPunct/>
              <w:topLinePunct w:val="0"/>
              <w:autoSpaceDE/>
              <w:autoSpaceDN/>
              <w:bidi w:val="0"/>
              <w:adjustRightInd/>
              <w:snapToGrid/>
              <w:spacing w:line="440" w:lineRule="exact"/>
              <w:ind w:left="-63" w:leftChars="-30" w:right="-63" w:rightChars="-3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5</w:t>
            </w:r>
          </w:p>
        </w:tc>
        <w:tc>
          <w:tcPr>
            <w:tcW w:w="1244" w:type="dxa"/>
            <w:tcBorders>
              <w:top w:val="single" w:color="auto" w:sz="4" w:space="0"/>
              <w:left w:val="nil"/>
              <w:bottom w:val="single" w:color="auto" w:sz="4" w:space="0"/>
              <w:right w:val="single" w:color="auto" w:sz="4" w:space="0"/>
            </w:tcBorders>
            <w:shd w:val="clear" w:color="auto" w:fill="auto"/>
            <w:noWrap w:val="0"/>
            <w:vAlign w:val="center"/>
          </w:tcPr>
          <w:p w14:paraId="268C224C">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rPr>
              <w:t>多通道光催化反应系统</w:t>
            </w:r>
          </w:p>
        </w:tc>
        <w:tc>
          <w:tcPr>
            <w:tcW w:w="1733" w:type="dxa"/>
            <w:tcBorders>
              <w:top w:val="single" w:color="auto" w:sz="4" w:space="0"/>
              <w:left w:val="nil"/>
              <w:bottom w:val="single" w:color="auto" w:sz="4" w:space="0"/>
              <w:right w:val="single" w:color="auto" w:sz="4" w:space="0"/>
            </w:tcBorders>
            <w:noWrap w:val="0"/>
            <w:vAlign w:val="center"/>
          </w:tcPr>
          <w:p w14:paraId="3925904E">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drawing>
                <wp:inline distT="0" distB="0" distL="114300" distR="114300">
                  <wp:extent cx="1005205" cy="977900"/>
                  <wp:effectExtent l="0" t="0" r="4445" b="12700"/>
                  <wp:docPr id="6" name="图片 6" descr="微信图片_2025050915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0509153818"/>
                          <pic:cNvPicPr>
                            <a:picLocks noChangeAspect="1"/>
                          </pic:cNvPicPr>
                        </pic:nvPicPr>
                        <pic:blipFill>
                          <a:blip r:embed="rId11"/>
                          <a:stretch>
                            <a:fillRect/>
                          </a:stretch>
                        </pic:blipFill>
                        <pic:spPr>
                          <a:xfrm>
                            <a:off x="0" y="0"/>
                            <a:ext cx="1005205" cy="977900"/>
                          </a:xfrm>
                          <a:prstGeom prst="rect">
                            <a:avLst/>
                          </a:prstGeom>
                        </pic:spPr>
                      </pic:pic>
                    </a:graphicData>
                  </a:graphic>
                </wp:inline>
              </w:drawing>
            </w:r>
          </w:p>
        </w:tc>
        <w:tc>
          <w:tcPr>
            <w:tcW w:w="1117" w:type="dxa"/>
            <w:tcBorders>
              <w:top w:val="single" w:color="auto" w:sz="4" w:space="0"/>
              <w:left w:val="nil"/>
              <w:bottom w:val="single" w:color="auto" w:sz="4" w:space="0"/>
              <w:right w:val="single" w:color="auto" w:sz="4" w:space="0"/>
            </w:tcBorders>
            <w:shd w:val="clear" w:color="auto" w:fill="auto"/>
            <w:noWrap w:val="0"/>
            <w:vAlign w:val="center"/>
          </w:tcPr>
          <w:p w14:paraId="327533D0">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PCX50C</w:t>
            </w:r>
          </w:p>
        </w:tc>
        <w:tc>
          <w:tcPr>
            <w:tcW w:w="6467" w:type="dxa"/>
            <w:tcBorders>
              <w:top w:val="single" w:color="auto" w:sz="4" w:space="0"/>
              <w:left w:val="nil"/>
              <w:bottom w:val="single" w:color="auto" w:sz="4" w:space="0"/>
              <w:right w:val="single" w:color="auto" w:sz="4" w:space="0"/>
            </w:tcBorders>
            <w:noWrap w:val="0"/>
            <w:vAlign w:val="center"/>
          </w:tcPr>
          <w:p w14:paraId="59F80F0C">
            <w:pPr>
              <w:rPr>
                <w:rFonts w:hint="eastAsia" w:ascii="宋体" w:hAnsi="宋体" w:eastAsia="宋体" w:cs="宋体"/>
              </w:rPr>
            </w:pPr>
            <w:r>
              <w:rPr>
                <w:rFonts w:hint="eastAsia" w:ascii="宋体" w:hAnsi="宋体" w:eastAsia="宋体" w:cs="宋体"/>
              </w:rPr>
              <w:t>1. 功能：在真空、惰气保护、流动性气氛下，用于光合成反应、光催化降解污染物、光催化分解水制氢、光催化还原CO2等光化学反应的研究。</w:t>
            </w:r>
          </w:p>
          <w:p w14:paraId="58F745D6">
            <w:pPr>
              <w:rPr>
                <w:rFonts w:hint="eastAsia" w:ascii="宋体" w:hAnsi="宋体" w:eastAsia="宋体" w:cs="宋体"/>
              </w:rPr>
            </w:pPr>
            <w:r>
              <w:rPr>
                <w:rFonts w:hint="eastAsia" w:ascii="宋体" w:hAnsi="宋体" w:eastAsia="宋体" w:cs="宋体"/>
              </w:rPr>
              <w:t>2. 配置：</w:t>
            </w:r>
          </w:p>
          <w:p w14:paraId="1812D81C">
            <w:pPr>
              <w:rPr>
                <w:rFonts w:hint="eastAsia" w:ascii="宋体" w:hAnsi="宋体" w:eastAsia="宋体" w:cs="宋体"/>
              </w:rPr>
            </w:pPr>
            <w:r>
              <w:rPr>
                <w:rFonts w:hint="eastAsia" w:ascii="宋体" w:hAnsi="宋体" w:eastAsia="宋体" w:cs="宋体"/>
              </w:rPr>
              <w:t>2.1 PCX50C Discover系统主机，含旋片式光源1组；</w:t>
            </w:r>
          </w:p>
          <w:p w14:paraId="13D5AF21">
            <w:pPr>
              <w:rPr>
                <w:rFonts w:hint="eastAsia" w:ascii="宋体" w:hAnsi="宋体" w:eastAsia="宋体" w:cs="宋体"/>
              </w:rPr>
            </w:pPr>
            <w:r>
              <w:rPr>
                <w:rFonts w:hint="eastAsia" w:ascii="宋体" w:hAnsi="宋体" w:eastAsia="宋体" w:cs="宋体"/>
              </w:rPr>
              <w:t>2.2 配件箱：石英反应瓶9个（含搅拌子）；多功能瓶盖9个（含密封垫）；气体取样针1个；液体取样针1个；温度计一支；水平仪一个；气氛控制器（选配）。</w:t>
            </w:r>
          </w:p>
          <w:p w14:paraId="6EB03D43">
            <w:pPr>
              <w:rPr>
                <w:rFonts w:hint="eastAsia" w:ascii="宋体" w:hAnsi="宋体" w:eastAsia="宋体" w:cs="宋体"/>
              </w:rPr>
            </w:pPr>
            <w:r>
              <w:rPr>
                <w:rFonts w:hint="eastAsia" w:ascii="宋体" w:hAnsi="宋体" w:eastAsia="宋体" w:cs="宋体"/>
              </w:rPr>
              <w:t>2.3 DCM-0506低温恒温槽</w:t>
            </w:r>
          </w:p>
          <w:p w14:paraId="2AA47323">
            <w:pPr>
              <w:rPr>
                <w:rFonts w:hint="eastAsia" w:ascii="宋体" w:hAnsi="宋体" w:eastAsia="宋体" w:cs="宋体"/>
              </w:rPr>
            </w:pPr>
            <w:r>
              <w:rPr>
                <w:rFonts w:hint="eastAsia" w:ascii="宋体" w:hAnsi="宋体" w:eastAsia="宋体" w:cs="宋体"/>
              </w:rPr>
              <w:t>2.4 强光功率计1台</w:t>
            </w:r>
          </w:p>
          <w:p w14:paraId="4ED4CA87">
            <w:pPr>
              <w:rPr>
                <w:rFonts w:hint="eastAsia" w:ascii="宋体" w:hAnsi="宋体" w:eastAsia="宋体" w:cs="宋体"/>
              </w:rPr>
            </w:pPr>
            <w:r>
              <w:rPr>
                <w:rFonts w:hint="eastAsia" w:ascii="宋体" w:hAnsi="宋体" w:eastAsia="宋体" w:cs="宋体"/>
              </w:rPr>
              <w:t>2.5 低温循环水机</w:t>
            </w:r>
          </w:p>
          <w:p w14:paraId="4E14DDEF">
            <w:pPr>
              <w:rPr>
                <w:rFonts w:hint="eastAsia" w:ascii="宋体" w:hAnsi="宋体" w:eastAsia="宋体" w:cs="宋体"/>
              </w:rPr>
            </w:pPr>
            <w:r>
              <w:rPr>
                <w:rFonts w:hint="eastAsia" w:ascii="宋体" w:hAnsi="宋体" w:eastAsia="宋体" w:cs="宋体"/>
              </w:rPr>
              <w:t>2.6 专用300W 氙灯稳流电源；</w:t>
            </w:r>
          </w:p>
          <w:p w14:paraId="3A836C29">
            <w:pPr>
              <w:rPr>
                <w:rFonts w:hint="eastAsia" w:ascii="宋体" w:hAnsi="宋体" w:eastAsia="宋体" w:cs="宋体"/>
              </w:rPr>
            </w:pPr>
            <w:r>
              <w:rPr>
                <w:rFonts w:hint="eastAsia" w:ascii="宋体" w:hAnsi="宋体" w:eastAsia="宋体" w:cs="宋体"/>
              </w:rPr>
              <w:t>2.7  300W氙灯光源；</w:t>
            </w:r>
          </w:p>
          <w:p w14:paraId="6020551C">
            <w:pPr>
              <w:rPr>
                <w:rFonts w:hint="eastAsia" w:ascii="宋体" w:hAnsi="宋体" w:eastAsia="宋体" w:cs="宋体"/>
              </w:rPr>
            </w:pPr>
            <w:r>
              <w:rPr>
                <w:rFonts w:hint="eastAsia" w:ascii="宋体" w:hAnsi="宋体" w:eastAsia="宋体" w:cs="宋体"/>
              </w:rPr>
              <w:t>3 技术参数</w:t>
            </w:r>
          </w:p>
          <w:p w14:paraId="16EAFC84">
            <w:pPr>
              <w:rPr>
                <w:rFonts w:hint="eastAsia" w:ascii="宋体" w:hAnsi="宋体" w:eastAsia="宋体" w:cs="宋体"/>
              </w:rPr>
            </w:pPr>
            <w:r>
              <w:rPr>
                <w:rFonts w:hint="eastAsia" w:ascii="宋体" w:hAnsi="宋体" w:eastAsia="宋体" w:cs="宋体"/>
              </w:rPr>
              <w:t>3.1 基本参数</w:t>
            </w:r>
          </w:p>
          <w:p w14:paraId="4571D132">
            <w:pPr>
              <w:rPr>
                <w:rFonts w:hint="eastAsia" w:ascii="宋体" w:hAnsi="宋体" w:eastAsia="宋体" w:cs="宋体"/>
              </w:rPr>
            </w:pPr>
            <w:r>
              <w:rPr>
                <w:rFonts w:hint="eastAsia" w:ascii="宋体" w:hAnsi="宋体" w:eastAsia="宋体" w:cs="宋体"/>
              </w:rPr>
              <w:t>3.1.1工作电压：220 VAC/50HZ，最大电流：1 A;</w:t>
            </w:r>
          </w:p>
          <w:p w14:paraId="1F2D312F">
            <w:pPr>
              <w:rPr>
                <w:rFonts w:hint="eastAsia" w:ascii="宋体" w:hAnsi="宋体" w:eastAsia="宋体" w:cs="宋体"/>
              </w:rPr>
            </w:pPr>
            <w:r>
              <w:rPr>
                <w:rFonts w:hint="eastAsia" w:ascii="宋体" w:hAnsi="宋体" w:eastAsia="宋体" w:cs="宋体"/>
              </w:rPr>
              <w:t>3.1.2光源电功率：0~5 W;</w:t>
            </w:r>
          </w:p>
          <w:p w14:paraId="1ADEB5A7">
            <w:pPr>
              <w:rPr>
                <w:rFonts w:hint="eastAsia" w:ascii="宋体" w:hAnsi="宋体" w:eastAsia="宋体" w:cs="宋体"/>
              </w:rPr>
            </w:pPr>
            <w:r>
              <w:rPr>
                <w:rFonts w:hint="eastAsia" w:ascii="宋体" w:hAnsi="宋体" w:eastAsia="宋体" w:cs="宋体"/>
              </w:rPr>
              <w:t>3.1.3 定时开关机功能：1-999 min</w:t>
            </w:r>
          </w:p>
          <w:p w14:paraId="0987CDD6">
            <w:pPr>
              <w:rPr>
                <w:rFonts w:hint="eastAsia" w:ascii="宋体" w:hAnsi="宋体" w:eastAsia="宋体" w:cs="宋体"/>
              </w:rPr>
            </w:pPr>
            <w:r>
              <w:rPr>
                <w:rFonts w:hint="eastAsia" w:ascii="宋体" w:hAnsi="宋体" w:eastAsia="宋体" w:cs="宋体"/>
              </w:rPr>
              <w:t>3.1.4 具有水平校准功能；</w:t>
            </w:r>
          </w:p>
          <w:p w14:paraId="19B08F71">
            <w:pPr>
              <w:rPr>
                <w:rFonts w:hint="eastAsia" w:ascii="宋体" w:hAnsi="宋体" w:eastAsia="宋体" w:cs="宋体"/>
              </w:rPr>
            </w:pPr>
            <w:r>
              <w:rPr>
                <w:rFonts w:hint="eastAsia" w:ascii="宋体" w:hAnsi="宋体" w:eastAsia="宋体" w:cs="宋体"/>
              </w:rPr>
              <w:t>3.2 平行一致性</w:t>
            </w:r>
          </w:p>
          <w:p w14:paraId="3C8F4158">
            <w:pPr>
              <w:rPr>
                <w:rFonts w:hint="eastAsia" w:ascii="宋体" w:hAnsi="宋体" w:eastAsia="宋体" w:cs="宋体"/>
              </w:rPr>
            </w:pPr>
            <w:r>
              <w:rPr>
                <w:rFonts w:hint="eastAsia" w:ascii="宋体" w:hAnsi="宋体" w:eastAsia="宋体" w:cs="宋体"/>
              </w:rPr>
              <w:t>3.2.1辐照单元采用循环运动模式，避免因各发光体输出光不一致造成的受光不均匀</w:t>
            </w:r>
          </w:p>
          <w:p w14:paraId="3FA0876D">
            <w:pPr>
              <w:rPr>
                <w:rFonts w:hint="eastAsia" w:ascii="宋体" w:hAnsi="宋体" w:eastAsia="宋体" w:cs="宋体"/>
              </w:rPr>
            </w:pPr>
            <w:r>
              <w:rPr>
                <w:rFonts w:hint="eastAsia" w:ascii="宋体" w:hAnsi="宋体" w:eastAsia="宋体" w:cs="宋体"/>
              </w:rPr>
              <w:t>3.2.2 采用微电脑芯片-机械联动技术，各反应位磁力搅拌速度一致（可调节）</w:t>
            </w:r>
          </w:p>
          <w:p w14:paraId="1A7654FD">
            <w:pPr>
              <w:rPr>
                <w:rFonts w:hint="eastAsia" w:ascii="宋体" w:hAnsi="宋体" w:eastAsia="宋体" w:cs="宋体"/>
              </w:rPr>
            </w:pPr>
            <w:r>
              <w:rPr>
                <w:rFonts w:hint="eastAsia" w:ascii="宋体" w:hAnsi="宋体" w:eastAsia="宋体" w:cs="宋体"/>
              </w:rPr>
              <w:t>3.2.3 受光面均为光学级平面，各反应位光程一致；</w:t>
            </w:r>
          </w:p>
          <w:p w14:paraId="19AB8407">
            <w:pPr>
              <w:rPr>
                <w:rFonts w:hint="eastAsia" w:ascii="宋体" w:hAnsi="宋体" w:eastAsia="宋体" w:cs="宋体"/>
              </w:rPr>
            </w:pPr>
            <w:r>
              <w:rPr>
                <w:rFonts w:hint="eastAsia" w:ascii="宋体" w:hAnsi="宋体" w:eastAsia="宋体" w:cs="宋体"/>
              </w:rPr>
              <w:t>3.2.4底部垂直入射，避免因侧曲面入射造成的光通量不一致；</w:t>
            </w:r>
          </w:p>
          <w:p w14:paraId="0B289FF4">
            <w:pPr>
              <w:rPr>
                <w:rFonts w:hint="eastAsia" w:ascii="宋体" w:hAnsi="宋体" w:eastAsia="宋体" w:cs="宋体"/>
              </w:rPr>
            </w:pPr>
            <w:r>
              <w:rPr>
                <w:rFonts w:hint="eastAsia" w:ascii="宋体" w:hAnsi="宋体" w:eastAsia="宋体" w:cs="宋体"/>
              </w:rPr>
              <w:t>3.3 辐照模块</w:t>
            </w:r>
          </w:p>
          <w:p w14:paraId="43841F73">
            <w:pPr>
              <w:rPr>
                <w:rFonts w:hint="eastAsia" w:ascii="宋体" w:hAnsi="宋体" w:eastAsia="宋体" w:cs="宋体"/>
              </w:rPr>
            </w:pPr>
            <w:r>
              <w:rPr>
                <w:rFonts w:hint="eastAsia" w:ascii="宋体" w:hAnsi="宋体" w:eastAsia="宋体" w:cs="宋体"/>
              </w:rPr>
              <w:t>3.3.1额定功率：10W×9；</w:t>
            </w:r>
          </w:p>
          <w:p w14:paraId="7AD8FBF0">
            <w:pPr>
              <w:rPr>
                <w:rFonts w:hint="eastAsia" w:ascii="宋体" w:hAnsi="宋体" w:eastAsia="宋体" w:cs="宋体"/>
              </w:rPr>
            </w:pPr>
            <w:r>
              <w:rPr>
                <w:rFonts w:hint="eastAsia" w:ascii="宋体" w:hAnsi="宋体" w:eastAsia="宋体" w:cs="宋体"/>
              </w:rPr>
              <w:t>3.3.2 多波长可选：VLight灯盘（白光）；选配255 nm、275 nm、365 nm、385 nm、405 nm、410 nm、420 nm、435 nm、445 nm、450 nm、460 nm、475 nm、485 nm、505 nm、520 nm、525 nm、535 nm、550 nm、575 nm、590 nm、595 nm、620 nm、625 nm、630 nm、655 nm、685nm、700 nm、730 nm、760 nm、770 nm、805 nm、850 nm、880 nm、905 nm、940 nm，并可任意组合;</w:t>
            </w:r>
          </w:p>
          <w:p w14:paraId="400DFD14">
            <w:pPr>
              <w:rPr>
                <w:rFonts w:hint="eastAsia" w:ascii="宋体" w:hAnsi="宋体" w:eastAsia="宋体" w:cs="宋体"/>
              </w:rPr>
            </w:pPr>
            <w:r>
              <w:rPr>
                <w:rFonts w:hint="eastAsia" w:ascii="宋体" w:hAnsi="宋体" w:eastAsia="宋体" w:cs="宋体"/>
              </w:rPr>
              <w:t>3.3.3 多波长组合任选：可单独定制灯盘灯珠组合形式；</w:t>
            </w:r>
          </w:p>
          <w:p w14:paraId="0C540E35">
            <w:pPr>
              <w:rPr>
                <w:rFonts w:hint="eastAsia" w:ascii="宋体" w:hAnsi="宋体" w:eastAsia="宋体" w:cs="宋体"/>
              </w:rPr>
            </w:pPr>
            <w:r>
              <w:rPr>
                <w:rFonts w:hint="eastAsia" w:ascii="宋体" w:hAnsi="宋体" w:eastAsia="宋体" w:cs="宋体"/>
              </w:rPr>
              <w:t>3.3.4 各发光体配备有光学透镜，并逐一筛选锁定焦点平面，保证光源输出的一致性与最大利用率；</w:t>
            </w:r>
          </w:p>
          <w:p w14:paraId="05FC93E4">
            <w:pPr>
              <w:rPr>
                <w:rFonts w:hint="eastAsia" w:ascii="宋体" w:hAnsi="宋体" w:eastAsia="宋体" w:cs="宋体"/>
              </w:rPr>
            </w:pPr>
            <w:r>
              <w:rPr>
                <w:rFonts w:hint="eastAsia" w:ascii="宋体" w:hAnsi="宋体" w:eastAsia="宋体" w:cs="宋体"/>
              </w:rPr>
              <w:t>3.4 反应模块</w:t>
            </w:r>
          </w:p>
          <w:p w14:paraId="2ECB9147">
            <w:pPr>
              <w:rPr>
                <w:rFonts w:hint="eastAsia" w:ascii="宋体" w:hAnsi="宋体" w:eastAsia="宋体" w:cs="宋体"/>
              </w:rPr>
            </w:pPr>
            <w:r>
              <w:rPr>
                <w:rFonts w:hint="eastAsia" w:ascii="宋体" w:hAnsi="宋体" w:eastAsia="宋体" w:cs="宋体"/>
              </w:rPr>
              <w:t>3.4.1 反应位数量：9位；</w:t>
            </w:r>
          </w:p>
          <w:p w14:paraId="237B24D5">
            <w:pPr>
              <w:rPr>
                <w:rFonts w:hint="eastAsia" w:ascii="宋体" w:hAnsi="宋体" w:eastAsia="宋体" w:cs="宋体"/>
              </w:rPr>
            </w:pPr>
            <w:r>
              <w:rPr>
                <w:rFonts w:hint="eastAsia" w:ascii="宋体" w:hAnsi="宋体" w:eastAsia="宋体" w:cs="宋体"/>
              </w:rPr>
              <w:t>3.4.2 固定反应位，可在反应过程中进行进取样操作。</w:t>
            </w:r>
          </w:p>
          <w:p w14:paraId="5E7D193C">
            <w:pPr>
              <w:rPr>
                <w:rFonts w:hint="eastAsia" w:ascii="宋体" w:hAnsi="宋体" w:eastAsia="宋体" w:cs="宋体"/>
              </w:rPr>
            </w:pPr>
            <w:r>
              <w:rPr>
                <w:rFonts w:hint="eastAsia" w:ascii="宋体" w:hAnsi="宋体" w:eastAsia="宋体" w:cs="宋体"/>
              </w:rPr>
              <w:t>3.4.3 光学级-石英瓶底</w:t>
            </w:r>
          </w:p>
          <w:p w14:paraId="5CFBA8EB">
            <w:pPr>
              <w:rPr>
                <w:rFonts w:hint="eastAsia" w:ascii="宋体" w:hAnsi="宋体" w:eastAsia="宋体" w:cs="宋体"/>
              </w:rPr>
            </w:pPr>
            <w:r>
              <w:rPr>
                <w:rFonts w:hint="eastAsia" w:ascii="宋体" w:hAnsi="宋体" w:eastAsia="宋体" w:cs="宋体"/>
              </w:rPr>
              <w:t>3.4.4 反应瓶体积可选：1.5 mL、5 mL、10 mL、50 mL（标配）；</w:t>
            </w:r>
          </w:p>
          <w:p w14:paraId="08457A32">
            <w:pPr>
              <w:rPr>
                <w:rFonts w:hint="eastAsia" w:ascii="宋体" w:hAnsi="宋体" w:eastAsia="宋体" w:cs="宋体"/>
              </w:rPr>
            </w:pPr>
            <w:r>
              <w:rPr>
                <w:rFonts w:hint="eastAsia" w:ascii="宋体" w:hAnsi="宋体" w:eastAsia="宋体" w:cs="宋体"/>
              </w:rPr>
              <w:t>3.4.5 反应瓶具有反光结构，提高利用率（50 mL以下反应瓶具备）；</w:t>
            </w:r>
          </w:p>
          <w:p w14:paraId="73D29427">
            <w:pPr>
              <w:rPr>
                <w:rFonts w:hint="eastAsia" w:ascii="宋体" w:hAnsi="宋体" w:eastAsia="宋体" w:cs="宋体"/>
              </w:rPr>
            </w:pPr>
            <w:r>
              <w:rPr>
                <w:rFonts w:hint="eastAsia" w:ascii="宋体" w:hAnsi="宋体" w:eastAsia="宋体" w:cs="宋体"/>
              </w:rPr>
              <w:t>3.4.6 反应瓶耐压性能：0.05 MPa;</w:t>
            </w:r>
          </w:p>
          <w:p w14:paraId="65162264">
            <w:pPr>
              <w:rPr>
                <w:rFonts w:hint="eastAsia" w:ascii="宋体" w:hAnsi="宋体" w:eastAsia="宋体" w:cs="宋体"/>
              </w:rPr>
            </w:pPr>
            <w:r>
              <w:rPr>
                <w:rFonts w:hint="eastAsia" w:ascii="宋体" w:hAnsi="宋体" w:eastAsia="宋体" w:cs="宋体"/>
              </w:rPr>
              <w:t>3.4.7 多类型可选：普通瓶、高效瓶；</w:t>
            </w:r>
          </w:p>
          <w:p w14:paraId="2021311D">
            <w:pPr>
              <w:rPr>
                <w:rFonts w:hint="eastAsia" w:ascii="宋体" w:hAnsi="宋体" w:eastAsia="宋体" w:cs="宋体"/>
              </w:rPr>
            </w:pPr>
            <w:r>
              <w:rPr>
                <w:rFonts w:hint="eastAsia" w:ascii="宋体" w:hAnsi="宋体" w:eastAsia="宋体" w:cs="宋体"/>
              </w:rPr>
              <w:t>3.4.8 高柔性：可通过使用不同类型反应瓶盖实现真空、惰气保护、流动性气氛等不同环境下的光催化反应，可以实现气体样、液体样的检测。</w:t>
            </w:r>
          </w:p>
          <w:p w14:paraId="6F6C0EEE">
            <w:pPr>
              <w:rPr>
                <w:rFonts w:hint="eastAsia" w:ascii="宋体" w:hAnsi="宋体" w:eastAsia="宋体" w:cs="宋体"/>
              </w:rPr>
            </w:pPr>
            <w:r>
              <w:rPr>
                <w:rFonts w:hint="eastAsia" w:ascii="宋体" w:hAnsi="宋体" w:eastAsia="宋体" w:cs="宋体"/>
              </w:rPr>
              <w:t>3.4.9 瓶盖配置：C1（降解），C2（气密性三孔可配自动取样器）可选。</w:t>
            </w:r>
          </w:p>
          <w:p w14:paraId="4A643C76">
            <w:pPr>
              <w:rPr>
                <w:rFonts w:hint="eastAsia" w:ascii="宋体" w:hAnsi="宋体" w:eastAsia="宋体" w:cs="宋体"/>
              </w:rPr>
            </w:pPr>
            <w:r>
              <w:rPr>
                <w:rFonts w:hint="eastAsia" w:ascii="宋体" w:hAnsi="宋体" w:eastAsia="宋体" w:cs="宋体"/>
              </w:rPr>
              <w:t>3.4.10 反应瓶具有固定夹持功能，可与自动取样装置配合使用；</w:t>
            </w:r>
          </w:p>
          <w:p w14:paraId="748C38B9">
            <w:pPr>
              <w:rPr>
                <w:rFonts w:hint="eastAsia" w:ascii="宋体" w:hAnsi="宋体" w:eastAsia="宋体" w:cs="宋体"/>
              </w:rPr>
            </w:pPr>
            <w:r>
              <w:rPr>
                <w:rFonts w:hint="eastAsia" w:ascii="宋体" w:hAnsi="宋体" w:eastAsia="宋体" w:cs="宋体"/>
              </w:rPr>
              <w:t>3.5 温控模式</w:t>
            </w:r>
          </w:p>
          <w:p w14:paraId="2E64625C">
            <w:pPr>
              <w:rPr>
                <w:rFonts w:hint="eastAsia" w:ascii="宋体" w:hAnsi="宋体" w:eastAsia="宋体" w:cs="宋体"/>
              </w:rPr>
            </w:pPr>
            <w:r>
              <w:rPr>
                <w:rFonts w:hint="eastAsia" w:ascii="宋体" w:hAnsi="宋体" w:eastAsia="宋体" w:cs="宋体"/>
              </w:rPr>
              <w:t>3.5.1 控温方式：高速涡轮水压控温，一体水冷设计</w:t>
            </w:r>
          </w:p>
          <w:p w14:paraId="0335FA00">
            <w:pPr>
              <w:rPr>
                <w:rFonts w:hint="eastAsia" w:ascii="宋体" w:hAnsi="宋体" w:eastAsia="宋体" w:cs="宋体"/>
              </w:rPr>
            </w:pPr>
            <w:r>
              <w:rPr>
                <w:rFonts w:hint="eastAsia" w:ascii="宋体" w:hAnsi="宋体" w:eastAsia="宋体" w:cs="宋体"/>
              </w:rPr>
              <w:t>3.5.2 控温范围：10℃~80℃（低温可定制），控温精度0.1℃（由循环冷水机控温精度决定）</w:t>
            </w:r>
          </w:p>
          <w:p w14:paraId="75661198">
            <w:pPr>
              <w:rPr>
                <w:rFonts w:hint="eastAsia" w:ascii="宋体" w:hAnsi="宋体" w:eastAsia="宋体" w:cs="宋体"/>
              </w:rPr>
            </w:pPr>
            <w:r>
              <w:rPr>
                <w:rFonts w:hint="eastAsia" w:ascii="宋体" w:hAnsi="宋体" w:eastAsia="宋体" w:cs="宋体"/>
              </w:rPr>
              <w:t>3.5.3 具有冷凝水收集装置，避免冷凝水对装置电路及反应环境污染</w:t>
            </w:r>
          </w:p>
          <w:p w14:paraId="56536B29">
            <w:pPr>
              <w:rPr>
                <w:rFonts w:hint="eastAsia" w:ascii="宋体" w:hAnsi="宋体" w:eastAsia="宋体" w:cs="宋体"/>
              </w:rPr>
            </w:pPr>
            <w:r>
              <w:rPr>
                <w:rFonts w:hint="eastAsia" w:ascii="宋体" w:hAnsi="宋体" w:eastAsia="宋体" w:cs="宋体"/>
              </w:rPr>
              <w:t>3.5.4 标配冷凝水快插接口，简单易操作，无需关闭冷水机可快速断开</w:t>
            </w:r>
          </w:p>
          <w:p w14:paraId="69173F91">
            <w:pPr>
              <w:rPr>
                <w:rFonts w:hint="eastAsia" w:ascii="宋体" w:hAnsi="宋体" w:eastAsia="宋体" w:cs="宋体"/>
              </w:rPr>
            </w:pPr>
            <w:r>
              <w:rPr>
                <w:rFonts w:hint="eastAsia" w:ascii="宋体" w:hAnsi="宋体" w:eastAsia="宋体" w:cs="宋体"/>
              </w:rPr>
              <w:t>3.5.5 具有自动测温位点，实现实时自动温度控制；</w:t>
            </w:r>
          </w:p>
          <w:p w14:paraId="05CCB7A9">
            <w:pPr>
              <w:rPr>
                <w:rFonts w:hint="eastAsia" w:ascii="宋体" w:hAnsi="宋体" w:eastAsia="宋体" w:cs="宋体"/>
              </w:rPr>
            </w:pPr>
            <w:r>
              <w:rPr>
                <w:rFonts w:hint="eastAsia" w:ascii="宋体" w:hAnsi="宋体" w:eastAsia="宋体" w:cs="宋体"/>
              </w:rPr>
              <w:t>3.6搅拌方式</w:t>
            </w:r>
          </w:p>
          <w:p w14:paraId="1DC2C41D">
            <w:pPr>
              <w:rPr>
                <w:rFonts w:hint="eastAsia" w:ascii="宋体" w:hAnsi="宋体" w:eastAsia="宋体" w:cs="宋体"/>
              </w:rPr>
            </w:pPr>
            <w:r>
              <w:rPr>
                <w:rFonts w:hint="eastAsia" w:ascii="宋体" w:hAnsi="宋体" w:eastAsia="宋体" w:cs="宋体"/>
              </w:rPr>
              <w:t>3.6.1 搅拌方式：专利磁悬浮中置搅拌技术（专利号：201520764853.2）；</w:t>
            </w:r>
          </w:p>
          <w:p w14:paraId="31D67C5C">
            <w:pPr>
              <w:rPr>
                <w:rFonts w:hint="eastAsia" w:ascii="宋体" w:hAnsi="宋体" w:eastAsia="宋体" w:cs="宋体"/>
              </w:rPr>
            </w:pPr>
            <w:r>
              <w:rPr>
                <w:rFonts w:hint="eastAsia" w:ascii="宋体" w:hAnsi="宋体" w:eastAsia="宋体" w:cs="宋体"/>
              </w:rPr>
              <w:t>3.6.2 采用微电脑芯片-机械联动，各反应位磁力搅拌速度一致（可调节）；</w:t>
            </w:r>
          </w:p>
          <w:p w14:paraId="70305F24">
            <w:pPr>
              <w:rPr>
                <w:rFonts w:hint="eastAsia" w:ascii="宋体" w:hAnsi="宋体" w:eastAsia="宋体" w:cs="宋体"/>
              </w:rPr>
            </w:pPr>
            <w:r>
              <w:rPr>
                <w:rFonts w:hint="eastAsia" w:ascii="宋体" w:hAnsi="宋体" w:eastAsia="宋体" w:cs="宋体"/>
              </w:rPr>
              <w:t>3.6.3 搅拌速度：0~500 r/min；</w:t>
            </w:r>
          </w:p>
          <w:p w14:paraId="5322DDE4">
            <w:pPr>
              <w:rPr>
                <w:rFonts w:hint="eastAsia" w:ascii="宋体" w:hAnsi="宋体" w:eastAsia="宋体" w:cs="宋体"/>
              </w:rPr>
            </w:pPr>
            <w:r>
              <w:rPr>
                <w:rFonts w:hint="eastAsia" w:ascii="宋体" w:hAnsi="宋体" w:eastAsia="宋体" w:cs="宋体"/>
              </w:rPr>
              <w:t>3.7 扩展性</w:t>
            </w:r>
          </w:p>
          <w:p w14:paraId="02AD3A98">
            <w:pPr>
              <w:rPr>
                <w:rFonts w:hint="eastAsia" w:ascii="宋体" w:hAnsi="宋体" w:eastAsia="宋体" w:cs="宋体"/>
              </w:rPr>
            </w:pPr>
            <w:r>
              <w:rPr>
                <w:rFonts w:hint="eastAsia" w:ascii="宋体" w:hAnsi="宋体" w:eastAsia="宋体" w:cs="宋体"/>
              </w:rPr>
              <w:t>3.7.1 可配合前处理装置 AC1000气氛控制器、PLA-MAC1005多路气氛控制器；</w:t>
            </w:r>
          </w:p>
          <w:p w14:paraId="2382A96A">
            <w:pPr>
              <w:rPr>
                <w:rFonts w:hint="eastAsia" w:ascii="宋体" w:hAnsi="宋体" w:eastAsia="宋体" w:cs="宋体"/>
              </w:rPr>
            </w:pPr>
            <w:r>
              <w:rPr>
                <w:rFonts w:hint="eastAsia" w:ascii="宋体" w:hAnsi="宋体" w:eastAsia="宋体" w:cs="宋体"/>
              </w:rPr>
              <w:t>3.7.2 可升级以配合自动取样装置PLA-GPA1000全自动进样器；</w:t>
            </w:r>
          </w:p>
          <w:p w14:paraId="5E518869">
            <w:pPr>
              <w:rPr>
                <w:rFonts w:hint="eastAsia" w:ascii="宋体" w:hAnsi="宋体" w:eastAsia="宋体" w:cs="宋体"/>
              </w:rPr>
            </w:pPr>
            <w:r>
              <w:rPr>
                <w:rFonts w:hint="eastAsia" w:ascii="宋体" w:hAnsi="宋体" w:eastAsia="宋体" w:cs="宋体"/>
              </w:rPr>
              <w:t>3.8光源模块</w:t>
            </w:r>
          </w:p>
          <w:p w14:paraId="562C6EB9">
            <w:pPr>
              <w:rPr>
                <w:rFonts w:hint="eastAsia" w:ascii="宋体" w:hAnsi="宋体" w:eastAsia="宋体" w:cs="宋体"/>
              </w:rPr>
            </w:pPr>
            <w:r>
              <w:rPr>
                <w:rFonts w:hint="eastAsia" w:ascii="宋体" w:hAnsi="宋体" w:eastAsia="宋体" w:cs="宋体"/>
              </w:rPr>
              <w:t>3.8.1灯泡功率：300 W；</w:t>
            </w:r>
          </w:p>
          <w:p w14:paraId="5D2CF4C3">
            <w:pPr>
              <w:rPr>
                <w:rFonts w:hint="eastAsia" w:ascii="宋体" w:hAnsi="宋体" w:eastAsia="宋体" w:cs="宋体"/>
              </w:rPr>
            </w:pPr>
            <w:r>
              <w:rPr>
                <w:rFonts w:hint="eastAsia" w:ascii="宋体" w:hAnsi="宋体" w:eastAsia="宋体" w:cs="宋体"/>
              </w:rPr>
              <w:t>3.8.2功率调整范围：150W-300 W；</w:t>
            </w:r>
          </w:p>
          <w:p w14:paraId="00C89E05">
            <w:pPr>
              <w:rPr>
                <w:rFonts w:hint="eastAsia" w:ascii="宋体" w:hAnsi="宋体" w:eastAsia="宋体" w:cs="宋体"/>
              </w:rPr>
            </w:pPr>
            <w:r>
              <w:rPr>
                <w:rFonts w:hint="eastAsia" w:ascii="宋体" w:hAnsi="宋体" w:eastAsia="宋体" w:cs="宋体"/>
              </w:rPr>
              <w:t>3.9控制方式：</w:t>
            </w:r>
          </w:p>
          <w:p w14:paraId="315374A6">
            <w:pPr>
              <w:rPr>
                <w:rFonts w:hint="eastAsia" w:ascii="宋体" w:hAnsi="宋体" w:eastAsia="宋体" w:cs="宋体"/>
              </w:rPr>
            </w:pPr>
            <w:r>
              <w:rPr>
                <w:rFonts w:hint="eastAsia" w:ascii="宋体" w:hAnsi="宋体" w:eastAsia="宋体" w:cs="宋体"/>
              </w:rPr>
              <w:t>3.9.1工作模式：程控模式;</w:t>
            </w:r>
          </w:p>
          <w:p w14:paraId="7842F1B8">
            <w:pPr>
              <w:rPr>
                <w:rFonts w:hint="eastAsia" w:ascii="宋体" w:hAnsi="宋体" w:eastAsia="宋体" w:cs="宋体"/>
              </w:rPr>
            </w:pPr>
            <w:r>
              <w:rPr>
                <w:rFonts w:hint="eastAsia" w:ascii="宋体" w:hAnsi="宋体" w:eastAsia="宋体" w:cs="宋体"/>
              </w:rPr>
              <w:t>3.9.2最大电流：21A；</w:t>
            </w:r>
          </w:p>
          <w:p w14:paraId="0477A426">
            <w:pPr>
              <w:rPr>
                <w:rFonts w:hint="eastAsia" w:ascii="宋体" w:hAnsi="宋体" w:eastAsia="宋体" w:cs="宋体"/>
              </w:rPr>
            </w:pPr>
            <w:r>
              <w:rPr>
                <w:rFonts w:hint="eastAsia" w:ascii="宋体" w:hAnsi="宋体" w:eastAsia="宋体" w:cs="宋体"/>
              </w:rPr>
              <w:t>3.9.3灯泡（耗材）使用寿命：不低于1000H；（满足光催化正常条件下的光强度要求）</w:t>
            </w:r>
          </w:p>
          <w:p w14:paraId="693D37AF">
            <w:pPr>
              <w:rPr>
                <w:rFonts w:hint="eastAsia" w:ascii="宋体" w:hAnsi="宋体" w:eastAsia="宋体" w:cs="宋体"/>
              </w:rPr>
            </w:pPr>
            <w:r>
              <w:rPr>
                <w:rFonts w:hint="eastAsia" w:ascii="宋体" w:hAnsi="宋体" w:eastAsia="宋体" w:cs="宋体"/>
              </w:rPr>
              <w:t>3.9.4触发方式：一体式高压触发（二级电压且无高压传输）。</w:t>
            </w:r>
          </w:p>
          <w:p w14:paraId="4A277E9A">
            <w:pPr>
              <w:rPr>
                <w:rFonts w:hint="eastAsia" w:ascii="宋体" w:hAnsi="宋体" w:eastAsia="宋体" w:cs="宋体"/>
              </w:rPr>
            </w:pPr>
            <w:r>
              <w:rPr>
                <w:rFonts w:hint="eastAsia" w:ascii="宋体" w:hAnsi="宋体" w:eastAsia="宋体" w:cs="宋体"/>
              </w:rPr>
              <w:t>3.10光输出特性：</w:t>
            </w:r>
          </w:p>
          <w:p w14:paraId="2BB5248D">
            <w:pPr>
              <w:rPr>
                <w:rFonts w:hint="eastAsia" w:ascii="宋体" w:hAnsi="宋体" w:eastAsia="宋体" w:cs="宋体"/>
              </w:rPr>
            </w:pPr>
            <w:r>
              <w:rPr>
                <w:rFonts w:hint="eastAsia" w:ascii="宋体" w:hAnsi="宋体" w:eastAsia="宋体" w:cs="宋体"/>
              </w:rPr>
              <w:t>3.10.1总光功率：50W，可见区19.6W，紫外区2.6W；</w:t>
            </w:r>
          </w:p>
          <w:p w14:paraId="787B8205">
            <w:pPr>
              <w:rPr>
                <w:rFonts w:hint="eastAsia" w:ascii="宋体" w:hAnsi="宋体" w:eastAsia="宋体" w:cs="宋体"/>
              </w:rPr>
            </w:pPr>
            <w:r>
              <w:rPr>
                <w:rFonts w:hint="eastAsia" w:ascii="宋体" w:hAnsi="宋体" w:eastAsia="宋体" w:cs="宋体"/>
              </w:rPr>
              <w:t>3.10.2光谱范围：320-780nm ；（可拓展至320-2500nm）</w:t>
            </w:r>
          </w:p>
          <w:p w14:paraId="44F16577">
            <w:pPr>
              <w:rPr>
                <w:rFonts w:hint="eastAsia" w:ascii="宋体" w:hAnsi="宋体" w:eastAsia="宋体" w:cs="宋体"/>
              </w:rPr>
            </w:pPr>
            <w:r>
              <w:rPr>
                <w:rFonts w:hint="eastAsia" w:ascii="宋体" w:hAnsi="宋体" w:eastAsia="宋体" w:cs="宋体"/>
              </w:rPr>
              <w:t>3.10.3配合滤光片可以获得：紫外光区，可见光区，近红外光区及窄带光；</w:t>
            </w:r>
          </w:p>
          <w:p w14:paraId="20109D97">
            <w:pPr>
              <w:rPr>
                <w:rFonts w:hint="eastAsia" w:ascii="宋体" w:hAnsi="宋体" w:eastAsia="宋体" w:cs="宋体"/>
              </w:rPr>
            </w:pPr>
            <w:r>
              <w:rPr>
                <w:rFonts w:hint="eastAsia" w:ascii="宋体" w:hAnsi="宋体" w:eastAsia="宋体" w:cs="宋体"/>
              </w:rPr>
              <w:t>3.10.4光源发散角：平均6°；</w:t>
            </w:r>
          </w:p>
          <w:p w14:paraId="2B4ACFDA">
            <w:pPr>
              <w:rPr>
                <w:rFonts w:hint="eastAsia" w:ascii="宋体" w:hAnsi="宋体" w:eastAsia="宋体" w:cs="宋体"/>
              </w:rPr>
            </w:pPr>
            <w:r>
              <w:rPr>
                <w:rFonts w:hint="eastAsia" w:ascii="宋体" w:hAnsi="宋体" w:eastAsia="宋体" w:cs="宋体"/>
              </w:rPr>
              <w:t>3.10.5光斑直径：30mm-60mm（依照射距离）；</w:t>
            </w:r>
          </w:p>
          <w:p w14:paraId="6AD0FA82">
            <w:pPr>
              <w:rPr>
                <w:rFonts w:hint="eastAsia" w:ascii="宋体" w:hAnsi="宋体" w:eastAsia="宋体" w:cs="宋体"/>
              </w:rPr>
            </w:pPr>
            <w:r>
              <w:rPr>
                <w:rFonts w:hint="eastAsia" w:ascii="宋体" w:hAnsi="宋体" w:eastAsia="宋体" w:cs="宋体"/>
              </w:rPr>
              <w:t>3.11光源稳定性：</w:t>
            </w:r>
          </w:p>
          <w:p w14:paraId="50B28801">
            <w:pPr>
              <w:rPr>
                <w:rFonts w:hint="eastAsia" w:ascii="宋体" w:hAnsi="宋体" w:eastAsia="宋体" w:cs="宋体"/>
              </w:rPr>
            </w:pPr>
            <w:r>
              <w:rPr>
                <w:rFonts w:hint="eastAsia" w:ascii="宋体" w:hAnsi="宋体" w:eastAsia="宋体" w:cs="宋体"/>
              </w:rPr>
              <w:t>3.11.1周期不稳定性（8小时内）：低于±3%；</w:t>
            </w:r>
          </w:p>
          <w:p w14:paraId="3317A063">
            <w:pPr>
              <w:rPr>
                <w:rFonts w:hint="eastAsia" w:ascii="宋体" w:hAnsi="宋体" w:eastAsia="宋体" w:cs="宋体"/>
              </w:rPr>
            </w:pPr>
            <w:r>
              <w:rPr>
                <w:rFonts w:hint="eastAsia" w:ascii="宋体" w:hAnsi="宋体" w:eastAsia="宋体" w:cs="宋体"/>
              </w:rPr>
              <w:t>3.11.2基于微型CPU的集中数字化供电管理控制（软件控制）；</w:t>
            </w:r>
          </w:p>
          <w:p w14:paraId="3C36949E">
            <w:pPr>
              <w:rPr>
                <w:rFonts w:hint="eastAsia" w:ascii="宋体" w:hAnsi="宋体" w:eastAsia="宋体" w:cs="宋体"/>
              </w:rPr>
            </w:pPr>
            <w:r>
              <w:rPr>
                <w:rFonts w:hint="eastAsia" w:ascii="宋体" w:hAnsi="宋体" w:eastAsia="宋体" w:cs="宋体"/>
              </w:rPr>
              <w:t>3.12安全性：</w:t>
            </w:r>
          </w:p>
          <w:p w14:paraId="194BA2CE">
            <w:pPr>
              <w:rPr>
                <w:rFonts w:hint="eastAsia" w:ascii="宋体" w:hAnsi="宋体" w:eastAsia="宋体" w:cs="宋体"/>
              </w:rPr>
            </w:pPr>
            <w:r>
              <w:rPr>
                <w:rFonts w:hint="eastAsia" w:ascii="宋体" w:hAnsi="宋体" w:eastAsia="宋体" w:cs="宋体"/>
              </w:rPr>
              <w:t>3.12.1灯箱-电源连接线缆无高压传输特性；</w:t>
            </w:r>
          </w:p>
          <w:p w14:paraId="3B24F920">
            <w:pPr>
              <w:rPr>
                <w:rFonts w:hint="eastAsia" w:ascii="宋体" w:hAnsi="宋体" w:eastAsia="宋体" w:cs="宋体"/>
              </w:rPr>
            </w:pPr>
            <w:r>
              <w:rPr>
                <w:rFonts w:hint="eastAsia" w:ascii="宋体" w:hAnsi="宋体" w:eastAsia="宋体" w:cs="宋体"/>
              </w:rPr>
              <w:t>3.12.2金属灯箱，屏蔽电磁干扰；</w:t>
            </w:r>
          </w:p>
          <w:p w14:paraId="01E533AD">
            <w:pPr>
              <w:adjustRightInd w:val="0"/>
              <w:snapToGrid w:val="0"/>
              <w:spacing w:line="260" w:lineRule="exact"/>
              <w:rPr>
                <w:rFonts w:hint="eastAsia" w:ascii="宋体" w:hAnsi="宋体" w:eastAsia="宋体" w:cs="宋体"/>
                <w:color w:val="auto"/>
                <w:szCs w:val="21"/>
                <w:highlight w:val="none"/>
              </w:rPr>
            </w:pPr>
          </w:p>
        </w:tc>
        <w:tc>
          <w:tcPr>
            <w:tcW w:w="566" w:type="dxa"/>
            <w:tcBorders>
              <w:top w:val="single" w:color="auto" w:sz="4" w:space="0"/>
              <w:left w:val="nil"/>
              <w:bottom w:val="single" w:color="auto" w:sz="4" w:space="0"/>
              <w:right w:val="single" w:color="auto" w:sz="4" w:space="0"/>
            </w:tcBorders>
            <w:shd w:val="clear" w:color="auto" w:fill="auto"/>
            <w:noWrap w:val="0"/>
            <w:vAlign w:val="center"/>
          </w:tcPr>
          <w:p w14:paraId="5E15839D">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eastAsia="宋体" w:cs="宋体"/>
                <w:b w:val="0"/>
                <w:bCs w:val="0"/>
                <w:sz w:val="24"/>
                <w:szCs w:val="24"/>
              </w:rPr>
              <w:t>套</w:t>
            </w:r>
          </w:p>
        </w:tc>
        <w:tc>
          <w:tcPr>
            <w:tcW w:w="1234" w:type="dxa"/>
            <w:tcBorders>
              <w:top w:val="single" w:color="auto" w:sz="4" w:space="0"/>
              <w:left w:val="nil"/>
              <w:bottom w:val="single" w:color="auto" w:sz="4" w:space="0"/>
              <w:right w:val="single" w:color="auto" w:sz="4" w:space="0"/>
            </w:tcBorders>
            <w:shd w:val="clear" w:color="auto" w:fill="auto"/>
            <w:noWrap w:val="0"/>
            <w:vAlign w:val="center"/>
          </w:tcPr>
          <w:p w14:paraId="457860EC">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sz w:val="24"/>
                <w:szCs w:val="24"/>
                <w:highlight w:val="none"/>
                <w:vertAlign w:val="baseline"/>
                <w:lang w:val="en-US" w:eastAsia="zh-CN"/>
              </w:rPr>
              <w:t>北京泊菲莱科技有限公司</w:t>
            </w:r>
          </w:p>
        </w:tc>
        <w:tc>
          <w:tcPr>
            <w:tcW w:w="816" w:type="dxa"/>
            <w:tcBorders>
              <w:top w:val="single" w:color="auto" w:sz="4" w:space="0"/>
              <w:left w:val="nil"/>
              <w:bottom w:val="single" w:color="auto" w:sz="4" w:space="0"/>
              <w:right w:val="single" w:color="auto" w:sz="4" w:space="0"/>
            </w:tcBorders>
            <w:shd w:val="clear" w:color="auto" w:fill="auto"/>
            <w:noWrap w:val="0"/>
            <w:vAlign w:val="center"/>
          </w:tcPr>
          <w:p w14:paraId="3A6B55BA">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sz w:val="24"/>
                <w:szCs w:val="24"/>
                <w:highlight w:val="none"/>
                <w:vertAlign w:val="baseline"/>
                <w:lang w:val="en-US" w:eastAsia="zh-CN"/>
              </w:rPr>
              <w:t>中国</w:t>
            </w:r>
          </w:p>
        </w:tc>
        <w:tc>
          <w:tcPr>
            <w:tcW w:w="1217" w:type="dxa"/>
            <w:tcBorders>
              <w:top w:val="single" w:color="auto" w:sz="4" w:space="0"/>
              <w:left w:val="nil"/>
              <w:bottom w:val="single" w:color="auto" w:sz="4" w:space="0"/>
              <w:right w:val="single" w:color="auto" w:sz="4" w:space="0"/>
            </w:tcBorders>
            <w:noWrap w:val="0"/>
            <w:vAlign w:val="top"/>
          </w:tcPr>
          <w:p w14:paraId="69F8D230">
            <w:pPr>
              <w:jc w:val="center"/>
              <w:rPr>
                <w:rFonts w:hint="eastAsia" w:ascii="宋体" w:hAnsi="宋体" w:eastAsia="宋体" w:cs="宋体"/>
                <w:color w:val="auto"/>
                <w:szCs w:val="21"/>
                <w:highlight w:val="none"/>
              </w:rPr>
            </w:pPr>
          </w:p>
        </w:tc>
      </w:tr>
      <w:tr w14:paraId="06D42A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D177CEC">
            <w:pPr>
              <w:keepNext w:val="0"/>
              <w:keepLines w:val="0"/>
              <w:pageBreakBefore w:val="0"/>
              <w:widowControl w:val="0"/>
              <w:kinsoku/>
              <w:wordWrap/>
              <w:overflowPunct/>
              <w:topLinePunct w:val="0"/>
              <w:autoSpaceDE/>
              <w:autoSpaceDN/>
              <w:bidi w:val="0"/>
              <w:adjustRightInd/>
              <w:snapToGrid/>
              <w:spacing w:line="440" w:lineRule="exact"/>
              <w:ind w:left="-63" w:leftChars="-30" w:right="-63" w:rightChars="-3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6</w:t>
            </w:r>
          </w:p>
        </w:tc>
        <w:tc>
          <w:tcPr>
            <w:tcW w:w="1244" w:type="dxa"/>
            <w:tcBorders>
              <w:top w:val="single" w:color="auto" w:sz="4" w:space="0"/>
              <w:left w:val="nil"/>
              <w:bottom w:val="single" w:color="auto" w:sz="4" w:space="0"/>
              <w:right w:val="single" w:color="auto" w:sz="4" w:space="0"/>
            </w:tcBorders>
            <w:shd w:val="clear" w:color="auto" w:fill="auto"/>
            <w:noWrap w:val="0"/>
            <w:vAlign w:val="center"/>
          </w:tcPr>
          <w:p w14:paraId="1AFCE26F">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rPr>
              <w:t>倒置荧光显微镜</w:t>
            </w:r>
          </w:p>
        </w:tc>
        <w:tc>
          <w:tcPr>
            <w:tcW w:w="1733" w:type="dxa"/>
            <w:tcBorders>
              <w:top w:val="single" w:color="auto" w:sz="4" w:space="0"/>
              <w:left w:val="nil"/>
              <w:bottom w:val="single" w:color="auto" w:sz="4" w:space="0"/>
              <w:right w:val="single" w:color="auto" w:sz="4" w:space="0"/>
            </w:tcBorders>
            <w:noWrap w:val="0"/>
            <w:vAlign w:val="center"/>
          </w:tcPr>
          <w:p w14:paraId="47C0B809">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drawing>
                <wp:inline distT="0" distB="0" distL="114300" distR="114300">
                  <wp:extent cx="1004570" cy="930275"/>
                  <wp:effectExtent l="0" t="0" r="5080" b="3175"/>
                  <wp:docPr id="7" name="图片 7" descr="微信图片_2025050915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0509153934"/>
                          <pic:cNvPicPr>
                            <a:picLocks noChangeAspect="1"/>
                          </pic:cNvPicPr>
                        </pic:nvPicPr>
                        <pic:blipFill>
                          <a:blip r:embed="rId12"/>
                          <a:stretch>
                            <a:fillRect/>
                          </a:stretch>
                        </pic:blipFill>
                        <pic:spPr>
                          <a:xfrm>
                            <a:off x="0" y="0"/>
                            <a:ext cx="1004570" cy="930275"/>
                          </a:xfrm>
                          <a:prstGeom prst="rect">
                            <a:avLst/>
                          </a:prstGeom>
                        </pic:spPr>
                      </pic:pic>
                    </a:graphicData>
                  </a:graphic>
                </wp:inline>
              </w:drawing>
            </w:r>
          </w:p>
        </w:tc>
        <w:tc>
          <w:tcPr>
            <w:tcW w:w="1117" w:type="dxa"/>
            <w:tcBorders>
              <w:top w:val="single" w:color="auto" w:sz="4" w:space="0"/>
              <w:left w:val="nil"/>
              <w:bottom w:val="single" w:color="auto" w:sz="4" w:space="0"/>
              <w:right w:val="single" w:color="auto" w:sz="4" w:space="0"/>
            </w:tcBorders>
            <w:shd w:val="clear" w:color="auto" w:fill="auto"/>
            <w:noWrap w:val="0"/>
            <w:vAlign w:val="center"/>
          </w:tcPr>
          <w:p w14:paraId="31256A14">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ICX41</w:t>
            </w:r>
          </w:p>
        </w:tc>
        <w:tc>
          <w:tcPr>
            <w:tcW w:w="6467" w:type="dxa"/>
            <w:tcBorders>
              <w:top w:val="single" w:color="auto" w:sz="4" w:space="0"/>
              <w:left w:val="nil"/>
              <w:bottom w:val="single" w:color="auto" w:sz="4" w:space="0"/>
              <w:right w:val="single" w:color="auto" w:sz="4" w:space="0"/>
            </w:tcBorders>
            <w:noWrap w:val="0"/>
            <w:vAlign w:val="center"/>
          </w:tcPr>
          <w:p w14:paraId="22344438">
            <w:pPr>
              <w:rPr>
                <w:rFonts w:hint="eastAsia" w:ascii="宋体" w:hAnsi="宋体" w:eastAsia="宋体" w:cs="宋体"/>
              </w:rPr>
            </w:pPr>
            <w:r>
              <w:rPr>
                <w:rFonts w:hint="eastAsia" w:ascii="宋体" w:hAnsi="宋体" w:eastAsia="宋体" w:cs="宋体"/>
              </w:rPr>
              <w:t>1. 功能：普通病理切片、免疫组化片、活体细胞等的普通光源、相差及荧光观察；</w:t>
            </w:r>
          </w:p>
          <w:p w14:paraId="1A7548C0">
            <w:pPr>
              <w:rPr>
                <w:rFonts w:hint="eastAsia" w:ascii="宋体" w:hAnsi="宋体" w:eastAsia="宋体" w:cs="宋体"/>
              </w:rPr>
            </w:pPr>
            <w:r>
              <w:rPr>
                <w:rFonts w:hint="eastAsia" w:ascii="宋体" w:hAnsi="宋体" w:eastAsia="宋体" w:cs="宋体"/>
              </w:rPr>
              <w:t>2. 配置</w:t>
            </w:r>
          </w:p>
          <w:p w14:paraId="3C2684DE">
            <w:pPr>
              <w:rPr>
                <w:rFonts w:hint="eastAsia" w:ascii="宋体" w:hAnsi="宋体" w:eastAsia="宋体" w:cs="宋体"/>
              </w:rPr>
            </w:pPr>
            <w:r>
              <w:rPr>
                <w:rFonts w:hint="eastAsia" w:ascii="宋体" w:hAnsi="宋体" w:eastAsia="宋体" w:cs="宋体"/>
              </w:rPr>
              <w:t>2.1 目镜：PL10X22mm，视度可调；    数量：1对。</w:t>
            </w:r>
          </w:p>
          <w:p w14:paraId="7C3A9CA9">
            <w:pPr>
              <w:rPr>
                <w:rFonts w:hint="eastAsia" w:ascii="宋体" w:hAnsi="宋体" w:eastAsia="宋体" w:cs="宋体"/>
              </w:rPr>
            </w:pPr>
            <w:r>
              <w:rPr>
                <w:rFonts w:hint="eastAsia" w:ascii="宋体" w:hAnsi="宋体" w:eastAsia="宋体" w:cs="宋体"/>
              </w:rPr>
              <w:t>2.2 物镜：半复荧光专用物镜（带FL和NA标识），4倍、10倍；               数量：1组。</w:t>
            </w:r>
          </w:p>
          <w:p w14:paraId="0EE30E8D">
            <w:pPr>
              <w:rPr>
                <w:rFonts w:hint="eastAsia" w:ascii="宋体" w:hAnsi="宋体" w:eastAsia="宋体" w:cs="宋体"/>
              </w:rPr>
            </w:pPr>
            <w:r>
              <w:rPr>
                <w:rFonts w:hint="eastAsia" w:ascii="宋体" w:hAnsi="宋体" w:eastAsia="宋体" w:cs="宋体"/>
              </w:rPr>
              <w:t>2.3 物镜：半复荧光专用带相称物镜（带FL、PH、NA标识），20倍、40倍；      数量：1组。</w:t>
            </w:r>
          </w:p>
          <w:p w14:paraId="2A22D3BB">
            <w:pPr>
              <w:rPr>
                <w:rFonts w:hint="eastAsia" w:ascii="宋体" w:hAnsi="宋体" w:eastAsia="宋体" w:cs="宋体"/>
              </w:rPr>
            </w:pPr>
            <w:r>
              <w:rPr>
                <w:rFonts w:hint="eastAsia" w:ascii="宋体" w:hAnsi="宋体" w:eastAsia="宋体" w:cs="宋体"/>
              </w:rPr>
              <w:t>2.4 主机机架组：含调焦机构，载物平台，5孔物镜转盘，三目观察筒，聚光镜；    数量：1台</w:t>
            </w:r>
          </w:p>
          <w:p w14:paraId="3C7BD0B1">
            <w:pPr>
              <w:rPr>
                <w:rFonts w:hint="eastAsia" w:ascii="宋体" w:hAnsi="宋体" w:eastAsia="宋体" w:cs="宋体"/>
              </w:rPr>
            </w:pPr>
            <w:r>
              <w:rPr>
                <w:rFonts w:hint="eastAsia" w:ascii="宋体" w:hAnsi="宋体" w:eastAsia="宋体" w:cs="宋体"/>
              </w:rPr>
              <w:t>2.5 载物台附件：延伸板、金属载物台板、切片托座、Terasaki托座；             数量：1套。</w:t>
            </w:r>
          </w:p>
          <w:p w14:paraId="19BEABD1">
            <w:pPr>
              <w:rPr>
                <w:rFonts w:hint="eastAsia" w:ascii="宋体" w:hAnsi="宋体" w:eastAsia="宋体" w:cs="宋体"/>
              </w:rPr>
            </w:pPr>
            <w:r>
              <w:rPr>
                <w:rFonts w:hint="eastAsia" w:ascii="宋体" w:hAnsi="宋体" w:eastAsia="宋体" w:cs="宋体"/>
              </w:rPr>
              <w:t>2.6 附件：合格证、说明书、防尘罩、绿色反差滤色片、相称插板、电源线；        数量：1套。</w:t>
            </w:r>
          </w:p>
          <w:p w14:paraId="68D2B20D">
            <w:pPr>
              <w:rPr>
                <w:rFonts w:hint="eastAsia" w:ascii="宋体" w:hAnsi="宋体" w:eastAsia="宋体" w:cs="宋体"/>
              </w:rPr>
            </w:pPr>
            <w:r>
              <w:rPr>
                <w:rFonts w:hint="eastAsia" w:ascii="宋体" w:hAnsi="宋体" w:eastAsia="宋体" w:cs="宋体"/>
              </w:rPr>
              <w:t>2.7 成像系统：原装500万像素超高色彩还原相机（含C型接口、标准软件，能支持荧光拍摄）；   数量：1套。</w:t>
            </w:r>
          </w:p>
          <w:p w14:paraId="76FB05AD">
            <w:pPr>
              <w:rPr>
                <w:rFonts w:hint="eastAsia" w:ascii="宋体" w:hAnsi="宋体" w:eastAsia="宋体" w:cs="宋体"/>
              </w:rPr>
            </w:pPr>
            <w:r>
              <w:rPr>
                <w:rFonts w:hint="eastAsia" w:ascii="宋体" w:hAnsi="宋体" w:eastAsia="宋体" w:cs="宋体"/>
              </w:rPr>
              <w:t xml:space="preserve">2.8 工作站：已提供一线品牌机，配置为I5/8G/1T/23寸液显；                 </w:t>
            </w:r>
          </w:p>
          <w:p w14:paraId="21EFA321">
            <w:pPr>
              <w:rPr>
                <w:rFonts w:hint="eastAsia" w:ascii="宋体" w:hAnsi="宋体" w:eastAsia="宋体" w:cs="宋体"/>
              </w:rPr>
            </w:pPr>
            <w:r>
              <w:rPr>
                <w:rFonts w:hint="eastAsia" w:ascii="宋体" w:hAnsi="宋体" w:eastAsia="宋体" w:cs="宋体"/>
              </w:rPr>
              <w:t>3 技术参数</w:t>
            </w:r>
          </w:p>
          <w:p w14:paraId="190216EA">
            <w:pPr>
              <w:rPr>
                <w:rFonts w:hint="eastAsia" w:ascii="宋体" w:hAnsi="宋体" w:eastAsia="宋体" w:cs="宋体"/>
              </w:rPr>
            </w:pPr>
            <w:r>
              <w:rPr>
                <w:rFonts w:hint="eastAsia" w:ascii="宋体" w:hAnsi="宋体" w:eastAsia="宋体" w:cs="宋体"/>
              </w:rPr>
              <w:t>3.1 放大倍数：40X-400X</w:t>
            </w:r>
          </w:p>
          <w:p w14:paraId="2A56233A">
            <w:pPr>
              <w:rPr>
                <w:rFonts w:hint="eastAsia" w:ascii="宋体" w:hAnsi="宋体" w:eastAsia="宋体" w:cs="宋体"/>
              </w:rPr>
            </w:pPr>
            <w:r>
              <w:rPr>
                <w:rFonts w:hint="eastAsia" w:ascii="宋体" w:hAnsi="宋体" w:eastAsia="宋体" w:cs="宋体"/>
              </w:rPr>
              <w:t>3.2 观察筒：铰链式三目，45°倾斜，瞳距调节范围50-75mm。铰链组可360°旋转，通过旋转铰链组筒，即可将眼点高度在标准65mm 瞳距时提升34mm，便于不同身高的操作者使用。</w:t>
            </w:r>
          </w:p>
          <w:p w14:paraId="56B132B0">
            <w:pPr>
              <w:rPr>
                <w:rFonts w:hint="eastAsia" w:ascii="宋体" w:hAnsi="宋体" w:eastAsia="宋体" w:cs="宋体"/>
              </w:rPr>
            </w:pPr>
            <w:r>
              <w:rPr>
                <w:rFonts w:hint="eastAsia" w:ascii="宋体" w:hAnsi="宋体" w:eastAsia="宋体" w:cs="宋体"/>
              </w:rPr>
              <w:t>3.3 目镜：PL10X/22mm，双边目镜都带有视度调节。</w:t>
            </w:r>
          </w:p>
          <w:p w14:paraId="6C46CEF5">
            <w:pPr>
              <w:rPr>
                <w:rFonts w:hint="eastAsia" w:ascii="宋体" w:hAnsi="宋体" w:eastAsia="宋体" w:cs="宋体"/>
              </w:rPr>
            </w:pPr>
            <w:r>
              <w:rPr>
                <w:rFonts w:hint="eastAsia" w:ascii="宋体" w:hAnsi="宋体" w:eastAsia="宋体" w:cs="宋体"/>
              </w:rPr>
              <w:t>3.4 转换器：内定位5孔物镜转换器；</w:t>
            </w:r>
          </w:p>
          <w:p w14:paraId="6628D0D8">
            <w:pPr>
              <w:rPr>
                <w:rFonts w:hint="eastAsia" w:ascii="宋体" w:hAnsi="宋体" w:eastAsia="宋体" w:cs="宋体"/>
              </w:rPr>
            </w:pPr>
            <w:r>
              <w:rPr>
                <w:rFonts w:hint="eastAsia" w:ascii="宋体" w:hAnsi="宋体" w:eastAsia="宋体" w:cs="宋体"/>
              </w:rPr>
              <w:t>3.5 物镜：荧光专用物镜，物镜上具有荧光专用的国际通用FL标识：</w:t>
            </w:r>
          </w:p>
          <w:p w14:paraId="78FFAA52">
            <w:pPr>
              <w:rPr>
                <w:rFonts w:hint="eastAsia" w:ascii="宋体" w:hAnsi="宋体" w:eastAsia="宋体" w:cs="宋体"/>
              </w:rPr>
            </w:pPr>
            <w:r>
              <w:rPr>
                <w:rFonts w:hint="eastAsia" w:ascii="宋体" w:hAnsi="宋体" w:eastAsia="宋体" w:cs="宋体"/>
              </w:rPr>
              <w:t>3.5.1长距无限远半复荧光物镜：4X/N.A.=0.13/W.D.=18.95mm；10X/N.A.=0.3/W.D.=7.27mm；</w:t>
            </w:r>
          </w:p>
          <w:p w14:paraId="2F913CD3">
            <w:pPr>
              <w:rPr>
                <w:rFonts w:hint="eastAsia" w:ascii="宋体" w:hAnsi="宋体" w:eastAsia="宋体" w:cs="宋体"/>
              </w:rPr>
            </w:pPr>
            <w:r>
              <w:rPr>
                <w:rFonts w:hint="eastAsia" w:ascii="宋体" w:hAnsi="宋体" w:eastAsia="宋体" w:cs="宋体"/>
              </w:rPr>
              <w:t>3.5.2长距无限远半复荧光带相衬物镜：20X/N.A.=0.45/W.D.=6.12mm，40X/N.A.=0.65/W.D.=1.79mm。</w:t>
            </w:r>
          </w:p>
          <w:p w14:paraId="01E9FEF8">
            <w:pPr>
              <w:rPr>
                <w:rFonts w:hint="eastAsia" w:ascii="宋体" w:hAnsi="宋体" w:eastAsia="宋体" w:cs="宋体"/>
              </w:rPr>
            </w:pPr>
            <w:r>
              <w:rPr>
                <w:rFonts w:hint="eastAsia" w:ascii="宋体" w:hAnsi="宋体" w:eastAsia="宋体" w:cs="宋体"/>
              </w:rPr>
              <w:t>3.5.3 物镜成像清晰圆直径：4X物镜=16.8mm、 10X物镜=16.5mm、20X物镜=15.9mm、40X物镜=16mm；</w:t>
            </w:r>
          </w:p>
          <w:p w14:paraId="7E1599E3">
            <w:pPr>
              <w:rPr>
                <w:rFonts w:hint="eastAsia" w:ascii="宋体" w:hAnsi="宋体" w:eastAsia="宋体" w:cs="宋体"/>
              </w:rPr>
            </w:pPr>
            <w:r>
              <w:rPr>
                <w:rFonts w:hint="eastAsia" w:ascii="宋体" w:hAnsi="宋体" w:eastAsia="宋体" w:cs="宋体"/>
              </w:rPr>
              <w:t>3.6 物镜齐焦：10→4倍 0.028mm，10→20倍 0.015mm，10→40倍  0.012mm。</w:t>
            </w:r>
          </w:p>
          <w:p w14:paraId="6FF7E0D2">
            <w:pPr>
              <w:rPr>
                <w:rFonts w:hint="eastAsia" w:ascii="宋体" w:hAnsi="宋体" w:eastAsia="宋体" w:cs="宋体"/>
              </w:rPr>
            </w:pPr>
            <w:r>
              <w:rPr>
                <w:rFonts w:hint="eastAsia" w:ascii="宋体" w:hAnsi="宋体" w:eastAsia="宋体" w:cs="宋体"/>
              </w:rPr>
              <w:t>3.7 调焦机构：粗微同轴调焦；粗调行程：9mm(焦面向上6.5mm,向下2.5mm)，微调精度0.002mm；带粗调松紧调节装置，可调节粗调手轮的扭矩。</w:t>
            </w:r>
          </w:p>
          <w:p w14:paraId="02B96CBE">
            <w:pPr>
              <w:rPr>
                <w:rFonts w:hint="eastAsia" w:ascii="宋体" w:hAnsi="宋体" w:eastAsia="宋体" w:cs="宋体"/>
              </w:rPr>
            </w:pPr>
            <w:r>
              <w:rPr>
                <w:rFonts w:hint="eastAsia" w:ascii="宋体" w:hAnsi="宋体" w:eastAsia="宋体" w:cs="宋体"/>
              </w:rPr>
              <w:t>3.8 载物台：固定式载物平台，面积：250X215mm；带机械移动尺与扩展平台，移动范围：120mmX80mm；需清点的载物台附件为：延伸板、金属载物台板、切片托座、Terasaki托座。载物台侧向受5N水平方向作用力的最大位移：0.005mm， 载物台侧向受5N水平方向作用力的不重复性：0.002mm。</w:t>
            </w:r>
          </w:p>
          <w:p w14:paraId="5457049E">
            <w:pPr>
              <w:rPr>
                <w:rFonts w:hint="eastAsia" w:ascii="宋体" w:hAnsi="宋体" w:eastAsia="宋体" w:cs="宋体"/>
              </w:rPr>
            </w:pPr>
            <w:r>
              <w:rPr>
                <w:rFonts w:hint="eastAsia" w:ascii="宋体" w:hAnsi="宋体" w:eastAsia="宋体" w:cs="宋体"/>
              </w:rPr>
              <w:t>3.9 聚光镜：N.A.0.3超长工作距聚光镜，工作距离72mm。</w:t>
            </w:r>
          </w:p>
          <w:p w14:paraId="116A926B">
            <w:pPr>
              <w:rPr>
                <w:rFonts w:hint="eastAsia" w:ascii="宋体" w:hAnsi="宋体" w:eastAsia="宋体" w:cs="宋体"/>
              </w:rPr>
            </w:pPr>
            <w:r>
              <w:rPr>
                <w:rFonts w:hint="eastAsia" w:ascii="宋体" w:hAnsi="宋体" w:eastAsia="宋体" w:cs="宋体"/>
              </w:rPr>
              <w:t>3.10反射荧光系统：反射荧光系统：LED 荧光灯箱，四通道设计，伺服电机控制，齿轮传动，专业带通型滤色片三组，采用硬度工艺，分别为B，对应DIPI（EX480/30,DI505DC,EM535/40）、G，对应GFP（EX560/40,DI600DC,EM635/60）、UV，对应RFP（EX375/28,DI415DC,EM460/50）。带灯源亮度指示条，带有当前波段位置显示功能和EC0红外感应功能，当使用者离开一定时间或再次返回时，系统会自动关闭电源或重新开启，节省能耗。</w:t>
            </w:r>
          </w:p>
          <w:p w14:paraId="7C44A961">
            <w:pPr>
              <w:rPr>
                <w:rFonts w:hint="eastAsia" w:ascii="宋体" w:hAnsi="宋体" w:eastAsia="宋体" w:cs="宋体"/>
              </w:rPr>
            </w:pPr>
            <w:r>
              <w:rPr>
                <w:rFonts w:hint="eastAsia" w:ascii="宋体" w:hAnsi="宋体" w:eastAsia="宋体" w:cs="宋体"/>
              </w:rPr>
              <w:t>3.11透射照明系统：采用自适应宽电压变压器,输入100-240V,5W LED亮度可调,机身前方带有透射光强度指示功能，支持EC0红外感应功能，当使用者离开一定时间或再次返回时，系统会自动关闭电源或重新开启。</w:t>
            </w:r>
          </w:p>
          <w:p w14:paraId="3AFAC3C1">
            <w:pPr>
              <w:rPr>
                <w:rFonts w:hint="eastAsia" w:ascii="宋体" w:hAnsi="宋体" w:eastAsia="宋体" w:cs="宋体"/>
              </w:rPr>
            </w:pPr>
            <w:r>
              <w:rPr>
                <w:rFonts w:hint="eastAsia" w:ascii="宋体" w:hAnsi="宋体" w:eastAsia="宋体" w:cs="宋体"/>
              </w:rPr>
              <w:t>3.12 滤色片：IF550绿色反差滤色片</w:t>
            </w:r>
          </w:p>
          <w:p w14:paraId="5E6AF20B">
            <w:pPr>
              <w:rPr>
                <w:rFonts w:hint="eastAsia" w:ascii="宋体" w:hAnsi="宋体" w:eastAsia="宋体" w:cs="宋体"/>
              </w:rPr>
            </w:pPr>
            <w:r>
              <w:rPr>
                <w:rFonts w:hint="eastAsia" w:ascii="宋体" w:hAnsi="宋体" w:eastAsia="宋体" w:cs="宋体"/>
              </w:rPr>
              <w:t>3.13相衬装置：4X-40X可调中相衬插板。</w:t>
            </w:r>
          </w:p>
          <w:p w14:paraId="478B3733">
            <w:pPr>
              <w:rPr>
                <w:rFonts w:hint="eastAsia" w:ascii="宋体" w:hAnsi="宋体" w:eastAsia="宋体" w:cs="宋体"/>
              </w:rPr>
            </w:pPr>
            <w:r>
              <w:rPr>
                <w:rFonts w:hint="eastAsia" w:ascii="宋体" w:hAnsi="宋体" w:eastAsia="宋体" w:cs="宋体"/>
              </w:rPr>
              <w:t>3.14 产品所采用零部件和生产过程，对有害物质进行严格控制，符合中华人民共和国《电器电子产品有害物质限制使用管理办法》（令第32号）要求，确保不对使用人和环境造成危害和污染。</w:t>
            </w:r>
          </w:p>
          <w:p w14:paraId="225597C0">
            <w:pPr>
              <w:rPr>
                <w:rFonts w:hint="eastAsia" w:ascii="宋体" w:hAnsi="宋体" w:eastAsia="宋体" w:cs="宋体"/>
              </w:rPr>
            </w:pPr>
            <w:r>
              <w:rPr>
                <w:rFonts w:hint="eastAsia" w:ascii="宋体" w:hAnsi="宋体" w:eastAsia="宋体" w:cs="宋体"/>
              </w:rPr>
              <w:t>3.15成像系统：为保证产品质量和售后服务保障，与显微镜同一品牌（镭射信息/非自行贴牌，安装时需查验SN来源渠道），含C型可调焦接口；支持荧光观察和明场观察使用。物理像素：500万像素，最大分辨率下速度：35fps，像素点：3.45umX3.45um，芯片尺寸：2/3英寸，灵敏度及光谱响应1146mv with 1/30s 380-650nm ，USB3.0线纯数码输出，配套显微镜原厂的图像分析软件 (正版软件)</w:t>
            </w:r>
          </w:p>
          <w:p w14:paraId="4DEF3B8A">
            <w:pPr>
              <w:adjustRightInd w:val="0"/>
              <w:snapToGrid w:val="0"/>
              <w:spacing w:line="260" w:lineRule="exact"/>
              <w:rPr>
                <w:rFonts w:hint="eastAsia" w:ascii="宋体" w:hAnsi="宋体" w:eastAsia="宋体" w:cs="宋体"/>
                <w:color w:val="auto"/>
                <w:szCs w:val="21"/>
                <w:highlight w:val="none"/>
              </w:rPr>
            </w:pPr>
          </w:p>
        </w:tc>
        <w:tc>
          <w:tcPr>
            <w:tcW w:w="566" w:type="dxa"/>
            <w:tcBorders>
              <w:top w:val="single" w:color="auto" w:sz="4" w:space="0"/>
              <w:left w:val="nil"/>
              <w:bottom w:val="single" w:color="auto" w:sz="4" w:space="0"/>
              <w:right w:val="single" w:color="auto" w:sz="4" w:space="0"/>
            </w:tcBorders>
            <w:shd w:val="clear" w:color="auto" w:fill="auto"/>
            <w:noWrap w:val="0"/>
            <w:vAlign w:val="center"/>
          </w:tcPr>
          <w:p w14:paraId="710A3F8E">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eastAsia="宋体" w:cs="宋体"/>
                <w:b w:val="0"/>
                <w:bCs w:val="0"/>
                <w:sz w:val="24"/>
                <w:szCs w:val="24"/>
              </w:rPr>
              <w:t>套</w:t>
            </w:r>
          </w:p>
        </w:tc>
        <w:tc>
          <w:tcPr>
            <w:tcW w:w="1234" w:type="dxa"/>
            <w:tcBorders>
              <w:top w:val="single" w:color="auto" w:sz="4" w:space="0"/>
              <w:left w:val="nil"/>
              <w:bottom w:val="single" w:color="auto" w:sz="4" w:space="0"/>
              <w:right w:val="single" w:color="auto" w:sz="4" w:space="0"/>
            </w:tcBorders>
            <w:shd w:val="clear" w:color="auto" w:fill="auto"/>
            <w:noWrap w:val="0"/>
            <w:vAlign w:val="center"/>
          </w:tcPr>
          <w:p w14:paraId="755FB004">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sz w:val="24"/>
                <w:szCs w:val="24"/>
                <w:highlight w:val="none"/>
                <w:vertAlign w:val="baseline"/>
                <w:lang w:val="en-US" w:eastAsia="zh-CN"/>
              </w:rPr>
              <w:t>宁波舜宇仪器有限公司</w:t>
            </w:r>
          </w:p>
        </w:tc>
        <w:tc>
          <w:tcPr>
            <w:tcW w:w="816" w:type="dxa"/>
            <w:tcBorders>
              <w:top w:val="single" w:color="auto" w:sz="4" w:space="0"/>
              <w:left w:val="nil"/>
              <w:bottom w:val="single" w:color="auto" w:sz="4" w:space="0"/>
              <w:right w:val="single" w:color="auto" w:sz="4" w:space="0"/>
            </w:tcBorders>
            <w:shd w:val="clear" w:color="auto" w:fill="auto"/>
            <w:noWrap w:val="0"/>
            <w:vAlign w:val="center"/>
          </w:tcPr>
          <w:p w14:paraId="04D66BE7">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sz w:val="24"/>
                <w:szCs w:val="24"/>
                <w:highlight w:val="none"/>
                <w:vertAlign w:val="baseline"/>
                <w:lang w:val="en-US" w:eastAsia="zh-CN"/>
              </w:rPr>
              <w:t>中国</w:t>
            </w:r>
          </w:p>
        </w:tc>
        <w:tc>
          <w:tcPr>
            <w:tcW w:w="1217" w:type="dxa"/>
            <w:tcBorders>
              <w:top w:val="single" w:color="auto" w:sz="4" w:space="0"/>
              <w:left w:val="nil"/>
              <w:bottom w:val="single" w:color="auto" w:sz="4" w:space="0"/>
              <w:right w:val="single" w:color="auto" w:sz="4" w:space="0"/>
            </w:tcBorders>
            <w:noWrap w:val="0"/>
            <w:vAlign w:val="top"/>
          </w:tcPr>
          <w:p w14:paraId="4B72F5BD">
            <w:pPr>
              <w:jc w:val="center"/>
              <w:rPr>
                <w:rFonts w:hint="eastAsia" w:ascii="宋体" w:hAnsi="宋体" w:eastAsia="宋体" w:cs="宋体"/>
                <w:color w:val="auto"/>
                <w:szCs w:val="21"/>
                <w:highlight w:val="none"/>
              </w:rPr>
            </w:pPr>
          </w:p>
        </w:tc>
      </w:tr>
      <w:tr w14:paraId="3054EF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036D58B">
            <w:pPr>
              <w:keepNext w:val="0"/>
              <w:keepLines w:val="0"/>
              <w:pageBreakBefore w:val="0"/>
              <w:widowControl w:val="0"/>
              <w:kinsoku/>
              <w:wordWrap/>
              <w:overflowPunct/>
              <w:topLinePunct w:val="0"/>
              <w:autoSpaceDE/>
              <w:autoSpaceDN/>
              <w:bidi w:val="0"/>
              <w:adjustRightInd/>
              <w:snapToGrid/>
              <w:spacing w:line="440" w:lineRule="exact"/>
              <w:ind w:left="-63" w:leftChars="-30" w:right="-63" w:rightChars="-3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7</w:t>
            </w:r>
          </w:p>
        </w:tc>
        <w:tc>
          <w:tcPr>
            <w:tcW w:w="1244" w:type="dxa"/>
            <w:tcBorders>
              <w:top w:val="single" w:color="auto" w:sz="4" w:space="0"/>
              <w:left w:val="nil"/>
              <w:bottom w:val="single" w:color="auto" w:sz="4" w:space="0"/>
              <w:right w:val="single" w:color="auto" w:sz="4" w:space="0"/>
            </w:tcBorders>
            <w:shd w:val="clear" w:color="auto" w:fill="auto"/>
            <w:noWrap w:val="0"/>
            <w:vAlign w:val="center"/>
          </w:tcPr>
          <w:p w14:paraId="792F4C35">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rPr>
              <w:t>酶标仪</w:t>
            </w:r>
          </w:p>
        </w:tc>
        <w:tc>
          <w:tcPr>
            <w:tcW w:w="1733" w:type="dxa"/>
            <w:tcBorders>
              <w:top w:val="single" w:color="auto" w:sz="4" w:space="0"/>
              <w:left w:val="nil"/>
              <w:bottom w:val="single" w:color="auto" w:sz="4" w:space="0"/>
              <w:right w:val="single" w:color="auto" w:sz="4" w:space="0"/>
            </w:tcBorders>
            <w:noWrap w:val="0"/>
            <w:vAlign w:val="center"/>
          </w:tcPr>
          <w:p w14:paraId="5F774D0E">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drawing>
                <wp:inline distT="0" distB="0" distL="114300" distR="114300">
                  <wp:extent cx="1003935" cy="800735"/>
                  <wp:effectExtent l="0" t="0" r="5715" b="18415"/>
                  <wp:docPr id="8" name="图片 8" descr="微信图片_2025050915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50509154017"/>
                          <pic:cNvPicPr>
                            <a:picLocks noChangeAspect="1"/>
                          </pic:cNvPicPr>
                        </pic:nvPicPr>
                        <pic:blipFill>
                          <a:blip r:embed="rId13"/>
                          <a:stretch>
                            <a:fillRect/>
                          </a:stretch>
                        </pic:blipFill>
                        <pic:spPr>
                          <a:xfrm>
                            <a:off x="0" y="0"/>
                            <a:ext cx="1003935" cy="800735"/>
                          </a:xfrm>
                          <a:prstGeom prst="rect">
                            <a:avLst/>
                          </a:prstGeom>
                        </pic:spPr>
                      </pic:pic>
                    </a:graphicData>
                  </a:graphic>
                </wp:inline>
              </w:drawing>
            </w:r>
          </w:p>
        </w:tc>
        <w:tc>
          <w:tcPr>
            <w:tcW w:w="1117" w:type="dxa"/>
            <w:tcBorders>
              <w:top w:val="single" w:color="auto" w:sz="4" w:space="0"/>
              <w:left w:val="nil"/>
              <w:bottom w:val="single" w:color="auto" w:sz="4" w:space="0"/>
              <w:right w:val="single" w:color="auto" w:sz="4" w:space="0"/>
            </w:tcBorders>
            <w:shd w:val="clear" w:color="auto" w:fill="auto"/>
            <w:noWrap w:val="0"/>
            <w:vAlign w:val="center"/>
          </w:tcPr>
          <w:p w14:paraId="6FBBD675">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Multiskan FC</w:t>
            </w:r>
          </w:p>
        </w:tc>
        <w:tc>
          <w:tcPr>
            <w:tcW w:w="6467" w:type="dxa"/>
            <w:tcBorders>
              <w:top w:val="single" w:color="auto" w:sz="4" w:space="0"/>
              <w:left w:val="nil"/>
              <w:bottom w:val="single" w:color="auto" w:sz="4" w:space="0"/>
              <w:right w:val="single" w:color="auto" w:sz="4" w:space="0"/>
            </w:tcBorders>
            <w:noWrap w:val="0"/>
            <w:vAlign w:val="center"/>
          </w:tcPr>
          <w:p w14:paraId="754E6D95">
            <w:pPr>
              <w:rPr>
                <w:rFonts w:hint="eastAsia" w:ascii="宋体" w:hAnsi="宋体" w:eastAsia="宋体" w:cs="宋体"/>
              </w:rPr>
            </w:pPr>
            <w:r>
              <w:rPr>
                <w:rFonts w:hint="eastAsia" w:ascii="宋体" w:hAnsi="宋体" w:eastAsia="宋体" w:cs="宋体"/>
              </w:rPr>
              <w:t>1 功能：在特定波长下，检测被测物的吸光值；主要应用于酶联免疫吸附检测反应中检测吸光度值，其用途主要应用于ELISA试剂的测定。</w:t>
            </w:r>
          </w:p>
          <w:p w14:paraId="77B9331F">
            <w:pPr>
              <w:rPr>
                <w:rFonts w:hint="eastAsia" w:ascii="宋体" w:hAnsi="宋体" w:eastAsia="宋体" w:cs="宋体"/>
              </w:rPr>
            </w:pPr>
            <w:r>
              <w:rPr>
                <w:rFonts w:hint="eastAsia" w:ascii="宋体" w:hAnsi="宋体" w:eastAsia="宋体" w:cs="宋体"/>
              </w:rPr>
              <w:t>2 配置：</w:t>
            </w:r>
          </w:p>
          <w:p w14:paraId="387E25B8">
            <w:pPr>
              <w:rPr>
                <w:rFonts w:hint="eastAsia" w:ascii="宋体" w:hAnsi="宋体" w:eastAsia="宋体" w:cs="宋体"/>
              </w:rPr>
            </w:pPr>
            <w:r>
              <w:rPr>
                <w:rFonts w:hint="eastAsia" w:ascii="宋体" w:hAnsi="宋体" w:eastAsia="宋体" w:cs="宋体"/>
              </w:rPr>
              <w:t>2.1 主机一台（带有高分辨彩色显示屏）</w:t>
            </w:r>
          </w:p>
          <w:p w14:paraId="348A3D04">
            <w:pPr>
              <w:rPr>
                <w:rFonts w:hint="eastAsia" w:ascii="宋体" w:hAnsi="宋体" w:eastAsia="宋体" w:cs="宋体"/>
              </w:rPr>
            </w:pPr>
            <w:r>
              <w:rPr>
                <w:rFonts w:hint="eastAsia" w:ascii="宋体" w:hAnsi="宋体" w:eastAsia="宋体" w:cs="宋体"/>
              </w:rPr>
              <w:t>2.2 标准滤光片5块：405nm，450nm，490nm，562nm，620nm。</w:t>
            </w:r>
          </w:p>
          <w:p w14:paraId="7CF9BAF1">
            <w:pPr>
              <w:rPr>
                <w:rFonts w:hint="eastAsia" w:ascii="宋体" w:hAnsi="宋体" w:eastAsia="宋体" w:cs="宋体"/>
              </w:rPr>
            </w:pPr>
            <w:r>
              <w:rPr>
                <w:rFonts w:hint="eastAsia" w:ascii="宋体" w:hAnsi="宋体" w:eastAsia="宋体" w:cs="宋体"/>
              </w:rPr>
              <w:t>3 技术参数</w:t>
            </w:r>
          </w:p>
          <w:p w14:paraId="7094586D">
            <w:pPr>
              <w:rPr>
                <w:rFonts w:hint="eastAsia" w:ascii="宋体" w:hAnsi="宋体" w:eastAsia="宋体" w:cs="宋体"/>
              </w:rPr>
            </w:pPr>
            <w:r>
              <w:rPr>
                <w:rFonts w:hint="eastAsia" w:ascii="宋体" w:hAnsi="宋体" w:eastAsia="宋体" w:cs="宋体"/>
              </w:rPr>
              <w:t>3.1.高分辨大彩色图形化液晶显示屏的用户界面，包含中文等多国语言可选</w:t>
            </w:r>
          </w:p>
          <w:p w14:paraId="587C4188">
            <w:pPr>
              <w:rPr>
                <w:rFonts w:hint="eastAsia" w:ascii="宋体" w:hAnsi="宋体" w:eastAsia="宋体" w:cs="宋体"/>
              </w:rPr>
            </w:pPr>
            <w:r>
              <w:rPr>
                <w:rFonts w:hint="eastAsia" w:ascii="宋体" w:hAnsi="宋体" w:eastAsia="宋体" w:cs="宋体"/>
              </w:rPr>
              <w:t>3.2.光学系统，双参比通道，确保获得准确结果</w:t>
            </w:r>
          </w:p>
          <w:p w14:paraId="2A1C8EEE">
            <w:pPr>
              <w:rPr>
                <w:rFonts w:hint="eastAsia" w:ascii="宋体" w:hAnsi="宋体" w:eastAsia="宋体" w:cs="宋体"/>
              </w:rPr>
            </w:pPr>
            <w:r>
              <w:rPr>
                <w:rFonts w:hint="eastAsia" w:ascii="宋体" w:hAnsi="宋体" w:eastAsia="宋体" w:cs="宋体"/>
              </w:rPr>
              <w:t>3.3.系统内置自我诊断程序，启动时系统自动对设备全面检测</w:t>
            </w:r>
          </w:p>
          <w:p w14:paraId="18772975">
            <w:pPr>
              <w:rPr>
                <w:rFonts w:hint="eastAsia" w:ascii="宋体" w:hAnsi="宋体" w:eastAsia="宋体" w:cs="宋体"/>
              </w:rPr>
            </w:pPr>
            <w:r>
              <w:rPr>
                <w:rFonts w:hint="eastAsia" w:ascii="宋体" w:hAnsi="宋体" w:eastAsia="宋体" w:cs="宋体"/>
              </w:rPr>
              <w:t>3.4.兼容所有外置设备的3个USB端口，可以外接电脑和打印机以及U盘和机械臂装置</w:t>
            </w:r>
          </w:p>
          <w:p w14:paraId="3C1DDF64">
            <w:pPr>
              <w:rPr>
                <w:rFonts w:hint="eastAsia" w:ascii="宋体" w:hAnsi="宋体" w:eastAsia="宋体" w:cs="宋体"/>
              </w:rPr>
            </w:pPr>
            <w:r>
              <w:rPr>
                <w:rFonts w:hint="eastAsia" w:ascii="宋体" w:hAnsi="宋体" w:eastAsia="宋体" w:cs="宋体"/>
              </w:rPr>
              <w:t>3.5.内置软件和专业软件，可以在仪器上操作或者外接电脑操作；</w:t>
            </w:r>
          </w:p>
          <w:p w14:paraId="2AA2EEC9">
            <w:pPr>
              <w:rPr>
                <w:rFonts w:hint="eastAsia" w:ascii="宋体" w:hAnsi="宋体" w:eastAsia="宋体" w:cs="宋体"/>
              </w:rPr>
            </w:pPr>
            <w:r>
              <w:rPr>
                <w:rFonts w:hint="eastAsia" w:ascii="宋体" w:hAnsi="宋体" w:eastAsia="宋体" w:cs="宋体"/>
              </w:rPr>
              <w:t>3.6.程序内存：可储存100个测量程序和100组测量结果；</w:t>
            </w:r>
          </w:p>
          <w:p w14:paraId="1DA33BD7">
            <w:pPr>
              <w:rPr>
                <w:rFonts w:hint="eastAsia" w:ascii="宋体" w:hAnsi="宋体" w:eastAsia="宋体" w:cs="宋体"/>
              </w:rPr>
            </w:pPr>
            <w:r>
              <w:rPr>
                <w:rFonts w:hint="eastAsia" w:ascii="宋体" w:hAnsi="宋体" w:eastAsia="宋体" w:cs="宋体"/>
              </w:rPr>
              <w:t>3.7.光源：石英卤素灯；</w:t>
            </w:r>
          </w:p>
          <w:p w14:paraId="10FEA8A7">
            <w:pPr>
              <w:rPr>
                <w:rFonts w:hint="eastAsia" w:ascii="宋体" w:hAnsi="宋体" w:eastAsia="宋体" w:cs="宋体"/>
              </w:rPr>
            </w:pPr>
            <w:r>
              <w:rPr>
                <w:rFonts w:hint="eastAsia" w:ascii="宋体" w:hAnsi="宋体" w:eastAsia="宋体" w:cs="宋体"/>
              </w:rPr>
              <w:t>3.8 波长范围：340nm～850nm；</w:t>
            </w:r>
          </w:p>
          <w:p w14:paraId="29397B38">
            <w:pPr>
              <w:rPr>
                <w:rFonts w:hint="eastAsia" w:ascii="宋体" w:hAnsi="宋体" w:eastAsia="宋体" w:cs="宋体"/>
              </w:rPr>
            </w:pPr>
            <w:r>
              <w:rPr>
                <w:rFonts w:hint="eastAsia" w:ascii="宋体" w:hAnsi="宋体" w:eastAsia="宋体" w:cs="宋体"/>
              </w:rPr>
              <w:t>3.9 滤光片：8位滤光片轮，随机配3块标准滤光片，分别为：405nm，450nm，620nm；</w:t>
            </w:r>
          </w:p>
          <w:p w14:paraId="00ECB718">
            <w:pPr>
              <w:rPr>
                <w:rFonts w:hint="eastAsia" w:ascii="宋体" w:hAnsi="宋体" w:eastAsia="宋体" w:cs="宋体"/>
              </w:rPr>
            </w:pPr>
            <w:r>
              <w:rPr>
                <w:rFonts w:hint="eastAsia" w:ascii="宋体" w:hAnsi="宋体" w:eastAsia="宋体" w:cs="宋体"/>
              </w:rPr>
              <w:t>3.10 滤光片半宽度：3～9nm；</w:t>
            </w:r>
          </w:p>
          <w:p w14:paraId="05F3462D">
            <w:pPr>
              <w:rPr>
                <w:rFonts w:hint="eastAsia" w:ascii="宋体" w:hAnsi="宋体" w:eastAsia="宋体" w:cs="宋体"/>
              </w:rPr>
            </w:pPr>
            <w:r>
              <w:rPr>
                <w:rFonts w:hint="eastAsia" w:ascii="宋体" w:hAnsi="宋体" w:eastAsia="宋体" w:cs="宋体"/>
              </w:rPr>
              <w:t>3.11 读数范围：0～6Abs；</w:t>
            </w:r>
          </w:p>
          <w:p w14:paraId="351E25A8">
            <w:pPr>
              <w:rPr>
                <w:rFonts w:hint="eastAsia" w:ascii="宋体" w:hAnsi="宋体" w:eastAsia="宋体" w:cs="宋体"/>
              </w:rPr>
            </w:pPr>
            <w:r>
              <w:rPr>
                <w:rFonts w:hint="eastAsia" w:ascii="宋体" w:hAnsi="宋体" w:eastAsia="宋体" w:cs="宋体"/>
              </w:rPr>
              <w:t>3.12 分辨率：0.001Abs；</w:t>
            </w:r>
          </w:p>
          <w:p w14:paraId="792E3BE7">
            <w:pPr>
              <w:rPr>
                <w:rFonts w:hint="eastAsia" w:ascii="宋体" w:hAnsi="宋体" w:eastAsia="宋体" w:cs="宋体"/>
              </w:rPr>
            </w:pPr>
            <w:r>
              <w:rPr>
                <w:rFonts w:hint="eastAsia" w:ascii="宋体" w:hAnsi="宋体" w:eastAsia="宋体" w:cs="宋体"/>
              </w:rPr>
              <w:t>3.13线性范围（96孔板 405nm）：0-2Abs，±1%；0-3Abs，±2%；0-4Abs，±2%；</w:t>
            </w:r>
          </w:p>
          <w:p w14:paraId="6842A29D">
            <w:pPr>
              <w:rPr>
                <w:rFonts w:hint="eastAsia" w:ascii="宋体" w:hAnsi="宋体" w:eastAsia="宋体" w:cs="宋体"/>
              </w:rPr>
            </w:pPr>
            <w:r>
              <w:rPr>
                <w:rFonts w:hint="eastAsia" w:ascii="宋体" w:hAnsi="宋体" w:eastAsia="宋体" w:cs="宋体"/>
              </w:rPr>
              <w:t>3.14 准确性（405nm）：±1%（0-3Abs），±2%（3-4Abs）；</w:t>
            </w:r>
          </w:p>
          <w:p w14:paraId="00AC8B95">
            <w:pPr>
              <w:rPr>
                <w:rFonts w:hint="eastAsia" w:ascii="宋体" w:hAnsi="宋体" w:eastAsia="宋体" w:cs="宋体"/>
              </w:rPr>
            </w:pPr>
            <w:r>
              <w:rPr>
                <w:rFonts w:hint="eastAsia" w:ascii="宋体" w:hAnsi="宋体" w:eastAsia="宋体" w:cs="宋体"/>
              </w:rPr>
              <w:t>3.15 精确性（405nm）：CV﹤0.2%（0-3Abs），CV﹤1.0%（3-4Abs）；</w:t>
            </w:r>
          </w:p>
          <w:p w14:paraId="7C7930AC">
            <w:pPr>
              <w:rPr>
                <w:rFonts w:hint="eastAsia" w:ascii="宋体" w:hAnsi="宋体" w:eastAsia="宋体" w:cs="宋体"/>
              </w:rPr>
            </w:pPr>
            <w:r>
              <w:rPr>
                <w:rFonts w:hint="eastAsia" w:ascii="宋体" w:hAnsi="宋体" w:eastAsia="宋体" w:cs="宋体"/>
              </w:rPr>
              <w:t>3.16 精确性（405nm）：CV﹤0.2%（0-3Abs），CV﹤1.0%（3-4Abs）；</w:t>
            </w:r>
          </w:p>
          <w:p w14:paraId="25C0D08B">
            <w:pPr>
              <w:rPr>
                <w:rFonts w:hint="eastAsia" w:ascii="宋体" w:hAnsi="宋体" w:eastAsia="宋体" w:cs="宋体"/>
              </w:rPr>
            </w:pPr>
            <w:r>
              <w:rPr>
                <w:rFonts w:hint="eastAsia" w:ascii="宋体" w:hAnsi="宋体" w:eastAsia="宋体" w:cs="宋体"/>
              </w:rPr>
              <w:t>3.17振荡器：线性震荡，3种速度可选</w:t>
            </w:r>
          </w:p>
          <w:p w14:paraId="10E7B1DE">
            <w:pPr>
              <w:rPr>
                <w:rFonts w:hint="eastAsia" w:ascii="宋体" w:hAnsi="宋体" w:eastAsia="宋体" w:cs="宋体"/>
              </w:rPr>
            </w:pPr>
            <w:r>
              <w:rPr>
                <w:rFonts w:hint="eastAsia" w:ascii="宋体" w:hAnsi="宋体" w:eastAsia="宋体" w:cs="宋体"/>
              </w:rPr>
              <w:t>3.18振荡器：线性震荡，3种速度可选</w:t>
            </w:r>
          </w:p>
          <w:p w14:paraId="787A8D5C">
            <w:pPr>
              <w:rPr>
                <w:rFonts w:hint="eastAsia" w:ascii="宋体" w:hAnsi="宋体" w:eastAsia="宋体" w:cs="宋体"/>
              </w:rPr>
            </w:pPr>
            <w:r>
              <w:rPr>
                <w:rFonts w:hint="eastAsia" w:ascii="宋体" w:hAnsi="宋体" w:eastAsia="宋体" w:cs="宋体"/>
              </w:rPr>
              <w:t>3.19高分辨彩色显示屏，分辨率为480×272像素</w:t>
            </w:r>
          </w:p>
          <w:p w14:paraId="39137B4B">
            <w:pPr>
              <w:rPr>
                <w:rFonts w:hint="eastAsia" w:ascii="宋体" w:hAnsi="宋体" w:eastAsia="宋体" w:cs="宋体"/>
              </w:rPr>
            </w:pPr>
            <w:r>
              <w:rPr>
                <w:rFonts w:hint="eastAsia" w:ascii="宋体" w:hAnsi="宋体" w:eastAsia="宋体" w:cs="宋体"/>
              </w:rPr>
              <w:t>4 技术与售后服务</w:t>
            </w:r>
          </w:p>
          <w:p w14:paraId="4613843F">
            <w:pPr>
              <w:rPr>
                <w:rFonts w:hint="eastAsia" w:ascii="宋体" w:hAnsi="宋体" w:eastAsia="宋体" w:cs="宋体"/>
              </w:rPr>
            </w:pPr>
            <w:r>
              <w:rPr>
                <w:rFonts w:hint="eastAsia" w:ascii="宋体" w:hAnsi="宋体" w:eastAsia="宋体" w:cs="宋体"/>
              </w:rPr>
              <w:t>同三、采购标的时间、地点、财务和服务要求内容</w:t>
            </w:r>
          </w:p>
          <w:p w14:paraId="1781C22E">
            <w:pPr>
              <w:adjustRightInd w:val="0"/>
              <w:snapToGrid w:val="0"/>
              <w:spacing w:line="260" w:lineRule="exact"/>
              <w:rPr>
                <w:rFonts w:hint="eastAsia" w:ascii="宋体" w:hAnsi="宋体" w:eastAsia="宋体" w:cs="宋体"/>
                <w:color w:val="auto"/>
                <w:szCs w:val="21"/>
                <w:highlight w:val="none"/>
              </w:rPr>
            </w:pPr>
          </w:p>
        </w:tc>
        <w:tc>
          <w:tcPr>
            <w:tcW w:w="566" w:type="dxa"/>
            <w:tcBorders>
              <w:top w:val="single" w:color="auto" w:sz="4" w:space="0"/>
              <w:left w:val="nil"/>
              <w:bottom w:val="single" w:color="auto" w:sz="4" w:space="0"/>
              <w:right w:val="single" w:color="auto" w:sz="4" w:space="0"/>
            </w:tcBorders>
            <w:shd w:val="clear" w:color="auto" w:fill="auto"/>
            <w:noWrap w:val="0"/>
            <w:vAlign w:val="center"/>
          </w:tcPr>
          <w:p w14:paraId="66C1BDB0">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eastAsia="宋体" w:cs="宋体"/>
                <w:b w:val="0"/>
                <w:bCs w:val="0"/>
                <w:sz w:val="24"/>
                <w:szCs w:val="24"/>
              </w:rPr>
              <w:t>台</w:t>
            </w:r>
          </w:p>
        </w:tc>
        <w:tc>
          <w:tcPr>
            <w:tcW w:w="1234" w:type="dxa"/>
            <w:tcBorders>
              <w:top w:val="single" w:color="auto" w:sz="4" w:space="0"/>
              <w:left w:val="nil"/>
              <w:bottom w:val="single" w:color="auto" w:sz="4" w:space="0"/>
              <w:right w:val="single" w:color="auto" w:sz="4" w:space="0"/>
            </w:tcBorders>
            <w:shd w:val="clear" w:color="auto" w:fill="auto"/>
            <w:noWrap w:val="0"/>
            <w:vAlign w:val="center"/>
          </w:tcPr>
          <w:p w14:paraId="7C08EA6D">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sz w:val="24"/>
                <w:szCs w:val="24"/>
                <w:highlight w:val="none"/>
                <w:vertAlign w:val="baseline"/>
                <w:lang w:val="en-US" w:eastAsia="zh-CN"/>
              </w:rPr>
              <w:t>塞默飞世尔(上海)仪器有限公司</w:t>
            </w:r>
          </w:p>
        </w:tc>
        <w:tc>
          <w:tcPr>
            <w:tcW w:w="816" w:type="dxa"/>
            <w:tcBorders>
              <w:top w:val="single" w:color="auto" w:sz="4" w:space="0"/>
              <w:left w:val="nil"/>
              <w:bottom w:val="single" w:color="auto" w:sz="4" w:space="0"/>
              <w:right w:val="single" w:color="auto" w:sz="4" w:space="0"/>
            </w:tcBorders>
            <w:shd w:val="clear" w:color="auto" w:fill="auto"/>
            <w:noWrap w:val="0"/>
            <w:vAlign w:val="center"/>
          </w:tcPr>
          <w:p w14:paraId="35928D63">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sz w:val="24"/>
                <w:szCs w:val="24"/>
                <w:highlight w:val="none"/>
                <w:vertAlign w:val="baseline"/>
                <w:lang w:val="en-US" w:eastAsia="zh-CN"/>
              </w:rPr>
              <w:t>中国</w:t>
            </w:r>
          </w:p>
        </w:tc>
        <w:tc>
          <w:tcPr>
            <w:tcW w:w="1217" w:type="dxa"/>
            <w:tcBorders>
              <w:top w:val="single" w:color="auto" w:sz="4" w:space="0"/>
              <w:left w:val="nil"/>
              <w:bottom w:val="single" w:color="auto" w:sz="4" w:space="0"/>
              <w:right w:val="single" w:color="auto" w:sz="4" w:space="0"/>
            </w:tcBorders>
            <w:noWrap w:val="0"/>
            <w:vAlign w:val="top"/>
          </w:tcPr>
          <w:p w14:paraId="5E0B0E58">
            <w:pPr>
              <w:jc w:val="center"/>
              <w:rPr>
                <w:rFonts w:hint="eastAsia" w:ascii="宋体" w:hAnsi="宋体" w:eastAsia="宋体" w:cs="宋体"/>
                <w:color w:val="auto"/>
                <w:szCs w:val="21"/>
                <w:highlight w:val="none"/>
              </w:rPr>
            </w:pPr>
          </w:p>
        </w:tc>
      </w:tr>
      <w:tr w14:paraId="3D3225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DDB62A">
            <w:pPr>
              <w:keepNext w:val="0"/>
              <w:keepLines w:val="0"/>
              <w:pageBreakBefore w:val="0"/>
              <w:widowControl w:val="0"/>
              <w:kinsoku/>
              <w:wordWrap/>
              <w:overflowPunct/>
              <w:topLinePunct w:val="0"/>
              <w:autoSpaceDE/>
              <w:autoSpaceDN/>
              <w:bidi w:val="0"/>
              <w:adjustRightInd/>
              <w:snapToGrid/>
              <w:spacing w:line="440" w:lineRule="exact"/>
              <w:ind w:left="-63" w:leftChars="-30" w:right="-63" w:rightChars="-3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8</w:t>
            </w:r>
          </w:p>
        </w:tc>
        <w:tc>
          <w:tcPr>
            <w:tcW w:w="1244" w:type="dxa"/>
            <w:tcBorders>
              <w:top w:val="single" w:color="auto" w:sz="4" w:space="0"/>
              <w:left w:val="nil"/>
              <w:bottom w:val="single" w:color="auto" w:sz="4" w:space="0"/>
              <w:right w:val="single" w:color="auto" w:sz="4" w:space="0"/>
            </w:tcBorders>
            <w:shd w:val="clear" w:color="auto" w:fill="auto"/>
            <w:noWrap w:val="0"/>
            <w:vAlign w:val="center"/>
          </w:tcPr>
          <w:p w14:paraId="055A4C4D">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rPr>
              <w:t>一体式磁力搅拌器</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集热式磁力搅拌器</w:t>
            </w:r>
            <w:r>
              <w:rPr>
                <w:rFonts w:hint="eastAsia" w:ascii="宋体" w:hAnsi="宋体" w:eastAsia="宋体" w:cs="宋体"/>
                <w:b w:val="0"/>
                <w:bCs w:val="0"/>
                <w:sz w:val="24"/>
                <w:szCs w:val="24"/>
                <w:lang w:eastAsia="zh-CN"/>
              </w:rPr>
              <w:t>）</w:t>
            </w:r>
          </w:p>
        </w:tc>
        <w:tc>
          <w:tcPr>
            <w:tcW w:w="1733" w:type="dxa"/>
            <w:tcBorders>
              <w:top w:val="single" w:color="auto" w:sz="4" w:space="0"/>
              <w:left w:val="nil"/>
              <w:bottom w:val="single" w:color="auto" w:sz="4" w:space="0"/>
              <w:right w:val="single" w:color="auto" w:sz="4" w:space="0"/>
            </w:tcBorders>
            <w:noWrap w:val="0"/>
            <w:vAlign w:val="center"/>
          </w:tcPr>
          <w:p w14:paraId="4939FA43">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drawing>
                <wp:inline distT="0" distB="0" distL="114300" distR="114300">
                  <wp:extent cx="1005205" cy="1479550"/>
                  <wp:effectExtent l="0" t="0" r="4445" b="6350"/>
                  <wp:docPr id="9" name="图片 9" descr="微信图片_2025050915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0509154047"/>
                          <pic:cNvPicPr>
                            <a:picLocks noChangeAspect="1"/>
                          </pic:cNvPicPr>
                        </pic:nvPicPr>
                        <pic:blipFill>
                          <a:blip r:embed="rId14"/>
                          <a:stretch>
                            <a:fillRect/>
                          </a:stretch>
                        </pic:blipFill>
                        <pic:spPr>
                          <a:xfrm>
                            <a:off x="0" y="0"/>
                            <a:ext cx="1005205" cy="1479550"/>
                          </a:xfrm>
                          <a:prstGeom prst="rect">
                            <a:avLst/>
                          </a:prstGeom>
                        </pic:spPr>
                      </pic:pic>
                    </a:graphicData>
                  </a:graphic>
                </wp:inline>
              </w:drawing>
            </w:r>
          </w:p>
        </w:tc>
        <w:tc>
          <w:tcPr>
            <w:tcW w:w="1117" w:type="dxa"/>
            <w:tcBorders>
              <w:top w:val="single" w:color="auto" w:sz="4" w:space="0"/>
              <w:left w:val="nil"/>
              <w:bottom w:val="single" w:color="auto" w:sz="4" w:space="0"/>
              <w:right w:val="single" w:color="auto" w:sz="4" w:space="0"/>
            </w:tcBorders>
            <w:shd w:val="clear" w:color="auto" w:fill="auto"/>
            <w:noWrap w:val="0"/>
            <w:vAlign w:val="center"/>
          </w:tcPr>
          <w:p w14:paraId="42800E22">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DF-101S(分体款）</w:t>
            </w:r>
          </w:p>
        </w:tc>
        <w:tc>
          <w:tcPr>
            <w:tcW w:w="6467" w:type="dxa"/>
            <w:tcBorders>
              <w:top w:val="single" w:color="auto" w:sz="4" w:space="0"/>
              <w:left w:val="nil"/>
              <w:bottom w:val="single" w:color="auto" w:sz="4" w:space="0"/>
              <w:right w:val="single" w:color="auto" w:sz="4" w:space="0"/>
            </w:tcBorders>
            <w:noWrap w:val="0"/>
            <w:vAlign w:val="center"/>
          </w:tcPr>
          <w:p w14:paraId="1BA798E0">
            <w:pPr>
              <w:rPr>
                <w:rFonts w:hint="eastAsia" w:ascii="宋体" w:hAnsi="宋体" w:eastAsia="宋体" w:cs="宋体"/>
              </w:rPr>
            </w:pPr>
            <w:r>
              <w:rPr>
                <w:rFonts w:hint="eastAsia" w:ascii="宋体" w:hAnsi="宋体" w:eastAsia="宋体" w:cs="宋体"/>
              </w:rPr>
              <w:t>1. 功能：搅拌</w:t>
            </w:r>
          </w:p>
          <w:p w14:paraId="17031498">
            <w:pPr>
              <w:rPr>
                <w:rFonts w:hint="eastAsia" w:ascii="宋体" w:hAnsi="宋体" w:eastAsia="宋体" w:cs="宋体"/>
              </w:rPr>
            </w:pPr>
            <w:r>
              <w:rPr>
                <w:rFonts w:hint="eastAsia" w:ascii="宋体" w:hAnsi="宋体" w:eastAsia="宋体" w:cs="宋体"/>
              </w:rPr>
              <w:t>2.最大搅拌容量：2000m1；</w:t>
            </w:r>
          </w:p>
          <w:p w14:paraId="4D89B3FB">
            <w:pPr>
              <w:rPr>
                <w:rFonts w:hint="eastAsia" w:ascii="宋体" w:hAnsi="宋体" w:eastAsia="宋体" w:cs="宋体"/>
              </w:rPr>
            </w:pPr>
            <w:r>
              <w:rPr>
                <w:rFonts w:hint="eastAsia" w:ascii="宋体" w:hAnsi="宋体" w:eastAsia="宋体" w:cs="宋体"/>
              </w:rPr>
              <w:t>3.转速范围：0-2600r/min；</w:t>
            </w:r>
          </w:p>
          <w:p w14:paraId="5FB23EDF">
            <w:pPr>
              <w:rPr>
                <w:rFonts w:hint="eastAsia" w:ascii="宋体" w:hAnsi="宋体" w:eastAsia="宋体" w:cs="宋体"/>
              </w:rPr>
            </w:pPr>
            <w:r>
              <w:rPr>
                <w:rFonts w:hint="eastAsia" w:ascii="宋体" w:hAnsi="宋体" w:eastAsia="宋体" w:cs="宋体"/>
              </w:rPr>
              <w:t>4.控温范围：室温-300℃</w:t>
            </w:r>
          </w:p>
          <w:p w14:paraId="6E50B7CB">
            <w:pPr>
              <w:rPr>
                <w:rFonts w:hint="eastAsia" w:ascii="宋体" w:hAnsi="宋体" w:eastAsia="宋体" w:cs="宋体"/>
              </w:rPr>
            </w:pPr>
            <w:r>
              <w:rPr>
                <w:rFonts w:hint="eastAsia" w:ascii="宋体" w:hAnsi="宋体" w:eastAsia="宋体" w:cs="宋体"/>
              </w:rPr>
              <w:t>5.温控精度：±1℃；</w:t>
            </w:r>
          </w:p>
          <w:p w14:paraId="04DE72E4">
            <w:pPr>
              <w:rPr>
                <w:rFonts w:hint="eastAsia" w:ascii="宋体" w:hAnsi="宋体" w:eastAsia="宋体" w:cs="宋体"/>
              </w:rPr>
            </w:pPr>
            <w:r>
              <w:rPr>
                <w:rFonts w:hint="eastAsia" w:ascii="宋体" w:hAnsi="宋体" w:eastAsia="宋体" w:cs="宋体"/>
              </w:rPr>
              <w:t>6.工作电压：220V/50Hz</w:t>
            </w:r>
          </w:p>
          <w:p w14:paraId="303C8E7A">
            <w:pPr>
              <w:rPr>
                <w:rFonts w:hint="eastAsia" w:ascii="宋体" w:hAnsi="宋体" w:eastAsia="宋体" w:cs="宋体"/>
              </w:rPr>
            </w:pPr>
            <w:r>
              <w:rPr>
                <w:rFonts w:hint="eastAsia" w:ascii="宋体" w:hAnsi="宋体" w:eastAsia="宋体" w:cs="宋体"/>
              </w:rPr>
              <w:t>7.锅体内径 (mm)：180；</w:t>
            </w:r>
          </w:p>
          <w:p w14:paraId="04E84851">
            <w:pPr>
              <w:rPr>
                <w:rFonts w:hint="eastAsia" w:ascii="宋体" w:hAnsi="宋体" w:eastAsia="宋体" w:cs="宋体"/>
              </w:rPr>
            </w:pPr>
            <w:r>
              <w:rPr>
                <w:rFonts w:hint="eastAsia" w:ascii="宋体" w:hAnsi="宋体" w:eastAsia="宋体" w:cs="宋体"/>
              </w:rPr>
              <w:t>8.锅体深度 (mm)：90；</w:t>
            </w:r>
          </w:p>
          <w:p w14:paraId="5108EDE0">
            <w:pPr>
              <w:rPr>
                <w:rFonts w:hint="eastAsia" w:ascii="宋体" w:hAnsi="宋体" w:eastAsia="宋体" w:cs="宋体"/>
              </w:rPr>
            </w:pPr>
            <w:r>
              <w:rPr>
                <w:rFonts w:hint="eastAsia" w:ascii="宋体" w:hAnsi="宋体" w:eastAsia="宋体" w:cs="宋体"/>
              </w:rPr>
              <w:t>9.外形尺寸：250*235*235；</w:t>
            </w:r>
          </w:p>
          <w:p w14:paraId="3DAFF5D1">
            <w:pPr>
              <w:rPr>
                <w:rFonts w:hint="eastAsia" w:ascii="宋体" w:hAnsi="宋体" w:eastAsia="宋体" w:cs="宋体"/>
              </w:rPr>
            </w:pPr>
            <w:r>
              <w:rPr>
                <w:rFonts w:hint="eastAsia" w:ascii="宋体" w:hAnsi="宋体" w:eastAsia="宋体" w:cs="宋体"/>
              </w:rPr>
              <w:t>10.净重（kg）：5.5；</w:t>
            </w:r>
          </w:p>
          <w:p w14:paraId="5373CCBF">
            <w:pPr>
              <w:rPr>
                <w:rFonts w:hint="eastAsia" w:ascii="宋体" w:hAnsi="宋体" w:eastAsia="宋体" w:cs="宋体"/>
              </w:rPr>
            </w:pPr>
            <w:r>
              <w:rPr>
                <w:rFonts w:hint="eastAsia" w:ascii="宋体" w:hAnsi="宋体" w:eastAsia="宋体" w:cs="宋体"/>
              </w:rPr>
              <w:t>11.加热管直径：110mm；</w:t>
            </w:r>
          </w:p>
          <w:p w14:paraId="6C83FBB7">
            <w:pPr>
              <w:rPr>
                <w:rFonts w:hint="eastAsia" w:ascii="宋体" w:hAnsi="宋体" w:eastAsia="宋体" w:cs="宋体"/>
              </w:rPr>
            </w:pPr>
            <w:r>
              <w:rPr>
                <w:rFonts w:hint="eastAsia" w:ascii="宋体" w:hAnsi="宋体" w:eastAsia="宋体" w:cs="宋体"/>
              </w:rPr>
              <w:t>12.搅拌功率：25W。</w:t>
            </w:r>
          </w:p>
          <w:p w14:paraId="7C0FCEF4">
            <w:pPr>
              <w:adjustRightInd w:val="0"/>
              <w:snapToGrid w:val="0"/>
              <w:spacing w:line="260" w:lineRule="exact"/>
              <w:rPr>
                <w:rFonts w:hint="eastAsia" w:ascii="宋体" w:hAnsi="宋体" w:eastAsia="宋体" w:cs="宋体"/>
                <w:color w:val="auto"/>
                <w:szCs w:val="21"/>
                <w:highlight w:val="none"/>
              </w:rPr>
            </w:pPr>
          </w:p>
        </w:tc>
        <w:tc>
          <w:tcPr>
            <w:tcW w:w="566" w:type="dxa"/>
            <w:tcBorders>
              <w:top w:val="single" w:color="auto" w:sz="4" w:space="0"/>
              <w:left w:val="nil"/>
              <w:bottom w:val="single" w:color="auto" w:sz="4" w:space="0"/>
              <w:right w:val="single" w:color="auto" w:sz="4" w:space="0"/>
            </w:tcBorders>
            <w:shd w:val="clear" w:color="auto" w:fill="auto"/>
            <w:noWrap w:val="0"/>
            <w:vAlign w:val="center"/>
          </w:tcPr>
          <w:p w14:paraId="1EDFD7CA">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3</w:t>
            </w:r>
            <w:r>
              <w:rPr>
                <w:rFonts w:hint="eastAsia" w:ascii="宋体" w:hAnsi="宋体" w:eastAsia="宋体" w:cs="宋体"/>
                <w:b w:val="0"/>
                <w:bCs w:val="0"/>
                <w:sz w:val="24"/>
                <w:szCs w:val="24"/>
              </w:rPr>
              <w:t>台</w:t>
            </w:r>
          </w:p>
        </w:tc>
        <w:tc>
          <w:tcPr>
            <w:tcW w:w="1234" w:type="dxa"/>
            <w:tcBorders>
              <w:top w:val="single" w:color="auto" w:sz="4" w:space="0"/>
              <w:left w:val="nil"/>
              <w:bottom w:val="single" w:color="auto" w:sz="4" w:space="0"/>
              <w:right w:val="single" w:color="auto" w:sz="4" w:space="0"/>
            </w:tcBorders>
            <w:shd w:val="clear" w:color="auto" w:fill="auto"/>
            <w:noWrap w:val="0"/>
            <w:vAlign w:val="center"/>
          </w:tcPr>
          <w:p w14:paraId="61746E18">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sz w:val="24"/>
                <w:szCs w:val="24"/>
                <w:highlight w:val="none"/>
                <w:vertAlign w:val="baseline"/>
                <w:lang w:val="en-US" w:eastAsia="zh-CN"/>
              </w:rPr>
              <w:t>力辰科技仪器有限公司</w:t>
            </w:r>
          </w:p>
        </w:tc>
        <w:tc>
          <w:tcPr>
            <w:tcW w:w="816" w:type="dxa"/>
            <w:tcBorders>
              <w:top w:val="single" w:color="auto" w:sz="4" w:space="0"/>
              <w:left w:val="nil"/>
              <w:bottom w:val="single" w:color="auto" w:sz="4" w:space="0"/>
              <w:right w:val="single" w:color="auto" w:sz="4" w:space="0"/>
            </w:tcBorders>
            <w:shd w:val="clear" w:color="auto" w:fill="auto"/>
            <w:noWrap w:val="0"/>
            <w:vAlign w:val="center"/>
          </w:tcPr>
          <w:p w14:paraId="3D837E2D">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sz w:val="24"/>
                <w:szCs w:val="24"/>
                <w:highlight w:val="none"/>
                <w:vertAlign w:val="baseline"/>
                <w:lang w:val="en-US" w:eastAsia="zh-CN"/>
              </w:rPr>
              <w:t>中国</w:t>
            </w:r>
          </w:p>
        </w:tc>
        <w:tc>
          <w:tcPr>
            <w:tcW w:w="1217" w:type="dxa"/>
            <w:tcBorders>
              <w:top w:val="single" w:color="auto" w:sz="4" w:space="0"/>
              <w:left w:val="nil"/>
              <w:bottom w:val="single" w:color="auto" w:sz="4" w:space="0"/>
              <w:right w:val="single" w:color="auto" w:sz="4" w:space="0"/>
            </w:tcBorders>
            <w:noWrap w:val="0"/>
            <w:vAlign w:val="top"/>
          </w:tcPr>
          <w:p w14:paraId="33DC0133">
            <w:pPr>
              <w:jc w:val="center"/>
              <w:rPr>
                <w:rFonts w:hint="eastAsia" w:ascii="宋体" w:hAnsi="宋体" w:eastAsia="宋体" w:cs="宋体"/>
                <w:color w:val="auto"/>
                <w:szCs w:val="21"/>
                <w:highlight w:val="none"/>
              </w:rPr>
            </w:pPr>
          </w:p>
        </w:tc>
      </w:tr>
      <w:tr w14:paraId="34065E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982BC0">
            <w:pPr>
              <w:keepNext w:val="0"/>
              <w:keepLines w:val="0"/>
              <w:pageBreakBefore w:val="0"/>
              <w:widowControl w:val="0"/>
              <w:kinsoku/>
              <w:wordWrap/>
              <w:overflowPunct/>
              <w:topLinePunct w:val="0"/>
              <w:autoSpaceDE/>
              <w:autoSpaceDN/>
              <w:bidi w:val="0"/>
              <w:adjustRightInd/>
              <w:snapToGrid/>
              <w:spacing w:line="440" w:lineRule="exact"/>
              <w:ind w:left="-63" w:leftChars="-30" w:right="-63" w:rightChars="-3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9</w:t>
            </w:r>
          </w:p>
        </w:tc>
        <w:tc>
          <w:tcPr>
            <w:tcW w:w="1244" w:type="dxa"/>
            <w:tcBorders>
              <w:top w:val="single" w:color="auto" w:sz="4" w:space="0"/>
              <w:left w:val="nil"/>
              <w:bottom w:val="single" w:color="auto" w:sz="4" w:space="0"/>
              <w:right w:val="single" w:color="auto" w:sz="4" w:space="0"/>
            </w:tcBorders>
            <w:shd w:val="clear" w:color="auto" w:fill="auto"/>
            <w:noWrap w:val="0"/>
            <w:vAlign w:val="center"/>
          </w:tcPr>
          <w:p w14:paraId="5C0B7707">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rPr>
              <w:t>电热鼓风干燥箱</w:t>
            </w:r>
          </w:p>
        </w:tc>
        <w:tc>
          <w:tcPr>
            <w:tcW w:w="1733" w:type="dxa"/>
            <w:tcBorders>
              <w:top w:val="single" w:color="auto" w:sz="4" w:space="0"/>
              <w:left w:val="nil"/>
              <w:bottom w:val="single" w:color="auto" w:sz="4" w:space="0"/>
              <w:right w:val="single" w:color="auto" w:sz="4" w:space="0"/>
            </w:tcBorders>
            <w:noWrap w:val="0"/>
            <w:vAlign w:val="center"/>
          </w:tcPr>
          <w:p w14:paraId="54084520">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drawing>
                <wp:inline distT="0" distB="0" distL="114300" distR="114300">
                  <wp:extent cx="1003300" cy="818515"/>
                  <wp:effectExtent l="0" t="0" r="6350" b="635"/>
                  <wp:docPr id="10" name="图片 10" descr="微信图片_2025050915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50509154157"/>
                          <pic:cNvPicPr>
                            <a:picLocks noChangeAspect="1"/>
                          </pic:cNvPicPr>
                        </pic:nvPicPr>
                        <pic:blipFill>
                          <a:blip r:embed="rId15"/>
                          <a:stretch>
                            <a:fillRect/>
                          </a:stretch>
                        </pic:blipFill>
                        <pic:spPr>
                          <a:xfrm>
                            <a:off x="0" y="0"/>
                            <a:ext cx="1003300" cy="818515"/>
                          </a:xfrm>
                          <a:prstGeom prst="rect">
                            <a:avLst/>
                          </a:prstGeom>
                        </pic:spPr>
                      </pic:pic>
                    </a:graphicData>
                  </a:graphic>
                </wp:inline>
              </w:drawing>
            </w:r>
          </w:p>
        </w:tc>
        <w:tc>
          <w:tcPr>
            <w:tcW w:w="1117" w:type="dxa"/>
            <w:tcBorders>
              <w:top w:val="single" w:color="auto" w:sz="4" w:space="0"/>
              <w:left w:val="nil"/>
              <w:bottom w:val="single" w:color="auto" w:sz="4" w:space="0"/>
              <w:right w:val="single" w:color="auto" w:sz="4" w:space="0"/>
            </w:tcBorders>
            <w:shd w:val="clear" w:color="auto" w:fill="auto"/>
            <w:noWrap w:val="0"/>
            <w:vAlign w:val="center"/>
          </w:tcPr>
          <w:p w14:paraId="174EFF97">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FXB101-2</w:t>
            </w:r>
          </w:p>
        </w:tc>
        <w:tc>
          <w:tcPr>
            <w:tcW w:w="6467" w:type="dxa"/>
            <w:tcBorders>
              <w:top w:val="single" w:color="auto" w:sz="4" w:space="0"/>
              <w:left w:val="nil"/>
              <w:bottom w:val="single" w:color="auto" w:sz="4" w:space="0"/>
              <w:right w:val="single" w:color="auto" w:sz="4" w:space="0"/>
            </w:tcBorders>
            <w:noWrap w:val="0"/>
            <w:vAlign w:val="center"/>
          </w:tcPr>
          <w:p w14:paraId="174E775C">
            <w:pPr>
              <w:rPr>
                <w:rFonts w:hint="eastAsia" w:ascii="宋体" w:hAnsi="宋体" w:eastAsia="宋体" w:cs="宋体"/>
              </w:rPr>
            </w:pPr>
            <w:r>
              <w:rPr>
                <w:rFonts w:hint="eastAsia" w:ascii="宋体" w:hAnsi="宋体" w:eastAsia="宋体" w:cs="宋体"/>
              </w:rPr>
              <w:t>1. 功能：干燥</w:t>
            </w:r>
          </w:p>
          <w:p w14:paraId="6C26A334">
            <w:pPr>
              <w:rPr>
                <w:rFonts w:hint="eastAsia" w:ascii="宋体" w:hAnsi="宋体" w:eastAsia="宋体" w:cs="宋体"/>
              </w:rPr>
            </w:pPr>
            <w:r>
              <w:rPr>
                <w:rFonts w:hint="eastAsia" w:ascii="宋体" w:hAnsi="宋体" w:eastAsia="宋体" w:cs="宋体"/>
              </w:rPr>
              <w:t>2. 送风方式：侧风道强制对流；</w:t>
            </w:r>
          </w:p>
          <w:p w14:paraId="7B3BD730">
            <w:pPr>
              <w:rPr>
                <w:rFonts w:hint="eastAsia" w:ascii="宋体" w:hAnsi="宋体" w:eastAsia="宋体" w:cs="宋体"/>
              </w:rPr>
            </w:pPr>
            <w:r>
              <w:rPr>
                <w:rFonts w:hint="eastAsia" w:ascii="宋体" w:hAnsi="宋体" w:eastAsia="宋体" w:cs="宋体"/>
              </w:rPr>
              <w:t>3. 性能：</w:t>
            </w:r>
          </w:p>
          <w:p w14:paraId="62BA77C6">
            <w:pPr>
              <w:rPr>
                <w:rFonts w:hint="eastAsia" w:ascii="宋体" w:hAnsi="宋体" w:eastAsia="宋体" w:cs="宋体"/>
              </w:rPr>
            </w:pPr>
            <w:r>
              <w:rPr>
                <w:rFonts w:hint="eastAsia" w:ascii="宋体" w:hAnsi="宋体" w:eastAsia="宋体" w:cs="宋体"/>
              </w:rPr>
              <w:t>3.1 使用温度范围：RT+10-250℃</w:t>
            </w:r>
          </w:p>
          <w:p w14:paraId="38A8F915">
            <w:pPr>
              <w:rPr>
                <w:rFonts w:hint="eastAsia" w:ascii="宋体" w:hAnsi="宋体" w:eastAsia="宋体" w:cs="宋体"/>
              </w:rPr>
            </w:pPr>
            <w:r>
              <w:rPr>
                <w:rFonts w:hint="eastAsia" w:ascii="宋体" w:hAnsi="宋体" w:eastAsia="宋体" w:cs="宋体"/>
              </w:rPr>
              <w:t>3.2 温度分辨率：1℃</w:t>
            </w:r>
          </w:p>
          <w:p w14:paraId="224B145D">
            <w:pPr>
              <w:rPr>
                <w:rFonts w:hint="eastAsia" w:ascii="宋体" w:hAnsi="宋体" w:eastAsia="宋体" w:cs="宋体"/>
              </w:rPr>
            </w:pPr>
            <w:r>
              <w:rPr>
                <w:rFonts w:hint="eastAsia" w:ascii="宋体" w:hAnsi="宋体" w:eastAsia="宋体" w:cs="宋体"/>
              </w:rPr>
              <w:t>3.3 温度波动度：+1℃，</w:t>
            </w:r>
          </w:p>
          <w:p w14:paraId="222D93A8">
            <w:pPr>
              <w:rPr>
                <w:rFonts w:hint="eastAsia" w:ascii="宋体" w:hAnsi="宋体" w:eastAsia="宋体" w:cs="宋体"/>
              </w:rPr>
            </w:pPr>
            <w:r>
              <w:rPr>
                <w:rFonts w:hint="eastAsia" w:ascii="宋体" w:hAnsi="宋体" w:eastAsia="宋体" w:cs="宋体"/>
              </w:rPr>
              <w:t>3.4 温度分布精度：±2.5%；</w:t>
            </w:r>
          </w:p>
          <w:p w14:paraId="16A271C9">
            <w:pPr>
              <w:rPr>
                <w:rFonts w:hint="eastAsia" w:ascii="宋体" w:hAnsi="宋体" w:eastAsia="宋体" w:cs="宋体"/>
              </w:rPr>
            </w:pPr>
            <w:r>
              <w:rPr>
                <w:rFonts w:hint="eastAsia" w:ascii="宋体" w:hAnsi="宋体" w:eastAsia="宋体" w:cs="宋体"/>
              </w:rPr>
              <w:t>4构成：</w:t>
            </w:r>
          </w:p>
          <w:p w14:paraId="12613BAE">
            <w:pPr>
              <w:rPr>
                <w:rFonts w:hint="eastAsia" w:ascii="宋体" w:hAnsi="宋体" w:eastAsia="宋体" w:cs="宋体"/>
              </w:rPr>
            </w:pPr>
            <w:r>
              <w:rPr>
                <w:rFonts w:hint="eastAsia" w:ascii="宋体" w:hAnsi="宋体" w:eastAsia="宋体" w:cs="宋体"/>
              </w:rPr>
              <w:t>4.1 内装：不锈钢</w:t>
            </w:r>
          </w:p>
          <w:p w14:paraId="0C1BE4A7">
            <w:pPr>
              <w:rPr>
                <w:rFonts w:hint="eastAsia" w:ascii="宋体" w:hAnsi="宋体" w:eastAsia="宋体" w:cs="宋体"/>
              </w:rPr>
            </w:pPr>
            <w:r>
              <w:rPr>
                <w:rFonts w:hint="eastAsia" w:ascii="宋体" w:hAnsi="宋体" w:eastAsia="宋体" w:cs="宋体"/>
              </w:rPr>
              <w:t>4.2 外装：冷轧钢板表面静电喷涂，</w:t>
            </w:r>
          </w:p>
          <w:p w14:paraId="0DCA33DC">
            <w:pPr>
              <w:rPr>
                <w:rFonts w:hint="eastAsia" w:ascii="宋体" w:hAnsi="宋体" w:eastAsia="宋体" w:cs="宋体"/>
              </w:rPr>
            </w:pPr>
            <w:r>
              <w:rPr>
                <w:rFonts w:hint="eastAsia" w:ascii="宋体" w:hAnsi="宋体" w:eastAsia="宋体" w:cs="宋体"/>
              </w:rPr>
              <w:t>4.3 断热材：硅酸铝纤维</w:t>
            </w:r>
          </w:p>
          <w:p w14:paraId="3AA362DE">
            <w:pPr>
              <w:rPr>
                <w:rFonts w:hint="eastAsia" w:ascii="宋体" w:hAnsi="宋体" w:eastAsia="宋体" w:cs="宋体"/>
              </w:rPr>
            </w:pPr>
            <w:r>
              <w:rPr>
                <w:rFonts w:hint="eastAsia" w:ascii="宋体" w:hAnsi="宋体" w:eastAsia="宋体" w:cs="宋体"/>
              </w:rPr>
              <w:t>4.4 加热器：加热铁络丝，</w:t>
            </w:r>
          </w:p>
          <w:p w14:paraId="06D70D93">
            <w:pPr>
              <w:rPr>
                <w:rFonts w:hint="eastAsia" w:ascii="宋体" w:hAnsi="宋体" w:eastAsia="宋体" w:cs="宋体"/>
              </w:rPr>
            </w:pPr>
            <w:r>
              <w:rPr>
                <w:rFonts w:hint="eastAsia" w:ascii="宋体" w:hAnsi="宋体" w:eastAsia="宋体" w:cs="宋体"/>
              </w:rPr>
              <w:t>4.5 定功率：2.4KW；</w:t>
            </w:r>
          </w:p>
          <w:p w14:paraId="55D22788">
            <w:pPr>
              <w:rPr>
                <w:rFonts w:hint="eastAsia" w:ascii="宋体" w:hAnsi="宋体" w:eastAsia="宋体" w:cs="宋体"/>
              </w:rPr>
            </w:pPr>
            <w:r>
              <w:rPr>
                <w:rFonts w:hint="eastAsia" w:ascii="宋体" w:hAnsi="宋体" w:eastAsia="宋体" w:cs="宋体"/>
              </w:rPr>
              <w:t>5 控制器：</w:t>
            </w:r>
          </w:p>
          <w:p w14:paraId="3A94030B">
            <w:pPr>
              <w:rPr>
                <w:rFonts w:hint="eastAsia" w:ascii="宋体" w:hAnsi="宋体" w:eastAsia="宋体" w:cs="宋体"/>
              </w:rPr>
            </w:pPr>
            <w:r>
              <w:rPr>
                <w:rFonts w:hint="eastAsia" w:ascii="宋体" w:hAnsi="宋体" w:eastAsia="宋体" w:cs="宋体"/>
              </w:rPr>
              <w:t>5.1 温度设定方式：轻触四按键设定</w:t>
            </w:r>
          </w:p>
          <w:p w14:paraId="43B14C91">
            <w:pPr>
              <w:rPr>
                <w:rFonts w:hint="eastAsia" w:ascii="宋体" w:hAnsi="宋体" w:eastAsia="宋体" w:cs="宋体"/>
              </w:rPr>
            </w:pPr>
            <w:r>
              <w:rPr>
                <w:rFonts w:hint="eastAsia" w:ascii="宋体" w:hAnsi="宋体" w:eastAsia="宋体" w:cs="宋体"/>
              </w:rPr>
              <w:t>5.2 温度控制方式：液晶彩屏</w:t>
            </w:r>
          </w:p>
          <w:p w14:paraId="3508D4A4">
            <w:pPr>
              <w:rPr>
                <w:rFonts w:hint="eastAsia" w:ascii="宋体" w:hAnsi="宋体" w:eastAsia="宋体" w:cs="宋体"/>
              </w:rPr>
            </w:pPr>
            <w:r>
              <w:rPr>
                <w:rFonts w:hint="eastAsia" w:ascii="宋体" w:hAnsi="宋体" w:eastAsia="宋体" w:cs="宋体"/>
              </w:rPr>
              <w:t>5.3 定时：0-9999分钟</w:t>
            </w:r>
          </w:p>
          <w:p w14:paraId="0A40A7F1">
            <w:pPr>
              <w:rPr>
                <w:rFonts w:hint="eastAsia" w:ascii="宋体" w:hAnsi="宋体" w:eastAsia="宋体" w:cs="宋体"/>
              </w:rPr>
            </w:pPr>
            <w:r>
              <w:rPr>
                <w:rFonts w:hint="eastAsia" w:ascii="宋体" w:hAnsi="宋体" w:eastAsia="宋体" w:cs="宋体"/>
              </w:rPr>
              <w:t>5.4 运行功能：定值运行、定时运行、自动停止</w:t>
            </w:r>
          </w:p>
          <w:p w14:paraId="33C85813">
            <w:pPr>
              <w:rPr>
                <w:rFonts w:hint="eastAsia" w:ascii="宋体" w:hAnsi="宋体" w:eastAsia="宋体" w:cs="宋体"/>
              </w:rPr>
            </w:pPr>
            <w:r>
              <w:rPr>
                <w:rFonts w:hint="eastAsia" w:ascii="宋体" w:hAnsi="宋体" w:eastAsia="宋体" w:cs="宋体"/>
              </w:rPr>
              <w:t>5.5 程序模式：选配</w:t>
            </w:r>
          </w:p>
          <w:p w14:paraId="07B79174">
            <w:pPr>
              <w:rPr>
                <w:rFonts w:hint="eastAsia" w:ascii="宋体" w:hAnsi="宋体" w:eastAsia="宋体" w:cs="宋体"/>
              </w:rPr>
            </w:pPr>
            <w:r>
              <w:rPr>
                <w:rFonts w:hint="eastAsia" w:ascii="宋体" w:hAnsi="宋体" w:eastAsia="宋体" w:cs="宋体"/>
              </w:rPr>
              <w:t>5.6 附加功能：偏差修正菜单按键锁定、停电记忆</w:t>
            </w:r>
          </w:p>
          <w:p w14:paraId="638CD12E">
            <w:pPr>
              <w:rPr>
                <w:rFonts w:hint="eastAsia" w:ascii="宋体" w:hAnsi="宋体" w:eastAsia="宋体" w:cs="宋体"/>
              </w:rPr>
            </w:pPr>
            <w:r>
              <w:rPr>
                <w:rFonts w:hint="eastAsia" w:ascii="宋体" w:hAnsi="宋体" w:eastAsia="宋体" w:cs="宋体"/>
              </w:rPr>
              <w:t>5.7 传感器:K型</w:t>
            </w:r>
          </w:p>
          <w:p w14:paraId="65149CC8">
            <w:pPr>
              <w:rPr>
                <w:rFonts w:hint="eastAsia" w:ascii="宋体" w:hAnsi="宋体" w:eastAsia="宋体" w:cs="宋体"/>
              </w:rPr>
            </w:pPr>
            <w:r>
              <w:rPr>
                <w:rFonts w:hint="eastAsia" w:ascii="宋体" w:hAnsi="宋体" w:eastAsia="宋体" w:cs="宋体"/>
              </w:rPr>
              <w:t>5.8 电机：可调速</w:t>
            </w:r>
          </w:p>
          <w:p w14:paraId="6E440A06">
            <w:pPr>
              <w:adjustRightInd w:val="0"/>
              <w:snapToGrid w:val="0"/>
              <w:spacing w:line="260" w:lineRule="exact"/>
              <w:rPr>
                <w:rFonts w:hint="eastAsia" w:ascii="宋体" w:hAnsi="宋体" w:eastAsia="宋体" w:cs="宋体"/>
                <w:color w:val="auto"/>
                <w:szCs w:val="21"/>
                <w:highlight w:val="none"/>
              </w:rPr>
            </w:pPr>
          </w:p>
        </w:tc>
        <w:tc>
          <w:tcPr>
            <w:tcW w:w="566" w:type="dxa"/>
            <w:tcBorders>
              <w:top w:val="single" w:color="auto" w:sz="4" w:space="0"/>
              <w:left w:val="nil"/>
              <w:bottom w:val="single" w:color="auto" w:sz="4" w:space="0"/>
              <w:right w:val="single" w:color="auto" w:sz="4" w:space="0"/>
            </w:tcBorders>
            <w:shd w:val="clear" w:color="auto" w:fill="auto"/>
            <w:noWrap w:val="0"/>
            <w:vAlign w:val="center"/>
          </w:tcPr>
          <w:p w14:paraId="49F1FC91">
            <w:pPr>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r>
              <w:rPr>
                <w:rFonts w:hint="eastAsia" w:ascii="宋体" w:hAnsi="宋体" w:eastAsia="宋体" w:cs="宋体"/>
                <w:b w:val="0"/>
                <w:bCs w:val="0"/>
                <w:sz w:val="24"/>
                <w:szCs w:val="24"/>
              </w:rPr>
              <w:t>台</w:t>
            </w:r>
          </w:p>
        </w:tc>
        <w:tc>
          <w:tcPr>
            <w:tcW w:w="1234" w:type="dxa"/>
            <w:tcBorders>
              <w:top w:val="single" w:color="auto" w:sz="4" w:space="0"/>
              <w:left w:val="nil"/>
              <w:bottom w:val="single" w:color="auto" w:sz="4" w:space="0"/>
              <w:right w:val="single" w:color="auto" w:sz="4" w:space="0"/>
            </w:tcBorders>
            <w:shd w:val="clear" w:color="auto" w:fill="auto"/>
            <w:noWrap w:val="0"/>
            <w:vAlign w:val="center"/>
          </w:tcPr>
          <w:p w14:paraId="78333CB6">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sz w:val="24"/>
                <w:szCs w:val="24"/>
                <w:highlight w:val="none"/>
                <w:vertAlign w:val="baseline"/>
                <w:lang w:val="en-US" w:eastAsia="zh-CN"/>
              </w:rPr>
              <w:t>上海树立仪器仪表有限公司</w:t>
            </w:r>
          </w:p>
        </w:tc>
        <w:tc>
          <w:tcPr>
            <w:tcW w:w="816" w:type="dxa"/>
            <w:tcBorders>
              <w:top w:val="single" w:color="auto" w:sz="4" w:space="0"/>
              <w:left w:val="nil"/>
              <w:bottom w:val="single" w:color="auto" w:sz="4" w:space="0"/>
              <w:right w:val="single" w:color="auto" w:sz="4" w:space="0"/>
            </w:tcBorders>
            <w:shd w:val="clear" w:color="auto" w:fill="auto"/>
            <w:noWrap w:val="0"/>
            <w:vAlign w:val="center"/>
          </w:tcPr>
          <w:p w14:paraId="6C913ACD">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center"/>
              <w:textAlignment w:val="auto"/>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sz w:val="24"/>
                <w:szCs w:val="24"/>
                <w:highlight w:val="none"/>
                <w:vertAlign w:val="baseline"/>
                <w:lang w:val="en-US" w:eastAsia="zh-CN"/>
              </w:rPr>
              <w:t>中国</w:t>
            </w:r>
          </w:p>
        </w:tc>
        <w:tc>
          <w:tcPr>
            <w:tcW w:w="1217" w:type="dxa"/>
            <w:tcBorders>
              <w:top w:val="single" w:color="auto" w:sz="4" w:space="0"/>
              <w:left w:val="nil"/>
              <w:bottom w:val="single" w:color="auto" w:sz="4" w:space="0"/>
              <w:right w:val="single" w:color="auto" w:sz="4" w:space="0"/>
            </w:tcBorders>
            <w:noWrap w:val="0"/>
            <w:vAlign w:val="top"/>
          </w:tcPr>
          <w:p w14:paraId="647ECDDB">
            <w:pPr>
              <w:jc w:val="center"/>
              <w:rPr>
                <w:rFonts w:hint="eastAsia" w:ascii="宋体" w:hAnsi="宋体" w:eastAsia="宋体" w:cs="宋体"/>
                <w:color w:val="auto"/>
                <w:szCs w:val="21"/>
                <w:highlight w:val="none"/>
              </w:rPr>
            </w:pPr>
          </w:p>
        </w:tc>
      </w:tr>
    </w:tbl>
    <w:p w14:paraId="5DA95DFE">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7A6B9722">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4D034A3C">
      <w:pP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甲方货物负责人签字：</w:t>
      </w:r>
    </w:p>
    <w:p w14:paraId="08750023">
      <w:pPr>
        <w:widowControl/>
        <w:jc w:val="left"/>
        <w:rPr>
          <w:rFonts w:hint="eastAsia" w:ascii="宋体" w:hAnsi="宋体" w:eastAsia="宋体" w:cs="宋体"/>
          <w:b/>
          <w:color w:val="auto"/>
          <w:sz w:val="24"/>
          <w:szCs w:val="24"/>
          <w:highlight w:val="none"/>
        </w:rPr>
        <w:sectPr>
          <w:pgSz w:w="16838" w:h="11906" w:orient="landscape"/>
          <w:pgMar w:top="1134" w:right="1077" w:bottom="1134" w:left="794" w:header="851" w:footer="992" w:gutter="0"/>
          <w:pgNumType w:fmt="decimal"/>
          <w:cols w:space="720" w:num="1"/>
          <w:docGrid w:type="lines" w:linePitch="312" w:charSpace="0"/>
        </w:sectPr>
      </w:pPr>
    </w:p>
    <w:p w14:paraId="70691578">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附件5：            </w:t>
      </w:r>
    </w:p>
    <w:p w14:paraId="2D4443CF">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供货商：河南开荣启元商贸有限公司质量保障及服务表</w:t>
      </w:r>
    </w:p>
    <w:p w14:paraId="3032F41D">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致：河南中医药大学： </w:t>
      </w:r>
    </w:p>
    <w:p w14:paraId="130E0FE2">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根据贵方招标编号为豫财招标采购-2024-1249 的货物（具体货物见附件3），我公司对该项目售后产品做出如下质保及售后服务承诺：</w:t>
      </w:r>
    </w:p>
    <w:tbl>
      <w:tblPr>
        <w:tblStyle w:val="6"/>
        <w:tblW w:w="93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758"/>
        <w:gridCol w:w="4016"/>
        <w:gridCol w:w="878"/>
      </w:tblGrid>
      <w:tr w14:paraId="7F94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7B2CF7AE">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56B4242C">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质量保障措施及服务内容</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4F5CA1CC">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承诺</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053E518">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备注</w:t>
            </w:r>
          </w:p>
        </w:tc>
      </w:tr>
      <w:tr w14:paraId="5C11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43FF82FE">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71C4F5F2">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整机保修</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40456BEB">
            <w:pP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国产三年，进口一年</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BA57613">
            <w:pPr>
              <w:rPr>
                <w:rFonts w:hint="eastAsia" w:ascii="宋体" w:hAnsi="宋体" w:eastAsia="宋体" w:cs="宋体"/>
                <w:color w:val="auto"/>
                <w:szCs w:val="21"/>
                <w:highlight w:val="none"/>
              </w:rPr>
            </w:pPr>
          </w:p>
        </w:tc>
      </w:tr>
      <w:tr w14:paraId="774DB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2722A5D2">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3679AD0D">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随机标准配件</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15889996">
            <w:pP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国产三年，进口一年</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52A392A">
            <w:pPr>
              <w:rPr>
                <w:rFonts w:hint="eastAsia" w:ascii="宋体" w:hAnsi="宋体" w:eastAsia="宋体" w:cs="宋体"/>
                <w:color w:val="auto"/>
                <w:szCs w:val="21"/>
                <w:highlight w:val="none"/>
              </w:rPr>
            </w:pPr>
          </w:p>
        </w:tc>
      </w:tr>
      <w:tr w14:paraId="7C9A0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78696FA8">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472EA767">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加购选配件</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382E1C44">
            <w:pP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国产三年，进口一年</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1AD983CE">
            <w:pPr>
              <w:rPr>
                <w:rFonts w:hint="eastAsia" w:ascii="宋体" w:hAnsi="宋体" w:eastAsia="宋体" w:cs="宋体"/>
                <w:color w:val="auto"/>
                <w:szCs w:val="21"/>
                <w:highlight w:val="none"/>
              </w:rPr>
            </w:pPr>
          </w:p>
        </w:tc>
      </w:tr>
      <w:tr w14:paraId="7B24B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C0C3A6F">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4F12B65E">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随机资料、光盘介质、软盘介质、连接线、指示灯、电源线、随机工具等。</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11F9C22C">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随机配置见随机装箱清单</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40D1B369">
            <w:pPr>
              <w:rPr>
                <w:rFonts w:hint="eastAsia" w:ascii="宋体" w:hAnsi="宋体" w:eastAsia="宋体" w:cs="宋体"/>
                <w:color w:val="auto"/>
                <w:szCs w:val="21"/>
                <w:highlight w:val="none"/>
              </w:rPr>
            </w:pPr>
          </w:p>
        </w:tc>
      </w:tr>
      <w:tr w14:paraId="70866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953DA44">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2B13273A">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运输方式</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552B12C5">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免费送货上门</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38821C52">
            <w:pPr>
              <w:rPr>
                <w:rFonts w:hint="eastAsia" w:ascii="宋体" w:hAnsi="宋体" w:eastAsia="宋体" w:cs="宋体"/>
                <w:color w:val="auto"/>
                <w:szCs w:val="21"/>
                <w:highlight w:val="none"/>
              </w:rPr>
            </w:pPr>
          </w:p>
        </w:tc>
      </w:tr>
      <w:tr w14:paraId="29D21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2E68AE9E">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10504F98">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交货时间</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22A997C3">
            <w:pPr>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2025</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 xml:space="preserve"> </w:t>
            </w: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 xml:space="preserve"> </w:t>
            </w: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日前交货完毕</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4B9F54E0">
            <w:pPr>
              <w:rPr>
                <w:rFonts w:hint="eastAsia" w:ascii="宋体" w:hAnsi="宋体" w:eastAsia="宋体" w:cs="宋体"/>
                <w:color w:val="auto"/>
                <w:szCs w:val="21"/>
                <w:highlight w:val="none"/>
              </w:rPr>
            </w:pPr>
          </w:p>
        </w:tc>
      </w:tr>
      <w:tr w14:paraId="192A2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16E40C0">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1E6857F8">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安装、调试服务 </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1D5C0AD7">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免费安装调试</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3B024D15">
            <w:pPr>
              <w:rPr>
                <w:rFonts w:hint="eastAsia" w:ascii="宋体" w:hAnsi="宋体" w:eastAsia="宋体" w:cs="宋体"/>
                <w:color w:val="auto"/>
                <w:szCs w:val="21"/>
                <w:highlight w:val="none"/>
              </w:rPr>
            </w:pPr>
          </w:p>
        </w:tc>
      </w:tr>
      <w:tr w14:paraId="63FF1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7B88F2EE">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8</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09C4E5E9">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整机免费换货期限</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56F7EA8A">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12个月</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50EA94DF">
            <w:pPr>
              <w:rPr>
                <w:rFonts w:hint="eastAsia" w:ascii="宋体" w:hAnsi="宋体" w:eastAsia="宋体" w:cs="宋体"/>
                <w:color w:val="auto"/>
                <w:szCs w:val="21"/>
                <w:highlight w:val="none"/>
              </w:rPr>
            </w:pPr>
          </w:p>
        </w:tc>
      </w:tr>
      <w:tr w14:paraId="742B9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A9BD935">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9</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1EB8AD5E">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免费上门服务期</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74BAF54A">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终身。提供随叫随到上门服务，全天候24小时响应（包括节假日如春节、国庆节、五一节等），</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A02F061">
            <w:pPr>
              <w:rPr>
                <w:rFonts w:hint="eastAsia" w:ascii="宋体" w:hAnsi="宋体" w:eastAsia="宋体" w:cs="宋体"/>
                <w:color w:val="auto"/>
                <w:szCs w:val="21"/>
                <w:highlight w:val="none"/>
              </w:rPr>
            </w:pPr>
          </w:p>
        </w:tc>
      </w:tr>
      <w:tr w14:paraId="26717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50B6D1D0">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38C06444">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质保期内产品故障服务响应时限</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0784DC73">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2个小时内响应</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40B0CB8B">
            <w:pPr>
              <w:rPr>
                <w:rFonts w:hint="eastAsia" w:ascii="宋体" w:hAnsi="宋体" w:eastAsia="宋体" w:cs="宋体"/>
                <w:color w:val="auto"/>
                <w:szCs w:val="21"/>
                <w:highlight w:val="none"/>
              </w:rPr>
            </w:pPr>
          </w:p>
        </w:tc>
      </w:tr>
      <w:tr w14:paraId="40DB7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9949E82">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012DAC54">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服务时间</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6B675BC6">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24小时（包括节假日如春节、国庆节、五一节等）</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7ED42765">
            <w:pPr>
              <w:rPr>
                <w:rFonts w:hint="eastAsia" w:ascii="宋体" w:hAnsi="宋体" w:eastAsia="宋体" w:cs="宋体"/>
                <w:color w:val="auto"/>
                <w:szCs w:val="21"/>
                <w:highlight w:val="none"/>
              </w:rPr>
            </w:pPr>
          </w:p>
        </w:tc>
      </w:tr>
      <w:tr w14:paraId="1F0CA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64066C0">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1702C188">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上门时间</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0855DEA2">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2小时内响应及时上门</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D4C096E">
            <w:pPr>
              <w:rPr>
                <w:rFonts w:hint="eastAsia" w:ascii="宋体" w:hAnsi="宋体" w:eastAsia="宋体" w:cs="宋体"/>
                <w:color w:val="auto"/>
                <w:szCs w:val="21"/>
                <w:highlight w:val="none"/>
              </w:rPr>
            </w:pPr>
          </w:p>
        </w:tc>
      </w:tr>
      <w:tr w14:paraId="4E30C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50A7CEB5">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13</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00DBC394">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故障修复时限</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7A2AEF27">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8个小时内修复</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37F279F2">
            <w:pPr>
              <w:rPr>
                <w:rFonts w:hint="eastAsia" w:ascii="宋体" w:hAnsi="宋体" w:eastAsia="宋体" w:cs="宋体"/>
                <w:color w:val="auto"/>
                <w:szCs w:val="21"/>
                <w:highlight w:val="none"/>
              </w:rPr>
            </w:pPr>
          </w:p>
        </w:tc>
      </w:tr>
      <w:tr w14:paraId="3675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3AA8EC8F">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14</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6833D3A8">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备品配件供应响应时限</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4CDFD911">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1个工作日内</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3B20ED7B">
            <w:pPr>
              <w:rPr>
                <w:rFonts w:hint="eastAsia" w:ascii="宋体" w:hAnsi="宋体" w:eastAsia="宋体" w:cs="宋体"/>
                <w:color w:val="auto"/>
                <w:szCs w:val="21"/>
                <w:highlight w:val="none"/>
              </w:rPr>
            </w:pPr>
          </w:p>
        </w:tc>
      </w:tr>
      <w:tr w14:paraId="473F9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766B2D10">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49F9FBAB">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保质期满后的保修服务费用</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51F30925">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详见开标一览表</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41F8F5F">
            <w:pPr>
              <w:rPr>
                <w:rFonts w:hint="eastAsia" w:ascii="宋体" w:hAnsi="宋体" w:eastAsia="宋体" w:cs="宋体"/>
                <w:color w:val="auto"/>
                <w:szCs w:val="21"/>
                <w:highlight w:val="none"/>
              </w:rPr>
            </w:pPr>
          </w:p>
        </w:tc>
      </w:tr>
      <w:tr w14:paraId="7BA85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34FFF806">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1CB32348">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免费技术支持</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4A9D0CA4">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终身</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C1E9D3B">
            <w:pPr>
              <w:rPr>
                <w:rFonts w:hint="eastAsia" w:ascii="宋体" w:hAnsi="宋体" w:eastAsia="宋体" w:cs="宋体"/>
                <w:color w:val="auto"/>
                <w:szCs w:val="21"/>
                <w:highlight w:val="none"/>
              </w:rPr>
            </w:pPr>
          </w:p>
        </w:tc>
      </w:tr>
      <w:tr w14:paraId="7AA4F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39FFA838">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1818844A">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客户操作人员技术培训</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073F3AC3">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免费技术培训至少**名操作人员，操作和简单故障处理。</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11C43ADE">
            <w:pPr>
              <w:rPr>
                <w:rFonts w:hint="eastAsia" w:ascii="宋体" w:hAnsi="宋体" w:eastAsia="宋体" w:cs="宋体"/>
                <w:color w:val="auto"/>
                <w:szCs w:val="21"/>
                <w:highlight w:val="none"/>
              </w:rPr>
            </w:pPr>
          </w:p>
        </w:tc>
      </w:tr>
      <w:tr w14:paraId="0D47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40D6008">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4CCD50AE">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郑州维修部地址</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30F8A245">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河南自贸试验区开封片区郑开大道298号自贸大厦B座506室</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3C11D91D">
            <w:pPr>
              <w:rPr>
                <w:rFonts w:hint="eastAsia" w:ascii="宋体" w:hAnsi="宋体" w:eastAsia="宋体" w:cs="宋体"/>
                <w:color w:val="auto"/>
                <w:szCs w:val="21"/>
                <w:highlight w:val="none"/>
              </w:rPr>
            </w:pPr>
          </w:p>
        </w:tc>
      </w:tr>
      <w:tr w14:paraId="030E5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4E354E09">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19</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76AEF583">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联系人</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74A3FC92">
            <w:pP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曹丽敏</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560A128C">
            <w:pPr>
              <w:rPr>
                <w:rFonts w:hint="eastAsia" w:ascii="宋体" w:hAnsi="宋体" w:eastAsia="宋体" w:cs="宋体"/>
                <w:color w:val="auto"/>
                <w:szCs w:val="21"/>
                <w:highlight w:val="none"/>
              </w:rPr>
            </w:pPr>
          </w:p>
        </w:tc>
      </w:tr>
      <w:tr w14:paraId="3C1B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3CBCCC7B">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67035251">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联系电话</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72190F14">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0371-63395009</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76AA8853">
            <w:pPr>
              <w:rPr>
                <w:rFonts w:hint="eastAsia" w:ascii="宋体" w:hAnsi="宋体" w:eastAsia="宋体" w:cs="宋体"/>
                <w:color w:val="auto"/>
                <w:szCs w:val="21"/>
                <w:highlight w:val="none"/>
              </w:rPr>
            </w:pPr>
          </w:p>
        </w:tc>
      </w:tr>
      <w:tr w14:paraId="04C3F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84A946B">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5711BBE5">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维修服务热线</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1F5424E0">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0371-63395009</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1994ED6A">
            <w:pPr>
              <w:rPr>
                <w:rFonts w:hint="eastAsia" w:ascii="宋体" w:hAnsi="宋体" w:eastAsia="宋体" w:cs="宋体"/>
                <w:color w:val="auto"/>
                <w:szCs w:val="21"/>
                <w:highlight w:val="none"/>
              </w:rPr>
            </w:pPr>
          </w:p>
        </w:tc>
      </w:tr>
      <w:tr w14:paraId="01296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3B0A1004">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22</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60DC85A4">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其他承诺</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4E6C7720">
            <w:pP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无</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51949B3">
            <w:pPr>
              <w:rPr>
                <w:rFonts w:hint="eastAsia" w:ascii="宋体" w:hAnsi="宋体" w:eastAsia="宋体" w:cs="宋体"/>
                <w:color w:val="auto"/>
                <w:szCs w:val="21"/>
                <w:highlight w:val="none"/>
              </w:rPr>
            </w:pPr>
          </w:p>
        </w:tc>
      </w:tr>
    </w:tbl>
    <w:p w14:paraId="50364AEE">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承诺公司签字（盖章）：</w:t>
      </w:r>
    </w:p>
    <w:p w14:paraId="3432FDBD">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w:t>
      </w:r>
    </w:p>
    <w:p w14:paraId="4981C68E">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w:t>
      </w:r>
    </w:p>
    <w:p w14:paraId="069EDCF9">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附件6：</w:t>
      </w:r>
    </w:p>
    <w:p w14:paraId="5A0DE068">
      <w:pPr>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豫财招标采购-2024-1249号合同安装培训计划表</w:t>
      </w:r>
    </w:p>
    <w:p w14:paraId="07DD4B4F">
      <w:pPr>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 xml:space="preserve"> </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2126"/>
        <w:gridCol w:w="6407"/>
      </w:tblGrid>
      <w:tr w14:paraId="445D0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1D27006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4A8F19C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3217F4FD">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具体内容</w:t>
            </w:r>
          </w:p>
        </w:tc>
      </w:tr>
      <w:tr w14:paraId="45CA1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13FBFEB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62E8869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培训所要达到的目标</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526B34F5">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使用户方的相关人员能掌握关系设备的使用、维护和管理，达到能独立进行使用、故障处理、日常维护等工作的目的，以保障所提供的设备能够正常、安全的运行。</w:t>
            </w:r>
          </w:p>
        </w:tc>
      </w:tr>
      <w:tr w14:paraId="39CC8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0581C55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0BE2E71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培训内容</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187C1E8A">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针对本项目，我公司对用户方的技术人员提供包括系统管理、数控编程等培训内容</w:t>
            </w:r>
          </w:p>
          <w:p w14:paraId="55594D34">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正确使用 </w:t>
            </w:r>
          </w:p>
          <w:p w14:paraId="5D70C194">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 识别初级故障及必要的恢复方法</w:t>
            </w:r>
          </w:p>
          <w:p w14:paraId="05B4EF5D">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系统各项功能的应用 </w:t>
            </w:r>
          </w:p>
          <w:p w14:paraId="6F8C463E">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常见故障排除方法 </w:t>
            </w:r>
          </w:p>
        </w:tc>
      </w:tr>
      <w:tr w14:paraId="1C9E6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0FC270E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32B7B07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培训标准</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279203E8">
            <w:pP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设备生产厂家企业标准</w:t>
            </w:r>
          </w:p>
        </w:tc>
      </w:tr>
      <w:tr w14:paraId="72D76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7E2A93A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四</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4292090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培训时间</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090695AD">
            <w:pP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设备安装调试期间</w:t>
            </w:r>
          </w:p>
        </w:tc>
      </w:tr>
      <w:tr w14:paraId="6A9E8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34925DB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五</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30DB864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培训人数</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3E997781">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3名或3名以上设备维护人员或者维修人员</w:t>
            </w:r>
          </w:p>
        </w:tc>
      </w:tr>
      <w:tr w14:paraId="5DD89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355F9B2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六</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799D388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培训费用</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59F2D579">
            <w:pP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合同价款已包含。</w:t>
            </w:r>
          </w:p>
        </w:tc>
      </w:tr>
      <w:tr w14:paraId="2A6F7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7BC3591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七</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7F1EB9C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培训地点</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2201B829">
            <w:pP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设备安装调试地点</w:t>
            </w:r>
          </w:p>
        </w:tc>
      </w:tr>
      <w:tr w14:paraId="40A47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3A73569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八</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649D235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其他优惠政策</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66D22AE0">
            <w:pPr>
              <w:spacing w:line="40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详见售后服务承诺</w:t>
            </w:r>
          </w:p>
        </w:tc>
      </w:tr>
    </w:tbl>
    <w:p w14:paraId="3B1F25BF">
      <w:pPr>
        <w:adjustRightInd w:val="0"/>
        <w:snapToGrid w:val="0"/>
        <w:spacing w:line="440" w:lineRule="exac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 xml:space="preserve"> </w:t>
      </w:r>
    </w:p>
    <w:p w14:paraId="6F8E19CE">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承诺公司签字（盖章）：河南开荣启元商贸有限公司</w:t>
      </w:r>
    </w:p>
    <w:p w14:paraId="23092294">
      <w:pPr>
        <w:spacing w:line="360" w:lineRule="auto"/>
        <w:rPr>
          <w:rFonts w:hint="eastAsia" w:ascii="宋体" w:hAnsi="宋体" w:eastAsia="宋体" w:cs="宋体"/>
          <w:b/>
          <w:color w:val="auto"/>
          <w:szCs w:val="21"/>
          <w:highlight w:val="none"/>
          <w:lang w:val="en-US" w:eastAsia="zh-CN"/>
        </w:rPr>
      </w:pPr>
      <w:r>
        <w:rPr>
          <w:rFonts w:hint="eastAsia" w:ascii="宋体" w:hAnsi="宋体" w:eastAsia="宋体" w:cs="宋体"/>
          <w:b/>
          <w:color w:val="auto"/>
          <w:sz w:val="24"/>
          <w:szCs w:val="24"/>
          <w:highlight w:val="none"/>
        </w:rPr>
        <w:t>联系人：</w:t>
      </w:r>
      <w:r>
        <w:rPr>
          <w:rFonts w:hint="eastAsia" w:ascii="宋体" w:hAnsi="宋体" w:eastAsia="宋体" w:cs="宋体"/>
          <w:b/>
          <w:color w:val="auto"/>
          <w:sz w:val="24"/>
          <w:szCs w:val="24"/>
          <w:highlight w:val="none"/>
          <w:lang w:val="en-US" w:eastAsia="zh-CN"/>
        </w:rPr>
        <w:t>曹丽敏</w:t>
      </w:r>
    </w:p>
    <w:p w14:paraId="336C975B">
      <w:pPr>
        <w:spacing w:line="360" w:lineRule="auto"/>
        <w:rPr>
          <w:rFonts w:hint="eastAsia" w:ascii="宋体" w:hAnsi="宋体" w:eastAsia="宋体" w:cs="宋体"/>
          <w:b/>
          <w:color w:val="auto"/>
          <w:szCs w:val="21"/>
          <w:highlight w:val="none"/>
        </w:rPr>
      </w:pPr>
      <w:r>
        <w:rPr>
          <w:rFonts w:hint="eastAsia" w:ascii="宋体" w:hAnsi="宋体" w:eastAsia="宋体" w:cs="宋体"/>
          <w:b/>
          <w:color w:val="auto"/>
          <w:sz w:val="24"/>
          <w:szCs w:val="24"/>
          <w:highlight w:val="none"/>
        </w:rPr>
        <w:t>联系电话：0371-63395009</w:t>
      </w:r>
    </w:p>
    <w:p w14:paraId="45C88CC7">
      <w:pPr>
        <w:spacing w:line="360" w:lineRule="auto"/>
        <w:rPr>
          <w:rFonts w:hint="eastAsia" w:ascii="宋体" w:hAnsi="宋体" w:eastAsia="宋体" w:cs="宋体"/>
          <w:b/>
          <w:color w:val="auto"/>
          <w:szCs w:val="21"/>
          <w:highlight w:val="none"/>
        </w:rPr>
      </w:pPr>
      <w:r>
        <w:rPr>
          <w:rFonts w:hint="eastAsia" w:ascii="宋体" w:hAnsi="宋体" w:eastAsia="宋体" w:cs="宋体"/>
          <w:b/>
          <w:color w:val="auto"/>
          <w:sz w:val="24"/>
          <w:szCs w:val="24"/>
          <w:highlight w:val="none"/>
        </w:rPr>
        <w:t>维修服务热线：0371-63395009</w:t>
      </w:r>
    </w:p>
    <w:p w14:paraId="5C6020A6">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14:paraId="58E6D27B">
      <w:pPr>
        <w:spacing w:line="360" w:lineRule="auto"/>
        <w:rPr>
          <w:rFonts w:hint="eastAsia" w:ascii="宋体" w:hAnsi="宋体" w:eastAsia="宋体" w:cs="宋体"/>
          <w:b/>
          <w:color w:val="auto"/>
          <w:sz w:val="28"/>
          <w:szCs w:val="28"/>
          <w:highlight w:val="none"/>
        </w:rPr>
      </w:pPr>
      <w:r>
        <w:rPr>
          <w:rFonts w:hint="eastAsia" w:ascii="宋体" w:hAnsi="宋体" w:eastAsia="宋体" w:cs="宋体"/>
          <w:b/>
          <w:color w:val="auto"/>
          <w:sz w:val="24"/>
          <w:szCs w:val="24"/>
          <w:highlight w:val="none"/>
        </w:rPr>
        <w:t xml:space="preserve">附件7： </w:t>
      </w:r>
      <w:r>
        <w:rPr>
          <w:rFonts w:hint="eastAsia" w:ascii="宋体" w:hAnsi="宋体" w:eastAsia="宋体" w:cs="宋体"/>
          <w:b/>
          <w:color w:val="auto"/>
          <w:sz w:val="28"/>
          <w:szCs w:val="28"/>
          <w:highlight w:val="none"/>
        </w:rPr>
        <w:t>制造商售后其它服务承诺</w:t>
      </w:r>
    </w:p>
    <w:p w14:paraId="06693263">
      <w:pPr>
        <w:bidi w:val="0"/>
        <w:rPr>
          <w:rFonts w:hint="eastAsia" w:ascii="宋体" w:hAnsi="宋体" w:eastAsia="宋体" w:cs="宋体"/>
          <w:lang w:val="en-US" w:eastAsia="zh-CN"/>
        </w:rPr>
      </w:pPr>
    </w:p>
    <w:p w14:paraId="16907495">
      <w:pPr>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687060" cy="8038465"/>
            <wp:effectExtent l="0" t="0" r="8890" b="635"/>
            <wp:docPr id="193" name="图片 193" descr="基因-开荣-授权（非接触式聚焦超声样本处理系统ME220)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基因-开荣-授权（非接触式聚焦超声样本处理系统ME220)_页面_10"/>
                    <pic:cNvPicPr>
                      <a:picLocks noChangeAspect="1"/>
                    </pic:cNvPicPr>
                  </pic:nvPicPr>
                  <pic:blipFill>
                    <a:blip r:embed="rId16"/>
                    <a:stretch>
                      <a:fillRect/>
                    </a:stretch>
                  </pic:blipFill>
                  <pic:spPr>
                    <a:xfrm>
                      <a:off x="0" y="0"/>
                      <a:ext cx="5687060" cy="8038465"/>
                    </a:xfrm>
                    <a:prstGeom prst="rect">
                      <a:avLst/>
                    </a:prstGeom>
                  </pic:spPr>
                </pic:pic>
              </a:graphicData>
            </a:graphic>
          </wp:inline>
        </w:drawing>
      </w:r>
      <w:r>
        <w:rPr>
          <w:rFonts w:hint="eastAsia" w:ascii="宋体" w:hAnsi="宋体" w:eastAsia="宋体" w:cs="宋体"/>
          <w:lang w:val="en-US" w:eastAsia="zh-CN"/>
        </w:rPr>
        <w:drawing>
          <wp:inline distT="0" distB="0" distL="114300" distR="114300">
            <wp:extent cx="5687060" cy="8038465"/>
            <wp:effectExtent l="0" t="0" r="8890" b="635"/>
            <wp:docPr id="192" name="图片 192" descr="基因-开荣-授权（非接触式聚焦超声样本处理系统ME220)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基因-开荣-授权（非接触式聚焦超声样本处理系统ME220)_页面_11"/>
                    <pic:cNvPicPr>
                      <a:picLocks noChangeAspect="1"/>
                    </pic:cNvPicPr>
                  </pic:nvPicPr>
                  <pic:blipFill>
                    <a:blip r:embed="rId17"/>
                    <a:stretch>
                      <a:fillRect/>
                    </a:stretch>
                  </pic:blipFill>
                  <pic:spPr>
                    <a:xfrm>
                      <a:off x="0" y="0"/>
                      <a:ext cx="5687060" cy="8038465"/>
                    </a:xfrm>
                    <a:prstGeom prst="rect">
                      <a:avLst/>
                    </a:prstGeom>
                  </pic:spPr>
                </pic:pic>
              </a:graphicData>
            </a:graphic>
          </wp:inline>
        </w:drawing>
      </w:r>
      <w:r>
        <w:rPr>
          <w:rFonts w:hint="eastAsia" w:ascii="宋体" w:hAnsi="宋体" w:eastAsia="宋体" w:cs="宋体"/>
          <w:lang w:val="en-US" w:eastAsia="zh-CN"/>
        </w:rPr>
        <w:drawing>
          <wp:inline distT="0" distB="0" distL="114300" distR="114300">
            <wp:extent cx="5687060" cy="8038465"/>
            <wp:effectExtent l="0" t="0" r="8890" b="635"/>
            <wp:docPr id="189" name="图片 189" descr="基因-开荣-授权（非接触式聚焦超声样本处理系统ME220)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基因-开荣-授权（非接触式聚焦超声样本处理系统ME220)_页面_14"/>
                    <pic:cNvPicPr>
                      <a:picLocks noChangeAspect="1"/>
                    </pic:cNvPicPr>
                  </pic:nvPicPr>
                  <pic:blipFill>
                    <a:blip r:embed="rId18"/>
                    <a:stretch>
                      <a:fillRect/>
                    </a:stretch>
                  </pic:blipFill>
                  <pic:spPr>
                    <a:xfrm>
                      <a:off x="0" y="0"/>
                      <a:ext cx="5687060" cy="8038465"/>
                    </a:xfrm>
                    <a:prstGeom prst="rect">
                      <a:avLst/>
                    </a:prstGeom>
                  </pic:spPr>
                </pic:pic>
              </a:graphicData>
            </a:graphic>
          </wp:inline>
        </w:drawing>
      </w:r>
      <w:r>
        <w:rPr>
          <w:rFonts w:hint="eastAsia" w:ascii="宋体" w:hAnsi="宋体" w:eastAsia="宋体" w:cs="宋体"/>
          <w:lang w:val="en-US" w:eastAsia="zh-CN"/>
        </w:rPr>
        <w:drawing>
          <wp:inline distT="0" distB="0" distL="114300" distR="114300">
            <wp:extent cx="5670550" cy="8085455"/>
            <wp:effectExtent l="0" t="0" r="6350" b="10795"/>
            <wp:docPr id="11" name="图片 11" descr="售后服务(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售后服务(1)_00"/>
                    <pic:cNvPicPr>
                      <a:picLocks noChangeAspect="1"/>
                    </pic:cNvPicPr>
                  </pic:nvPicPr>
                  <pic:blipFill>
                    <a:blip r:embed="rId19"/>
                    <a:stretch>
                      <a:fillRect/>
                    </a:stretch>
                  </pic:blipFill>
                  <pic:spPr>
                    <a:xfrm>
                      <a:off x="0" y="0"/>
                      <a:ext cx="5670550" cy="8085455"/>
                    </a:xfrm>
                    <a:prstGeom prst="rect">
                      <a:avLst/>
                    </a:prstGeom>
                  </pic:spPr>
                </pic:pic>
              </a:graphicData>
            </a:graphic>
          </wp:inline>
        </w:drawing>
      </w:r>
      <w:r>
        <w:rPr>
          <w:rFonts w:hint="eastAsia" w:ascii="宋体" w:hAnsi="宋体" w:eastAsia="宋体" w:cs="宋体"/>
          <w:lang w:val="en-US" w:eastAsia="zh-CN"/>
        </w:rPr>
        <w:drawing>
          <wp:inline distT="0" distB="0" distL="114300" distR="114300">
            <wp:extent cx="5681345" cy="7352665"/>
            <wp:effectExtent l="0" t="0" r="14605" b="635"/>
            <wp:docPr id="17" name="图片 17" descr="贝克曼售后服务承诺书-离心机1(2)(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贝克曼售后服务承诺书-离心机1(2)(1)_00"/>
                    <pic:cNvPicPr>
                      <a:picLocks noChangeAspect="1"/>
                    </pic:cNvPicPr>
                  </pic:nvPicPr>
                  <pic:blipFill>
                    <a:blip r:embed="rId20"/>
                    <a:stretch>
                      <a:fillRect/>
                    </a:stretch>
                  </pic:blipFill>
                  <pic:spPr>
                    <a:xfrm>
                      <a:off x="0" y="0"/>
                      <a:ext cx="5681345" cy="7352665"/>
                    </a:xfrm>
                    <a:prstGeom prst="rect">
                      <a:avLst/>
                    </a:prstGeom>
                  </pic:spPr>
                </pic:pic>
              </a:graphicData>
            </a:graphic>
          </wp:inline>
        </w:drawing>
      </w:r>
      <w:r>
        <w:rPr>
          <w:rFonts w:hint="eastAsia" w:ascii="宋体" w:hAnsi="宋体" w:eastAsia="宋体" w:cs="宋体"/>
          <w:lang w:val="en-US" w:eastAsia="zh-CN"/>
        </w:rPr>
        <w:drawing>
          <wp:inline distT="0" distB="0" distL="114300" distR="114300">
            <wp:extent cx="5677535" cy="7934325"/>
            <wp:effectExtent l="0" t="0" r="18415" b="9525"/>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
                    <pic:cNvPicPr>
                      <a:picLocks noChangeAspect="1"/>
                    </pic:cNvPicPr>
                  </pic:nvPicPr>
                  <pic:blipFill>
                    <a:blip r:embed="rId21"/>
                    <a:stretch>
                      <a:fillRect/>
                    </a:stretch>
                  </pic:blipFill>
                  <pic:spPr>
                    <a:xfrm>
                      <a:off x="0" y="0"/>
                      <a:ext cx="5677535" cy="7934325"/>
                    </a:xfrm>
                    <a:prstGeom prst="rect">
                      <a:avLst/>
                    </a:prstGeom>
                  </pic:spPr>
                </pic:pic>
              </a:graphicData>
            </a:graphic>
          </wp:inline>
        </w:drawing>
      </w:r>
      <w:r>
        <w:rPr>
          <w:rFonts w:hint="eastAsia" w:ascii="宋体" w:hAnsi="宋体" w:eastAsia="宋体" w:cs="宋体"/>
          <w:lang w:val="en-US" w:eastAsia="zh-CN"/>
        </w:rPr>
        <w:drawing>
          <wp:inline distT="0" distB="0" distL="114300" distR="114300">
            <wp:extent cx="5682615" cy="8030210"/>
            <wp:effectExtent l="0" t="0" r="13335" b="8890"/>
            <wp:docPr id="18" name="图片 18" descr="售后服务承诺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售后服务承诺书_01"/>
                    <pic:cNvPicPr>
                      <a:picLocks noChangeAspect="1"/>
                    </pic:cNvPicPr>
                  </pic:nvPicPr>
                  <pic:blipFill>
                    <a:blip r:embed="rId22"/>
                    <a:stretch>
                      <a:fillRect/>
                    </a:stretch>
                  </pic:blipFill>
                  <pic:spPr>
                    <a:xfrm>
                      <a:off x="0" y="0"/>
                      <a:ext cx="5682615" cy="8030210"/>
                    </a:xfrm>
                    <a:prstGeom prst="rect">
                      <a:avLst/>
                    </a:prstGeom>
                  </pic:spPr>
                </pic:pic>
              </a:graphicData>
            </a:graphic>
          </wp:inline>
        </w:drawing>
      </w:r>
      <w:r>
        <w:rPr>
          <w:rFonts w:hint="eastAsia" w:ascii="宋体" w:hAnsi="宋体" w:eastAsia="宋体" w:cs="宋体"/>
          <w:lang w:val="en-US" w:eastAsia="zh-CN"/>
        </w:rPr>
        <w:drawing>
          <wp:inline distT="0" distB="0" distL="114300" distR="114300">
            <wp:extent cx="5685790" cy="8036560"/>
            <wp:effectExtent l="0" t="0" r="10160" b="2540"/>
            <wp:docPr id="112" name="图片 112" descr="舜宇售后3年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舜宇售后3年_00"/>
                    <pic:cNvPicPr>
                      <a:picLocks noChangeAspect="1"/>
                    </pic:cNvPicPr>
                  </pic:nvPicPr>
                  <pic:blipFill>
                    <a:blip r:embed="rId23"/>
                    <a:stretch>
                      <a:fillRect/>
                    </a:stretch>
                  </pic:blipFill>
                  <pic:spPr>
                    <a:xfrm>
                      <a:off x="0" y="0"/>
                      <a:ext cx="5685790" cy="8036560"/>
                    </a:xfrm>
                    <a:prstGeom prst="rect">
                      <a:avLst/>
                    </a:prstGeom>
                  </pic:spPr>
                </pic:pic>
              </a:graphicData>
            </a:graphic>
          </wp:inline>
        </w:drawing>
      </w:r>
      <w:r>
        <w:rPr>
          <w:rFonts w:hint="eastAsia" w:ascii="宋体" w:hAnsi="宋体" w:eastAsia="宋体" w:cs="宋体"/>
          <w:lang w:val="en-US" w:eastAsia="zh-CN"/>
        </w:rPr>
        <w:drawing>
          <wp:inline distT="0" distB="0" distL="114300" distR="114300">
            <wp:extent cx="5685790" cy="8036560"/>
            <wp:effectExtent l="0" t="0" r="10160" b="2540"/>
            <wp:docPr id="113" name="图片 113" descr="舜宇售后3年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舜宇售后3年_01"/>
                    <pic:cNvPicPr>
                      <a:picLocks noChangeAspect="1"/>
                    </pic:cNvPicPr>
                  </pic:nvPicPr>
                  <pic:blipFill>
                    <a:blip r:embed="rId24"/>
                    <a:stretch>
                      <a:fillRect/>
                    </a:stretch>
                  </pic:blipFill>
                  <pic:spPr>
                    <a:xfrm>
                      <a:off x="0" y="0"/>
                      <a:ext cx="5685790" cy="8036560"/>
                    </a:xfrm>
                    <a:prstGeom prst="rect">
                      <a:avLst/>
                    </a:prstGeom>
                  </pic:spPr>
                </pic:pic>
              </a:graphicData>
            </a:graphic>
          </wp:inline>
        </w:drawing>
      </w:r>
    </w:p>
    <w:p w14:paraId="510540E3">
      <w:pPr>
        <w:rPr>
          <w:rFonts w:hint="eastAsia" w:ascii="宋体" w:hAnsi="宋体" w:eastAsia="宋体" w:cs="宋体"/>
        </w:rPr>
        <w:sectPr>
          <w:pgSz w:w="11906" w:h="16838"/>
          <w:pgMar w:top="1440" w:right="1474" w:bottom="1440" w:left="147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28F2658">
      <w:pPr>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685790" cy="8045450"/>
            <wp:effectExtent l="0" t="0" r="10160" b="12700"/>
            <wp:docPr id="114" name="图片 114" descr="Thermo 售后服务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Thermo 售后服务_00"/>
                    <pic:cNvPicPr>
                      <a:picLocks noChangeAspect="1"/>
                    </pic:cNvPicPr>
                  </pic:nvPicPr>
                  <pic:blipFill>
                    <a:blip r:embed="rId25"/>
                    <a:stretch>
                      <a:fillRect/>
                    </a:stretch>
                  </pic:blipFill>
                  <pic:spPr>
                    <a:xfrm>
                      <a:off x="0" y="0"/>
                      <a:ext cx="5685790" cy="8045450"/>
                    </a:xfrm>
                    <a:prstGeom prst="rect">
                      <a:avLst/>
                    </a:prstGeom>
                  </pic:spPr>
                </pic:pic>
              </a:graphicData>
            </a:graphic>
          </wp:inline>
        </w:drawing>
      </w:r>
      <w:r>
        <w:rPr>
          <w:rFonts w:hint="eastAsia" w:ascii="宋体" w:hAnsi="宋体" w:eastAsia="宋体" w:cs="宋体"/>
          <w:lang w:val="en-US" w:eastAsia="zh-CN"/>
        </w:rPr>
        <w:drawing>
          <wp:inline distT="0" distB="0" distL="114300" distR="114300">
            <wp:extent cx="5685790" cy="8045450"/>
            <wp:effectExtent l="0" t="0" r="10160" b="12700"/>
            <wp:docPr id="123" name="图片 123" descr="Thermo 售后服务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Thermo 售后服务_01"/>
                    <pic:cNvPicPr>
                      <a:picLocks noChangeAspect="1"/>
                    </pic:cNvPicPr>
                  </pic:nvPicPr>
                  <pic:blipFill>
                    <a:blip r:embed="rId26"/>
                    <a:stretch>
                      <a:fillRect/>
                    </a:stretch>
                  </pic:blipFill>
                  <pic:spPr>
                    <a:xfrm>
                      <a:off x="0" y="0"/>
                      <a:ext cx="5685790" cy="8045450"/>
                    </a:xfrm>
                    <a:prstGeom prst="rect">
                      <a:avLst/>
                    </a:prstGeom>
                  </pic:spPr>
                </pic:pic>
              </a:graphicData>
            </a:graphic>
          </wp:inline>
        </w:drawing>
      </w:r>
      <w:r>
        <w:rPr>
          <w:rFonts w:hint="eastAsia" w:ascii="宋体" w:hAnsi="宋体" w:eastAsia="宋体" w:cs="宋体"/>
          <w:lang w:val="en-US" w:eastAsia="zh-CN"/>
        </w:rPr>
        <w:drawing>
          <wp:inline distT="0" distB="0" distL="114300" distR="114300">
            <wp:extent cx="5685790" cy="8045450"/>
            <wp:effectExtent l="0" t="0" r="10160" b="12700"/>
            <wp:docPr id="126" name="图片 126" descr="Thermo 售后服务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Thermo 售后服务_02"/>
                    <pic:cNvPicPr>
                      <a:picLocks noChangeAspect="1"/>
                    </pic:cNvPicPr>
                  </pic:nvPicPr>
                  <pic:blipFill>
                    <a:blip r:embed="rId27"/>
                    <a:stretch>
                      <a:fillRect/>
                    </a:stretch>
                  </pic:blipFill>
                  <pic:spPr>
                    <a:xfrm>
                      <a:off x="0" y="0"/>
                      <a:ext cx="5685790" cy="8045450"/>
                    </a:xfrm>
                    <a:prstGeom prst="rect">
                      <a:avLst/>
                    </a:prstGeom>
                  </pic:spPr>
                </pic:pic>
              </a:graphicData>
            </a:graphic>
          </wp:inline>
        </w:drawing>
      </w:r>
    </w:p>
    <w:p w14:paraId="281AB6F5">
      <w:pPr>
        <w:spacing w:line="360" w:lineRule="auto"/>
        <w:rPr>
          <w:rFonts w:hint="eastAsia" w:ascii="宋体" w:hAnsi="宋体" w:eastAsia="宋体" w:cs="宋体"/>
          <w:b/>
          <w:color w:val="auto"/>
          <w:sz w:val="24"/>
          <w:szCs w:val="24"/>
          <w:highlight w:val="none"/>
        </w:rPr>
      </w:pPr>
    </w:p>
    <w:p w14:paraId="02113503">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w:t>
      </w:r>
    </w:p>
    <w:p w14:paraId="719EF78A">
      <w:pPr>
        <w:keepNext/>
        <w:keepLines/>
        <w:pageBreakBefore w:val="0"/>
        <w:widowControl w:val="0"/>
        <w:kinsoku/>
        <w:wordWrap/>
        <w:overflowPunct/>
        <w:topLinePunct w:val="0"/>
        <w:autoSpaceDE/>
        <w:autoSpaceDN/>
        <w:bidi w:val="0"/>
        <w:adjustRightInd/>
        <w:snapToGrid/>
        <w:spacing w:before="20" w:after="20" w:line="413" w:lineRule="auto"/>
        <w:jc w:val="center"/>
        <w:textAlignment w:val="auto"/>
        <w:outlineLvl w:val="9"/>
        <w:rPr>
          <w:rFonts w:hint="eastAsia" w:ascii="宋体" w:hAnsi="宋体" w:eastAsia="宋体" w:cs="宋体"/>
          <w:sz w:val="28"/>
          <w:szCs w:val="32"/>
          <w:lang w:val="en-US" w:eastAsia="zh-CN"/>
        </w:rPr>
      </w:pPr>
      <w:bookmarkStart w:id="1" w:name="_Toc32724"/>
      <w:bookmarkStart w:id="2" w:name="_Toc21155"/>
      <w:r>
        <w:rPr>
          <w:rFonts w:hint="eastAsia" w:ascii="宋体" w:hAnsi="宋体" w:eastAsia="宋体" w:cs="宋体"/>
          <w:sz w:val="28"/>
          <w:szCs w:val="32"/>
          <w:lang w:val="en-US" w:eastAsia="zh-CN"/>
        </w:rPr>
        <w:t>质保期服务计划</w:t>
      </w:r>
      <w:bookmarkEnd w:id="1"/>
      <w:bookmarkEnd w:id="2"/>
    </w:p>
    <w:p w14:paraId="5DBCBB0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rPr>
        <w:t>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河南中医药大学、信人建设管理有限公司  </w:t>
      </w:r>
    </w:p>
    <w:p w14:paraId="46647F87">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我单位</w:t>
      </w:r>
      <w:r>
        <w:rPr>
          <w:rFonts w:hint="eastAsia" w:ascii="宋体" w:hAnsi="宋体" w:eastAsia="宋体" w:cs="宋体"/>
          <w:sz w:val="24"/>
          <w:szCs w:val="24"/>
          <w:highlight w:val="none"/>
          <w:lang w:val="en-US" w:eastAsia="zh-CN"/>
        </w:rPr>
        <w:t>就</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u w:val="single"/>
          <w:lang w:val="en-US" w:eastAsia="zh-CN"/>
        </w:rPr>
        <w:t>河南中医药大学中药学平台设备购置项目</w:t>
      </w:r>
      <w:r>
        <w:rPr>
          <w:rFonts w:hint="eastAsia" w:ascii="宋体" w:hAnsi="宋体" w:eastAsia="宋体" w:cs="宋体"/>
          <w:sz w:val="24"/>
          <w:szCs w:val="24"/>
          <w:highlight w:val="none"/>
          <w:u w:val="single"/>
          <w:lang w:val="en-US" w:eastAsia="zh-CN"/>
        </w:rPr>
        <w:t>（二次）</w:t>
      </w:r>
      <w:r>
        <w:rPr>
          <w:rFonts w:hint="eastAsia" w:ascii="宋体" w:hAnsi="宋体" w:eastAsia="宋体" w:cs="宋体"/>
          <w:kern w:val="0"/>
          <w:sz w:val="24"/>
          <w:u w:val="single"/>
          <w:lang w:val="en-US" w:eastAsia="zh-CN"/>
        </w:rPr>
        <w:t xml:space="preserve"> </w:t>
      </w:r>
      <w:r>
        <w:rPr>
          <w:rFonts w:hint="eastAsia" w:ascii="宋体" w:hAnsi="宋体" w:eastAsia="宋体" w:cs="宋体"/>
          <w:bCs/>
          <w:color w:val="auto"/>
          <w:sz w:val="24"/>
          <w:szCs w:val="24"/>
          <w:highlight w:val="none"/>
          <w:lang w:eastAsia="zh-CN"/>
        </w:rPr>
        <w:t>（</w:t>
      </w:r>
      <w:r>
        <w:rPr>
          <w:rFonts w:hint="eastAsia" w:ascii="宋体" w:hAnsi="宋体" w:eastAsia="宋体" w:cs="宋体"/>
          <w:sz w:val="24"/>
          <w:szCs w:val="24"/>
          <w:highlight w:val="none"/>
          <w:lang w:val="en-US" w:eastAsia="zh-CN"/>
        </w:rPr>
        <w:t>项目名称</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的</w:t>
      </w:r>
      <w:r>
        <w:rPr>
          <w:rFonts w:hint="eastAsia" w:ascii="宋体" w:hAnsi="宋体" w:eastAsia="宋体" w:cs="宋体"/>
          <w:sz w:val="24"/>
          <w:szCs w:val="24"/>
          <w:highlight w:val="none"/>
        </w:rPr>
        <w:t>售后服务及质量保证承诺如下：</w:t>
      </w:r>
    </w:p>
    <w:p w14:paraId="243A773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sz w:val="24"/>
          <w:szCs w:val="24"/>
          <w:highlight w:val="none"/>
          <w:lang w:val="en-US" w:eastAsia="zh-CN"/>
        </w:rPr>
      </w:pPr>
      <w:bookmarkStart w:id="3" w:name="_Toc7717"/>
      <w:r>
        <w:rPr>
          <w:rFonts w:hint="eastAsia" w:ascii="宋体" w:hAnsi="宋体" w:eastAsia="宋体" w:cs="宋体"/>
          <w:b/>
          <w:bCs/>
          <w:sz w:val="24"/>
          <w:szCs w:val="24"/>
          <w:highlight w:val="none"/>
        </w:rPr>
        <w:t>A. 售后服务的内容、</w:t>
      </w:r>
      <w:bookmarkEnd w:id="3"/>
      <w:r>
        <w:rPr>
          <w:rFonts w:hint="eastAsia" w:ascii="宋体" w:hAnsi="宋体" w:eastAsia="宋体" w:cs="宋体"/>
          <w:b/>
          <w:bCs/>
          <w:sz w:val="24"/>
          <w:szCs w:val="24"/>
          <w:highlight w:val="none"/>
          <w:lang w:val="en-US" w:eastAsia="zh-CN"/>
        </w:rPr>
        <w:t>售后服务体系</w:t>
      </w:r>
    </w:p>
    <w:p w14:paraId="04C0FFDE">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bookmarkStart w:id="4" w:name="_Toc325044833"/>
      <w:bookmarkStart w:id="5" w:name="_Toc325044287"/>
      <w:bookmarkStart w:id="6" w:name="_Toc325045124"/>
      <w:bookmarkStart w:id="7" w:name="_Toc325044455"/>
      <w:bookmarkStart w:id="8" w:name="_Toc308163021"/>
      <w:bookmarkStart w:id="9" w:name="_Toc325018034"/>
      <w:bookmarkStart w:id="10" w:name="_Toc325044340"/>
      <w:bookmarkStart w:id="11" w:name="_Toc308163356"/>
      <w:bookmarkStart w:id="12" w:name="_Toc308166728"/>
      <w:r>
        <w:rPr>
          <w:rFonts w:hint="eastAsia" w:ascii="宋体" w:hAnsi="宋体" w:eastAsia="宋体" w:cs="宋体"/>
          <w:sz w:val="24"/>
          <w:szCs w:val="24"/>
          <w:highlight w:val="none"/>
        </w:rPr>
        <w:t>以下为我公司对项目的服务承诺、服务保障体系和服务方式，为本项目提供技术咨询、规划、维护、技术培训等全方位的服务。</w:t>
      </w:r>
    </w:p>
    <w:p w14:paraId="6583B5D3">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我司负责在项目正式交付用户使用的质保期内进行免费维护和技术咨询服务；最终提供一套完整的技术资料来为业主的管理人员进行全面的产品功能、技术性能参数、具体操作、简单维护等等各个方面的技术培训。</w:t>
      </w:r>
    </w:p>
    <w:p w14:paraId="29B8A89A">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在用户正式使用设备之前（即保修期的开始），我司将提供各个设备所需的备用材料及工具。在保修期内，我司将负责提供技术维修人员和维修工具，为定期维修保养选派技术熟练人员，并长期驻校，保证设备正常运行、万无一失。</w:t>
      </w:r>
    </w:p>
    <w:p w14:paraId="65FB2A0D">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对因产品质量造成的问题进行如下服务承诺：</w:t>
      </w:r>
      <w:r>
        <w:rPr>
          <w:rFonts w:hint="eastAsia" w:ascii="宋体" w:hAnsi="宋体" w:eastAsia="宋体" w:cs="宋体"/>
          <w:b/>
          <w:bCs/>
          <w:sz w:val="24"/>
          <w:szCs w:val="24"/>
          <w:highlight w:val="none"/>
          <w:lang w:val="en-US" w:eastAsia="zh-CN"/>
        </w:rPr>
        <w:t>所投设备</w:t>
      </w:r>
      <w:r>
        <w:rPr>
          <w:rFonts w:hint="eastAsia" w:ascii="宋体" w:hAnsi="宋体" w:eastAsia="宋体" w:cs="宋体"/>
          <w:b/>
          <w:sz w:val="24"/>
          <w:szCs w:val="24"/>
          <w:highlight w:val="none"/>
        </w:rPr>
        <w:t>质保期为</w:t>
      </w:r>
      <w:r>
        <w:rPr>
          <w:rFonts w:hint="eastAsia" w:ascii="宋体" w:hAnsi="宋体" w:eastAsia="宋体" w:cs="宋体"/>
          <w:b/>
          <w:bCs/>
          <w:sz w:val="24"/>
          <w:szCs w:val="24"/>
          <w:highlight w:val="none"/>
          <w:lang w:val="en-US" w:eastAsia="zh-CN"/>
        </w:rPr>
        <w:t>整机免费保修期国产货物三年，进口货物一年（自验收合格之日起）。</w:t>
      </w:r>
      <w:r>
        <w:rPr>
          <w:rFonts w:hint="eastAsia" w:ascii="宋体" w:hAnsi="宋体" w:eastAsia="宋体" w:cs="宋体"/>
          <w:sz w:val="24"/>
          <w:szCs w:val="24"/>
          <w:highlight w:val="none"/>
          <w:lang w:val="en-US" w:eastAsia="zh-CN"/>
        </w:rPr>
        <w:t>保修期内，出现任何软、硬件遗漏或故障，我公司免费提供或维修；因设备性能故障检修多次仍不能正常使用的，无偿更换新设备</w:t>
      </w:r>
      <w:r>
        <w:rPr>
          <w:rFonts w:hint="eastAsia" w:ascii="宋体" w:hAnsi="宋体" w:eastAsia="宋体" w:cs="宋体"/>
          <w:sz w:val="24"/>
          <w:szCs w:val="24"/>
          <w:highlight w:val="none"/>
        </w:rPr>
        <w:t>。</w:t>
      </w:r>
    </w:p>
    <w:p w14:paraId="6365465D">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我公司在郑州设有售后服务站，凡设备出现故障或者出现需要配合用户提供售后服务的情况，我方自接到</w:t>
      </w:r>
      <w:r>
        <w:rPr>
          <w:rFonts w:hint="eastAsia" w:ascii="宋体" w:hAnsi="宋体" w:eastAsia="宋体" w:cs="宋体"/>
          <w:sz w:val="24"/>
          <w:szCs w:val="24"/>
          <w:highlight w:val="none"/>
        </w:rPr>
        <w:t>用户报修</w:t>
      </w:r>
      <w:r>
        <w:rPr>
          <w:rFonts w:hint="eastAsia" w:ascii="宋体" w:hAnsi="宋体" w:eastAsia="宋体" w:cs="宋体"/>
          <w:sz w:val="24"/>
          <w:szCs w:val="24"/>
          <w:highlight w:val="none"/>
          <w:lang w:val="en-US" w:eastAsia="zh-CN"/>
        </w:rPr>
        <w:t>电话</w:t>
      </w:r>
      <w:r>
        <w:rPr>
          <w:rFonts w:hint="eastAsia" w:ascii="宋体" w:hAnsi="宋体" w:eastAsia="宋体" w:cs="宋体"/>
          <w:sz w:val="24"/>
          <w:szCs w:val="24"/>
          <w:highlight w:val="none"/>
        </w:rPr>
        <w:t>后</w:t>
      </w:r>
      <w:r>
        <w:rPr>
          <w:rFonts w:hint="eastAsia" w:ascii="宋体" w:hAnsi="宋体" w:eastAsia="宋体" w:cs="宋体"/>
          <w:sz w:val="24"/>
          <w:szCs w:val="24"/>
          <w:highlight w:val="none"/>
          <w:lang w:val="en-US" w:eastAsia="zh-CN"/>
        </w:rPr>
        <w:t>0.5小时内响应，12小时内到达现场解决问题。</w:t>
      </w:r>
      <w:r>
        <w:rPr>
          <w:rFonts w:hint="eastAsia" w:ascii="宋体" w:hAnsi="宋体" w:eastAsia="宋体" w:cs="宋体"/>
          <w:sz w:val="24"/>
          <w:szCs w:val="24"/>
          <w:highlight w:val="none"/>
        </w:rPr>
        <w:t>若不能在上述承诺的时间内解决问题，则在</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个工作日内提供与原问题货物同品牌规格型号的全新货物，直到原货物修复，期间产生的所有费用均有我单位承担。</w:t>
      </w:r>
    </w:p>
    <w:p w14:paraId="011A7081">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在</w:t>
      </w:r>
      <w:r>
        <w:rPr>
          <w:rFonts w:hint="eastAsia" w:ascii="宋体" w:hAnsi="宋体" w:eastAsia="宋体" w:cs="宋体"/>
          <w:sz w:val="24"/>
          <w:szCs w:val="24"/>
          <w:highlight w:val="none"/>
        </w:rPr>
        <w:t>质保期内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因</w:t>
      </w:r>
      <w:r>
        <w:rPr>
          <w:rFonts w:hint="eastAsia" w:ascii="宋体" w:hAnsi="宋体" w:eastAsia="宋体" w:cs="宋体"/>
          <w:sz w:val="24"/>
          <w:szCs w:val="24"/>
          <w:highlight w:val="none"/>
          <w:lang w:val="en-US" w:eastAsia="zh-CN"/>
        </w:rPr>
        <w:t>产品</w:t>
      </w:r>
      <w:r>
        <w:rPr>
          <w:rFonts w:hint="eastAsia" w:ascii="宋体" w:hAnsi="宋体" w:eastAsia="宋体" w:cs="宋体"/>
          <w:sz w:val="24"/>
          <w:szCs w:val="24"/>
          <w:highlight w:val="none"/>
        </w:rPr>
        <w:t>质量</w:t>
      </w:r>
      <w:r>
        <w:rPr>
          <w:rFonts w:hint="eastAsia" w:ascii="宋体" w:hAnsi="宋体" w:eastAsia="宋体" w:cs="宋体"/>
          <w:sz w:val="24"/>
          <w:szCs w:val="24"/>
          <w:highlight w:val="none"/>
          <w:lang w:val="en-US" w:eastAsia="zh-CN"/>
        </w:rPr>
        <w:t>造成的问题</w:t>
      </w:r>
      <w:r>
        <w:rPr>
          <w:rFonts w:hint="eastAsia" w:ascii="宋体" w:hAnsi="宋体" w:eastAsia="宋体" w:cs="宋体"/>
          <w:sz w:val="24"/>
          <w:szCs w:val="24"/>
          <w:highlight w:val="none"/>
        </w:rPr>
        <w:t>，我方</w:t>
      </w:r>
      <w:r>
        <w:rPr>
          <w:rFonts w:hint="eastAsia" w:ascii="宋体" w:hAnsi="宋体" w:eastAsia="宋体" w:cs="宋体"/>
          <w:sz w:val="24"/>
          <w:szCs w:val="24"/>
          <w:highlight w:val="none"/>
          <w:lang w:val="en-US" w:eastAsia="zh-CN"/>
        </w:rPr>
        <w:t>免费提供配件并现场维修，且所提供的任何零配件是其原设备厂家生产的或经其认可的</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产品存在质量问题，用户方有权要求我方换货。保修期</w:t>
      </w:r>
      <w:r>
        <w:rPr>
          <w:rFonts w:hint="eastAsia" w:ascii="宋体" w:hAnsi="宋体" w:eastAsia="宋体" w:cs="宋体"/>
          <w:sz w:val="24"/>
          <w:szCs w:val="24"/>
          <w:highlight w:val="none"/>
        </w:rPr>
        <w:t>外只收取</w:t>
      </w:r>
      <w:r>
        <w:rPr>
          <w:rFonts w:hint="eastAsia" w:ascii="宋体" w:hAnsi="宋体" w:eastAsia="宋体" w:cs="宋体"/>
          <w:sz w:val="24"/>
          <w:szCs w:val="24"/>
          <w:highlight w:val="none"/>
          <w:lang w:val="en-US" w:eastAsia="zh-CN"/>
        </w:rPr>
        <w:t>甲方零配件成本</w:t>
      </w:r>
      <w:r>
        <w:rPr>
          <w:rFonts w:hint="eastAsia" w:ascii="宋体" w:hAnsi="宋体" w:eastAsia="宋体" w:cs="宋体"/>
          <w:sz w:val="24"/>
          <w:szCs w:val="24"/>
          <w:highlight w:val="none"/>
        </w:rPr>
        <w:t>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其他免费</w:t>
      </w:r>
      <w:r>
        <w:rPr>
          <w:rFonts w:hint="eastAsia" w:ascii="宋体" w:hAnsi="宋体" w:eastAsia="宋体" w:cs="宋体"/>
          <w:sz w:val="24"/>
          <w:szCs w:val="24"/>
          <w:highlight w:val="none"/>
        </w:rPr>
        <w:t>。</w:t>
      </w:r>
    </w:p>
    <w:p w14:paraId="0F8C3799">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我公司提供免费现场安装、调试，设备安装调试完毕后一周内免费现场技术培训，终身免费提供远程技术指导</w:t>
      </w:r>
      <w:r>
        <w:rPr>
          <w:rFonts w:hint="eastAsia" w:ascii="宋体" w:hAnsi="宋体" w:eastAsia="宋体" w:cs="宋体"/>
          <w:sz w:val="24"/>
          <w:szCs w:val="24"/>
          <w:highlight w:val="none"/>
        </w:rPr>
        <w:t>。</w:t>
      </w:r>
    </w:p>
    <w:p w14:paraId="2DC24EF2">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我们售后</w:t>
      </w:r>
      <w:r>
        <w:rPr>
          <w:rFonts w:hint="eastAsia" w:ascii="宋体" w:hAnsi="宋体" w:eastAsia="宋体" w:cs="宋体"/>
          <w:sz w:val="24"/>
          <w:szCs w:val="24"/>
          <w:highlight w:val="none"/>
          <w:lang w:val="en-US" w:eastAsia="zh-CN"/>
        </w:rPr>
        <w:t>提供</w:t>
      </w:r>
      <w:r>
        <w:rPr>
          <w:rFonts w:hint="eastAsia" w:ascii="宋体" w:hAnsi="宋体" w:eastAsia="宋体" w:cs="宋体"/>
          <w:sz w:val="24"/>
          <w:szCs w:val="24"/>
          <w:highlight w:val="none"/>
        </w:rPr>
        <w:t>免费上门服务，售后人员在接到维修咨询电话后，查找原因，提出解决方案，并工作直至故障完全恢复正常为止。</w:t>
      </w:r>
    </w:p>
    <w:p w14:paraId="63062512">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我公司有责任对用户相关人员实施免费的现场培训、集中培训及消防演练等，保证用户相关人员能够独立操作、熟练使用、维护和管理有关设备。</w:t>
      </w:r>
    </w:p>
    <w:p w14:paraId="026C616B">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原厂保修：我司提供原厂保修承诺，且原厂家在本地设有专业的售后服务点：</w:t>
      </w:r>
    </w:p>
    <w:p w14:paraId="4FB418DE">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维修单位名称：</w:t>
      </w:r>
      <w:r>
        <w:rPr>
          <w:rFonts w:hint="eastAsia" w:ascii="宋体" w:hAnsi="宋体" w:eastAsia="宋体" w:cs="宋体"/>
          <w:sz w:val="24"/>
          <w:szCs w:val="24"/>
          <w:highlight w:val="none"/>
          <w:lang w:eastAsia="zh-CN"/>
        </w:rPr>
        <w:t>河南开荣启元商贸</w:t>
      </w:r>
      <w:r>
        <w:rPr>
          <w:rFonts w:hint="eastAsia" w:ascii="宋体" w:hAnsi="宋体" w:eastAsia="宋体" w:cs="宋体"/>
          <w:sz w:val="24"/>
          <w:szCs w:val="24"/>
          <w:highlight w:val="none"/>
        </w:rPr>
        <w:t>有限公司</w:t>
      </w:r>
    </w:p>
    <w:p w14:paraId="3C85C6B1">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专职售后人员：</w:t>
      </w:r>
      <w:r>
        <w:rPr>
          <w:rFonts w:hint="eastAsia" w:ascii="宋体" w:hAnsi="宋体" w:eastAsia="宋体" w:cs="宋体"/>
          <w:sz w:val="24"/>
          <w:szCs w:val="24"/>
          <w:highlight w:val="none"/>
          <w:lang w:val="en-US" w:eastAsia="zh-CN"/>
        </w:rPr>
        <w:t>曹丽敏</w:t>
      </w:r>
    </w:p>
    <w:p w14:paraId="6D9888F0">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电话：0371-63395009        </w:t>
      </w:r>
    </w:p>
    <w:p w14:paraId="260610C3">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传真：0371-63395009</w:t>
      </w:r>
    </w:p>
    <w:p w14:paraId="5A6A9160">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邮</w:t>
      </w:r>
      <w:r>
        <w:rPr>
          <w:rFonts w:hint="eastAsia" w:ascii="宋体" w:hAnsi="宋体" w:eastAsia="宋体" w:cs="宋体"/>
          <w:sz w:val="24"/>
          <w:szCs w:val="24"/>
          <w:highlight w:val="none"/>
          <w:lang w:val="en-US" w:eastAsia="zh-CN"/>
        </w:rPr>
        <w:t>箱</w:t>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"mailto:ptc01@126.com"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en-US" w:eastAsia="zh-CN"/>
        </w:rPr>
        <w:t>461369893</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qq</w:t>
      </w:r>
      <w:r>
        <w:rPr>
          <w:rFonts w:hint="eastAsia" w:ascii="宋体" w:hAnsi="宋体" w:eastAsia="宋体" w:cs="宋体"/>
          <w:sz w:val="24"/>
          <w:szCs w:val="24"/>
          <w:highlight w:val="none"/>
        </w:rPr>
        <w:t>.com</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w:t>
      </w:r>
    </w:p>
    <w:p w14:paraId="6195F0D0">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地点：</w:t>
      </w:r>
      <w:r>
        <w:rPr>
          <w:rFonts w:hint="eastAsia" w:ascii="宋体" w:hAnsi="宋体" w:eastAsia="宋体" w:cs="宋体"/>
          <w:sz w:val="24"/>
          <w:szCs w:val="24"/>
          <w:highlight w:val="none"/>
          <w:lang w:val="en-US" w:eastAsia="zh-CN"/>
        </w:rPr>
        <w:t xml:space="preserve">河南自贸试验区开封片区郑开大道298号自贸大厦B座506室 </w:t>
      </w:r>
    </w:p>
    <w:p w14:paraId="486A1E33">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相应服务：提供免费安装和培训，并且为推动产品在学校的应用提供技术支持和服务。我公司负责在项目现场免费为</w:t>
      </w:r>
      <w:r>
        <w:rPr>
          <w:rFonts w:hint="eastAsia" w:ascii="宋体" w:hAnsi="宋体" w:eastAsia="宋体" w:cs="宋体"/>
          <w:sz w:val="24"/>
          <w:szCs w:val="24"/>
          <w:highlight w:val="none"/>
          <w:lang w:val="en-US" w:eastAsia="zh-CN"/>
        </w:rPr>
        <w:t>用户</w:t>
      </w:r>
      <w:r>
        <w:rPr>
          <w:rFonts w:hint="eastAsia" w:ascii="宋体" w:hAnsi="宋体" w:eastAsia="宋体" w:cs="宋体"/>
          <w:sz w:val="24"/>
          <w:szCs w:val="24"/>
          <w:highlight w:val="none"/>
        </w:rPr>
        <w:t>培训</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名以上技术人员，使培训人员达到熟练掌握、灵活应用的程度。并负责对所提供产品的安装调试提供每日工作服务；为用户提供免费的电话咨询及技术服务。</w:t>
      </w:r>
    </w:p>
    <w:p w14:paraId="538D3366">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整个项目我方承诺所有软硬件设备均是从正规的、合法渠道采购，保证提供厂商原版的、原装的、全新的、未曾使用过的设备，其质量、规格及技术特征符合采购方要求。</w:t>
      </w:r>
    </w:p>
    <w:p w14:paraId="7252EDF8">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项目中所使用的所有设备及软件不侵犯任何第三方的专利、商标或版权，否则，本供应商承担对第三方专利或版权的侵权责任并承担因此而发生的一切费用。</w:t>
      </w:r>
    </w:p>
    <w:p w14:paraId="57CA8253">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我司提供维护保养服务主要涵盖以下内容：</w:t>
      </w:r>
    </w:p>
    <w:p w14:paraId="5493F1E1">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1）为保持设备的正常运行，对设备进行维修或更换的工作。</w:t>
      </w:r>
    </w:p>
    <w:p w14:paraId="0AE2F93B">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2）提供维修保养记录书，并将设备的运行状态信息、维护信息；</w:t>
      </w:r>
    </w:p>
    <w:p w14:paraId="53DC78E0">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3）定期</w:t>
      </w:r>
      <w:r>
        <w:rPr>
          <w:rFonts w:hint="eastAsia" w:ascii="宋体" w:hAnsi="宋体" w:eastAsia="宋体" w:cs="宋体"/>
          <w:sz w:val="24"/>
          <w:szCs w:val="24"/>
          <w:highlight w:val="none"/>
          <w:lang w:val="en-US" w:eastAsia="zh-CN"/>
        </w:rPr>
        <w:t>安排</w:t>
      </w:r>
      <w:r>
        <w:rPr>
          <w:rFonts w:hint="eastAsia" w:ascii="宋体" w:hAnsi="宋体" w:eastAsia="宋体" w:cs="宋体"/>
          <w:sz w:val="24"/>
          <w:szCs w:val="24"/>
          <w:highlight w:val="none"/>
        </w:rPr>
        <w:t>维修及检查：对所有设备进行例行检查，发现不正常运行及时维修维护；</w:t>
      </w:r>
    </w:p>
    <w:p w14:paraId="6BBFAF7F">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4）提供设备软件升级服务工作；</w:t>
      </w:r>
    </w:p>
    <w:p w14:paraId="51851248">
      <w:pPr>
        <w:keepNext w:val="0"/>
        <w:keepLines w:val="0"/>
        <w:pageBreakBefore w:val="0"/>
        <w:widowControl w:val="0"/>
        <w:tabs>
          <w:tab w:val="left" w:pos="210"/>
        </w:tabs>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5）在设备正式投入使用前</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后，我司都会安排现场人员作指导及操作等工作。</w:t>
      </w:r>
    </w:p>
    <w:p w14:paraId="735EDD33">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技术支持</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本公司客户服务中心向用户提供全年365天，每周7天，每天24小时的电话技术支持。</w:t>
      </w:r>
    </w:p>
    <w:p w14:paraId="294C275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sz w:val="24"/>
          <w:szCs w:val="24"/>
          <w:highlight w:val="none"/>
        </w:rPr>
      </w:pPr>
      <w:bookmarkStart w:id="13" w:name="_Toc867"/>
      <w:bookmarkStart w:id="14" w:name="_Toc10542569"/>
      <w:r>
        <w:rPr>
          <w:rFonts w:hint="eastAsia" w:ascii="宋体" w:hAnsi="宋体" w:eastAsia="宋体" w:cs="宋体"/>
          <w:b/>
          <w:bCs/>
          <w:sz w:val="24"/>
          <w:szCs w:val="24"/>
          <w:highlight w:val="none"/>
        </w:rPr>
        <w:t>B. 解决质量或操作问题的</w:t>
      </w:r>
      <w:r>
        <w:rPr>
          <w:rFonts w:hint="eastAsia" w:ascii="宋体" w:hAnsi="宋体" w:eastAsia="宋体" w:cs="宋体"/>
          <w:b/>
          <w:bCs/>
          <w:sz w:val="24"/>
          <w:szCs w:val="24"/>
          <w:highlight w:val="none"/>
          <w:lang w:val="en-US" w:eastAsia="zh-CN"/>
        </w:rPr>
        <w:t>故障</w:t>
      </w:r>
      <w:r>
        <w:rPr>
          <w:rFonts w:hint="eastAsia" w:ascii="宋体" w:hAnsi="宋体" w:eastAsia="宋体" w:cs="宋体"/>
          <w:b/>
          <w:bCs/>
          <w:sz w:val="24"/>
          <w:szCs w:val="24"/>
          <w:highlight w:val="none"/>
        </w:rPr>
        <w:t>响应时间、解决问题时间</w:t>
      </w:r>
      <w:bookmarkEnd w:id="13"/>
      <w:bookmarkEnd w:id="14"/>
    </w:p>
    <w:p w14:paraId="6B45738B">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bookmarkStart w:id="15" w:name="_Toc10542570"/>
      <w:r>
        <w:rPr>
          <w:rFonts w:hint="eastAsia" w:ascii="宋体" w:hAnsi="宋体" w:eastAsia="宋体" w:cs="宋体"/>
          <w:sz w:val="24"/>
          <w:szCs w:val="24"/>
          <w:highlight w:val="none"/>
          <w:lang w:val="en-US" w:eastAsia="zh-CN"/>
        </w:rPr>
        <w:t>我方自接到</w:t>
      </w:r>
      <w:r>
        <w:rPr>
          <w:rFonts w:hint="eastAsia" w:ascii="宋体" w:hAnsi="宋体" w:eastAsia="宋体" w:cs="宋体"/>
          <w:sz w:val="24"/>
          <w:szCs w:val="24"/>
          <w:highlight w:val="none"/>
        </w:rPr>
        <w:t>用户报修</w:t>
      </w:r>
      <w:r>
        <w:rPr>
          <w:rFonts w:hint="eastAsia" w:ascii="宋体" w:hAnsi="宋体" w:eastAsia="宋体" w:cs="宋体"/>
          <w:sz w:val="24"/>
          <w:szCs w:val="24"/>
          <w:highlight w:val="none"/>
          <w:lang w:val="en-US" w:eastAsia="zh-CN"/>
        </w:rPr>
        <w:t>电话</w:t>
      </w:r>
      <w:r>
        <w:rPr>
          <w:rFonts w:hint="eastAsia" w:ascii="宋体" w:hAnsi="宋体" w:eastAsia="宋体" w:cs="宋体"/>
          <w:sz w:val="24"/>
          <w:szCs w:val="24"/>
          <w:highlight w:val="none"/>
        </w:rPr>
        <w:t>后</w:t>
      </w:r>
      <w:r>
        <w:rPr>
          <w:rFonts w:hint="eastAsia" w:ascii="宋体" w:hAnsi="宋体" w:eastAsia="宋体" w:cs="宋体"/>
          <w:sz w:val="24"/>
          <w:szCs w:val="24"/>
          <w:highlight w:val="none"/>
          <w:lang w:val="en-US" w:eastAsia="zh-CN"/>
        </w:rPr>
        <w:t>0.5小时内响应，12小时内到达现场解决问题</w:t>
      </w:r>
      <w:r>
        <w:rPr>
          <w:rFonts w:hint="eastAsia" w:ascii="宋体" w:hAnsi="宋体" w:eastAsia="宋体" w:cs="宋体"/>
          <w:sz w:val="24"/>
          <w:szCs w:val="24"/>
          <w:highlight w:val="none"/>
        </w:rPr>
        <w:t>。若不能在上述承诺的时间内解决问题，则在</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个工作日内提供与原问题货物同品牌规格型号的全新货物，直到原货物修复，期间产生的所有费用均有我单位承担。</w:t>
      </w:r>
    </w:p>
    <w:p w14:paraId="65432B9C">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sz w:val="24"/>
          <w:szCs w:val="24"/>
          <w:highlight w:val="none"/>
        </w:rPr>
      </w:pPr>
      <w:bookmarkStart w:id="16" w:name="_Toc32536"/>
      <w:r>
        <w:rPr>
          <w:rFonts w:hint="eastAsia" w:ascii="宋体" w:hAnsi="宋体" w:eastAsia="宋体" w:cs="宋体"/>
          <w:b/>
          <w:bCs/>
          <w:sz w:val="24"/>
          <w:szCs w:val="24"/>
          <w:highlight w:val="none"/>
        </w:rPr>
        <w:t>C. 维修单位名称、地点</w:t>
      </w:r>
      <w:bookmarkEnd w:id="15"/>
      <w:bookmarkEnd w:id="16"/>
    </w:p>
    <w:p w14:paraId="5214CB51">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维修单位名称：</w:t>
      </w:r>
      <w:r>
        <w:rPr>
          <w:rFonts w:hint="eastAsia" w:ascii="宋体" w:hAnsi="宋体" w:eastAsia="宋体" w:cs="宋体"/>
          <w:sz w:val="24"/>
          <w:szCs w:val="24"/>
          <w:highlight w:val="none"/>
          <w:lang w:eastAsia="zh-CN"/>
        </w:rPr>
        <w:t>河南开荣启元商贸</w:t>
      </w:r>
      <w:r>
        <w:rPr>
          <w:rFonts w:hint="eastAsia" w:ascii="宋体" w:hAnsi="宋体" w:eastAsia="宋体" w:cs="宋体"/>
          <w:sz w:val="24"/>
          <w:szCs w:val="24"/>
          <w:highlight w:val="none"/>
        </w:rPr>
        <w:t>有限公司</w:t>
      </w:r>
    </w:p>
    <w:p w14:paraId="0849EBB0">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专职售后人员：</w:t>
      </w:r>
      <w:r>
        <w:rPr>
          <w:rFonts w:hint="eastAsia" w:ascii="宋体" w:hAnsi="宋体" w:eastAsia="宋体" w:cs="宋体"/>
          <w:sz w:val="24"/>
          <w:szCs w:val="24"/>
          <w:highlight w:val="none"/>
          <w:lang w:val="en-US" w:eastAsia="zh-CN"/>
        </w:rPr>
        <w:t>曹丽敏</w:t>
      </w:r>
    </w:p>
    <w:p w14:paraId="328CFC00">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lang w:val="en-US" w:eastAsia="zh-CN"/>
        </w:rPr>
        <w:t xml:space="preserve">0371-63395009        </w:t>
      </w:r>
    </w:p>
    <w:p w14:paraId="4F623ACE">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传真：0371-63395009</w:t>
      </w:r>
    </w:p>
    <w:p w14:paraId="6C1E97A4">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邮件：</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"mailto:ptc01@126.com"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en-US" w:eastAsia="zh-CN"/>
        </w:rPr>
        <w:t>461369893</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qq</w:t>
      </w:r>
      <w:r>
        <w:rPr>
          <w:rFonts w:hint="eastAsia" w:ascii="宋体" w:hAnsi="宋体" w:eastAsia="宋体" w:cs="宋体"/>
          <w:sz w:val="24"/>
          <w:szCs w:val="24"/>
          <w:highlight w:val="none"/>
        </w:rPr>
        <w:t>.com</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w:t>
      </w:r>
    </w:p>
    <w:p w14:paraId="7704A429">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地点：</w:t>
      </w:r>
      <w:r>
        <w:rPr>
          <w:rFonts w:hint="eastAsia" w:ascii="宋体" w:hAnsi="宋体" w:eastAsia="宋体" w:cs="宋体"/>
          <w:sz w:val="24"/>
          <w:szCs w:val="24"/>
          <w:highlight w:val="none"/>
          <w:lang w:val="en-US" w:eastAsia="zh-CN"/>
        </w:rPr>
        <w:t>河南自贸试验区开封片区郑开大道298号自贸大厦B座506室</w:t>
      </w:r>
    </w:p>
    <w:p w14:paraId="18A24096">
      <w:pPr>
        <w:keepNext w:val="0"/>
        <w:keepLines w:val="0"/>
        <w:pageBreakBefore w:val="0"/>
        <w:widowControl w:val="0"/>
        <w:tabs>
          <w:tab w:val="left" w:pos="210"/>
        </w:tabs>
        <w:kinsoku/>
        <w:wordWrap/>
        <w:overflowPunct/>
        <w:topLinePunct w:val="0"/>
        <w:autoSpaceDE/>
        <w:autoSpaceDN/>
        <w:bidi w:val="0"/>
        <w:adjustRightInd/>
        <w:snapToGrid/>
        <w:spacing w:line="520" w:lineRule="exact"/>
        <w:textAlignment w:val="auto"/>
        <w:rPr>
          <w:rFonts w:hint="eastAsia" w:ascii="宋体" w:hAnsi="宋体" w:eastAsia="宋体" w:cs="宋体"/>
          <w:b/>
          <w:bCs/>
          <w:sz w:val="24"/>
          <w:szCs w:val="24"/>
          <w:highlight w:val="none"/>
        </w:rPr>
      </w:pPr>
      <w:bookmarkStart w:id="17" w:name="_Toc9498"/>
      <w:bookmarkStart w:id="18" w:name="_Toc10542571"/>
      <w:r>
        <w:rPr>
          <w:rFonts w:hint="eastAsia" w:ascii="宋体" w:hAnsi="宋体" w:eastAsia="宋体" w:cs="宋体"/>
          <w:b/>
          <w:bCs/>
          <w:sz w:val="24"/>
          <w:szCs w:val="24"/>
          <w:highlight w:val="none"/>
        </w:rPr>
        <w:t>D. 技术培训、质量保证措施</w:t>
      </w:r>
      <w:bookmarkEnd w:id="17"/>
      <w:bookmarkEnd w:id="18"/>
    </w:p>
    <w:p w14:paraId="4EAC97FF">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lang w:val="en-US" w:eastAsia="zh-CN"/>
        </w:rPr>
        <w:t>一、</w:t>
      </w:r>
      <w:r>
        <w:rPr>
          <w:rFonts w:hint="eastAsia" w:ascii="宋体" w:hAnsi="宋体" w:eastAsia="宋体" w:cs="宋体"/>
          <w:b w:val="0"/>
          <w:bCs/>
          <w:sz w:val="24"/>
          <w:szCs w:val="24"/>
          <w:highlight w:val="none"/>
        </w:rPr>
        <w:t>详细技术培训计划</w:t>
      </w:r>
    </w:p>
    <w:p w14:paraId="335C34D5">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 w:val="0"/>
          <w:bCs/>
          <w:sz w:val="24"/>
          <w:szCs w:val="24"/>
          <w:highlight w:val="none"/>
          <w:lang w:val="en-US" w:eastAsia="zh-CN"/>
        </w:rPr>
      </w:pPr>
      <w:bookmarkStart w:id="19" w:name="_Toc485043115"/>
      <w:bookmarkStart w:id="20" w:name="_Toc508904268"/>
      <w:bookmarkStart w:id="21" w:name="_Toc515914217"/>
      <w:bookmarkStart w:id="22" w:name="_Toc10542572"/>
      <w:bookmarkStart w:id="23" w:name="_Toc21861"/>
      <w:bookmarkStart w:id="24" w:name="_Toc501987966"/>
      <w:r>
        <w:rPr>
          <w:rFonts w:hint="eastAsia" w:ascii="宋体" w:hAnsi="宋体" w:eastAsia="宋体" w:cs="宋体"/>
          <w:b w:val="0"/>
          <w:bCs/>
          <w:sz w:val="24"/>
          <w:szCs w:val="24"/>
          <w:highlight w:val="none"/>
          <w:lang w:val="en-US" w:eastAsia="zh-CN"/>
        </w:rPr>
        <w:t xml:space="preserve">设备正常运行验收后，我公司负责在项目现场为贵单位提供2天以上不受人员限制的维修和使用操作培训：为用户单位培训3名或3名以上设备维护人员或者维修人员，使管理人员能够熟练进行日常维护与一般故障的处理。 </w:t>
      </w:r>
    </w:p>
    <w:p w14:paraId="778C26BD">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 xml:space="preserve">1、培训内容 </w:t>
      </w:r>
    </w:p>
    <w:p w14:paraId="117E0F95">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 xml:space="preserve">针对本项目，我公司对用户方的技术人员提供包括系统管理、数控编程等培训内容，使用户方的相关人员能掌握关系设备的使用、维护和管理，达到能独立进行使用、故障处理、日常维护等工作的目的，以保障所提供的设备能够正常、安全的运行。 </w:t>
      </w:r>
    </w:p>
    <w:p w14:paraId="30A5AA6B">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 xml:space="preserve">☆ 正确使用 </w:t>
      </w:r>
    </w:p>
    <w:p w14:paraId="73E44DB2">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 识别初级故障及必要的恢复方法</w:t>
      </w:r>
    </w:p>
    <w:p w14:paraId="68BDE058">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 xml:space="preserve">☆ 系统各项功能的应用 </w:t>
      </w:r>
    </w:p>
    <w:p w14:paraId="1B4D9F45">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 xml:space="preserve">☆ 常见故障排除方法 </w:t>
      </w:r>
    </w:p>
    <w:p w14:paraId="07CDA363">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2、 培训方式</w:t>
      </w:r>
    </w:p>
    <w:p w14:paraId="391950F3">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 xml:space="preserve">培训方式分为实施前培训和现场培训2种。实施前培训主要是在现场对管理人员进行产品基本管理、使用、维护相关知识的培训。现场培训的形式为课堂讲授，然后在设备上实际操作。我公司将选派有教学经验的工程师进行此次培训，确保培训圆满成功。培训完成后，由我公司填写统一的培训记录和培训调查表。 </w:t>
      </w:r>
    </w:p>
    <w:p w14:paraId="3F58EEA4">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 xml:space="preserve">3.最终验收测试 </w:t>
      </w:r>
    </w:p>
    <w:p w14:paraId="66E99D2F">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 xml:space="preserve">所有设备完成安装调试后，双方即可进行验收测试。所有的设备基本功能技术性能符合指标后，双方即可签署设备验收合格书。 </w:t>
      </w:r>
    </w:p>
    <w:p w14:paraId="3E73624B">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 xml:space="preserve">我公司一贯非常重视为客户提供优质的售后服务，以支持我们客户的成功。本公司技术人员素质高，其服务质量、效率、态度各方面都得到国内客户的好评。为了确保我公司所供设备的优质运行，本公司愿为用户的整套系统提供高质量的维护服务。 </w:t>
      </w:r>
    </w:p>
    <w:p w14:paraId="6387B70A">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 xml:space="preserve">二、性能保证 </w:t>
      </w:r>
    </w:p>
    <w:p w14:paraId="186B4036">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 xml:space="preserve">我公司确保所提供的项目实施方案及提供的设备材料的完整性和可用性，保证系统能够投入正常运行。若出现由于我公司提供的设备材料不能满足要求或提供的技术支持和服务不全面而导致系统功能无法实现或不能完全实现，则由我公司负担全部责任。 </w:t>
      </w:r>
    </w:p>
    <w:p w14:paraId="46553495">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 xml:space="preserve">用户方可以根据技术规范实施测试以检验系统是否满足要求。我公司工程技术人员将在现场并予以协助及监管测试。 </w:t>
      </w:r>
    </w:p>
    <w:p w14:paraId="71B538A9">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三、质量保证</w:t>
      </w:r>
    </w:p>
    <w:p w14:paraId="0A63F1FD">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b w:val="0"/>
          <w:bCs/>
          <w:sz w:val="24"/>
          <w:szCs w:val="24"/>
          <w:highlight w:val="none"/>
          <w:lang w:val="en-US" w:eastAsia="zh-CN"/>
        </w:rPr>
        <w:t>我公司确保提供产品完全符合</w:t>
      </w:r>
      <w:r>
        <w:rPr>
          <w:rFonts w:hint="eastAsia" w:ascii="宋体" w:hAnsi="宋体" w:eastAsia="宋体" w:cs="宋体"/>
          <w:sz w:val="24"/>
          <w:szCs w:val="24"/>
          <w:highlight w:val="none"/>
          <w:lang w:val="en-US" w:eastAsia="zh-CN"/>
        </w:rPr>
        <w:t>设计、工程、材料和工艺上的要求，不存在产品质量问题的缺陷。所供货物完全是新的、未使用过的，涉及到的配件全都是标准的配件。</w:t>
      </w:r>
    </w:p>
    <w:p w14:paraId="6AE39CBB">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我公司确保所供货物，在正常使用和保养情况下，在其使用寿命期内，能够完全满足技术规范所规定的性能、可靠性和扩展性。</w:t>
      </w:r>
    </w:p>
    <w:p w14:paraId="1A008255">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我公司确保按照售后服务条款及时响应对货物的维修和有缺陷货物更换的要求。</w:t>
      </w:r>
    </w:p>
    <w:p w14:paraId="12D59294">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E. 该项目所提供的其他免费物品或服务</w:t>
      </w:r>
      <w:bookmarkEnd w:id="19"/>
      <w:bookmarkEnd w:id="20"/>
      <w:bookmarkEnd w:id="21"/>
      <w:bookmarkEnd w:id="22"/>
      <w:bookmarkEnd w:id="23"/>
      <w:bookmarkEnd w:id="24"/>
    </w:p>
    <w:p w14:paraId="32BB03EE">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bookmarkStart w:id="25" w:name="_Toc485043116"/>
      <w:r>
        <w:rPr>
          <w:rFonts w:hint="eastAsia" w:ascii="宋体" w:hAnsi="宋体" w:eastAsia="宋体" w:cs="宋体"/>
          <w:sz w:val="24"/>
          <w:szCs w:val="24"/>
          <w:highlight w:val="none"/>
        </w:rPr>
        <w:t>该项目所提供的其他免费物品或服务：</w:t>
      </w:r>
    </w:p>
    <w:p w14:paraId="588A97C4">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1）售后培训完全免费；</w:t>
      </w:r>
    </w:p>
    <w:p w14:paraId="3DFF14DA">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2）质保期内售后维修等完全免费；</w:t>
      </w:r>
    </w:p>
    <w:p w14:paraId="732EA41C">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3）软件终身免费升级；</w:t>
      </w:r>
    </w:p>
    <w:p w14:paraId="34A3B2B1">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4）免费</w:t>
      </w:r>
      <w:r>
        <w:rPr>
          <w:rFonts w:hint="eastAsia" w:ascii="宋体" w:hAnsi="宋体" w:eastAsia="宋体" w:cs="宋体"/>
          <w:sz w:val="24"/>
          <w:szCs w:val="24"/>
          <w:highlight w:val="none"/>
          <w:lang w:val="en-US" w:eastAsia="zh-CN"/>
        </w:rPr>
        <w:t>提供</w:t>
      </w:r>
      <w:r>
        <w:rPr>
          <w:rFonts w:hint="eastAsia" w:ascii="宋体" w:hAnsi="宋体" w:eastAsia="宋体" w:cs="宋体"/>
          <w:sz w:val="24"/>
          <w:szCs w:val="24"/>
          <w:highlight w:val="none"/>
        </w:rPr>
        <w:t>7x24小时电话服务；</w:t>
      </w:r>
    </w:p>
    <w:p w14:paraId="34E451CC">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5）赠送全套培训资料。</w:t>
      </w:r>
    </w:p>
    <w:bookmarkEnd w:id="4"/>
    <w:bookmarkEnd w:id="5"/>
    <w:bookmarkEnd w:id="6"/>
    <w:bookmarkEnd w:id="7"/>
    <w:bookmarkEnd w:id="8"/>
    <w:bookmarkEnd w:id="9"/>
    <w:bookmarkEnd w:id="10"/>
    <w:bookmarkEnd w:id="11"/>
    <w:bookmarkEnd w:id="12"/>
    <w:bookmarkEnd w:id="25"/>
    <w:p w14:paraId="09764F28">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sz w:val="24"/>
          <w:szCs w:val="24"/>
          <w:highlight w:val="none"/>
        </w:rPr>
      </w:pPr>
      <w:bookmarkStart w:id="26" w:name="_Toc515914220"/>
      <w:bookmarkStart w:id="27" w:name="_Toc10542573"/>
      <w:bookmarkStart w:id="28" w:name="_Toc501987969"/>
      <w:bookmarkStart w:id="29" w:name="_Toc508904271"/>
      <w:bookmarkStart w:id="30" w:name="_Toc21633"/>
      <w:r>
        <w:rPr>
          <w:rFonts w:hint="eastAsia" w:ascii="宋体" w:hAnsi="宋体" w:eastAsia="宋体" w:cs="宋体"/>
          <w:b/>
          <w:bCs/>
          <w:sz w:val="24"/>
          <w:szCs w:val="24"/>
          <w:highlight w:val="none"/>
        </w:rPr>
        <w:t>F. 驻校维护方案</w:t>
      </w:r>
      <w:bookmarkEnd w:id="26"/>
      <w:bookmarkEnd w:id="27"/>
      <w:bookmarkEnd w:id="28"/>
      <w:bookmarkEnd w:id="29"/>
      <w:bookmarkEnd w:id="30"/>
    </w:p>
    <w:p w14:paraId="1A75B614">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项目验收阶段驻校维护方案：我司负责在项目正式交付用户使用的质保期内进行免费维护和技术咨询服务；最终提供一套完整的技术资料来为业主的管理人员进行全面的产品功能、技术性能参数、具体操作、简单维护等等各个方面的技术培训。</w:t>
      </w:r>
    </w:p>
    <w:p w14:paraId="7386B62E">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时间安排：设备验收合格后，用户正式使用之前（即保修期的开始），依据本项目实际情况，安排5-8天为驻校时间；</w:t>
      </w:r>
    </w:p>
    <w:p w14:paraId="137E8932">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人员安排：我司将负责提供技术维修人员，包括我司技术人员及厂家技术人员，双方共同协助完成设备使用前的维护；我司将安排专职技术人员驻校，由技术工程师沈鹏带队，组成六人人小组，对整个驻校维护工作全面负责；</w:t>
      </w:r>
    </w:p>
    <w:p w14:paraId="1E5BB007">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技术支持：我公司派遣专业工程师到现场安装调试相关设备和系统，客户有关技术人员在现场观看和学习，并教会实际操作，对学习产生的问题随即解答，受培训人数不限，也根据客户的具体要求和不同层次的实际掌握基础可单独进行点对点培训。</w:t>
      </w:r>
    </w:p>
    <w:p w14:paraId="34054917">
      <w:pPr>
        <w:keepNext w:val="0"/>
        <w:keepLines w:val="0"/>
        <w:pageBreakBefore w:val="0"/>
        <w:widowControl w:val="0"/>
        <w:tabs>
          <w:tab w:val="left" w:pos="210"/>
        </w:tabs>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无论是什么方面的、以何种形式进行的培训，作为验收规程在培训方面上的具体体现，我们都有相应形式的考核，从而增进培训的效果，提高培训的质量。保证设备正常运行、万无一失。</w:t>
      </w:r>
    </w:p>
    <w:p w14:paraId="50127C47">
      <w:pPr>
        <w:pStyle w:val="9"/>
        <w:keepNext w:val="0"/>
        <w:keepLines w:val="0"/>
        <w:pageBreakBefore w:val="0"/>
        <w:widowControl w:val="0"/>
        <w:numPr>
          <w:ilvl w:val="0"/>
          <w:numId w:val="1"/>
        </w:numPr>
        <w:tabs>
          <w:tab w:val="left" w:pos="210"/>
        </w:tabs>
        <w:kinsoku/>
        <w:wordWrap/>
        <w:overflowPunct/>
        <w:topLinePunct w:val="0"/>
        <w:autoSpaceDE/>
        <w:autoSpaceDN/>
        <w:bidi w:val="0"/>
        <w:adjustRightInd/>
        <w:snapToGrid/>
        <w:spacing w:line="520" w:lineRule="exact"/>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质保期内驻校维护方案：项目验收合格，技术培训结束后，我公司将对于本次投标所提供的产品，提供两次以上的定期电话回访，及时发现问题，解决问题。依据问题难易程度，选择驻校回访，在回访中，我们的服务工程师将对设备使用人员进行简单的日常维护常识培训。</w:t>
      </w:r>
    </w:p>
    <w:p w14:paraId="1E51D28F">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专职驻校售后人</w:t>
      </w:r>
      <w:r>
        <w:rPr>
          <w:rFonts w:hint="eastAsia" w:ascii="宋体" w:hAnsi="宋体" w:eastAsia="宋体" w:cs="宋体"/>
          <w:sz w:val="24"/>
          <w:szCs w:val="24"/>
          <w:highlight w:val="none"/>
          <w:lang w:val="en-US" w:eastAsia="zh-CN"/>
        </w:rPr>
        <w:t>员</w:t>
      </w: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lang w:val="en-US" w:eastAsia="zh-CN"/>
        </w:rPr>
        <w:t>18703807810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邮箱</w:t>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"mailto:ptc01@126.com"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en-US" w:eastAsia="zh-CN"/>
        </w:rPr>
        <w:t>461369893</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qq</w:t>
      </w:r>
      <w:r>
        <w:rPr>
          <w:rFonts w:hint="eastAsia" w:ascii="宋体" w:hAnsi="宋体" w:eastAsia="宋体" w:cs="宋体"/>
          <w:sz w:val="24"/>
          <w:szCs w:val="24"/>
          <w:highlight w:val="none"/>
        </w:rPr>
        <w:t>.com</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w:t>
      </w:r>
      <w:bookmarkStart w:id="31" w:name="_Toc501987970"/>
      <w:bookmarkStart w:id="32" w:name="_Toc508904272"/>
    </w:p>
    <w:p w14:paraId="2856EF2B">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sz w:val="24"/>
          <w:szCs w:val="24"/>
          <w:highlight w:val="none"/>
        </w:rPr>
      </w:pPr>
      <w:bookmarkStart w:id="33" w:name="_Toc10542574"/>
      <w:bookmarkStart w:id="34" w:name="_Toc515914221"/>
      <w:bookmarkStart w:id="35" w:name="_Toc613"/>
      <w:r>
        <w:rPr>
          <w:rFonts w:hint="eastAsia" w:ascii="宋体" w:hAnsi="宋体" w:eastAsia="宋体" w:cs="宋体"/>
          <w:b/>
          <w:bCs/>
          <w:sz w:val="24"/>
          <w:szCs w:val="24"/>
          <w:highlight w:val="none"/>
        </w:rPr>
        <w:t>G. 本地化服务方案</w:t>
      </w:r>
      <w:bookmarkEnd w:id="31"/>
      <w:bookmarkEnd w:id="32"/>
      <w:bookmarkEnd w:id="33"/>
      <w:bookmarkEnd w:id="34"/>
      <w:bookmarkEnd w:id="35"/>
    </w:p>
    <w:p w14:paraId="1C183115">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我们将在项目质保期内和质保期外，提供全方位的本地化服务，用最好的服务、最快的速度，为用户提供最可靠的保障。</w:t>
      </w:r>
    </w:p>
    <w:p w14:paraId="24BFD237">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由于本地化的服务体系，使我们的服务响应和到故障现场时间更及时迅速，保证设备的正常运转。同时我们在本项目的核心设备都得到了原厂家的授权，在质量保证期内还能得到原厂家的超值服务。</w:t>
      </w:r>
    </w:p>
    <w:p w14:paraId="1522417C">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sz w:val="24"/>
          <w:szCs w:val="24"/>
          <w:highlight w:val="none"/>
          <w:lang w:val="en-US" w:eastAsia="zh-CN"/>
        </w:rPr>
      </w:pPr>
      <w:bookmarkStart w:id="36" w:name="_Toc10542575"/>
      <w:bookmarkStart w:id="37" w:name="_Toc9599"/>
      <w:r>
        <w:rPr>
          <w:rFonts w:hint="eastAsia" w:ascii="宋体" w:hAnsi="宋体" w:eastAsia="宋体" w:cs="宋体"/>
          <w:b/>
          <w:bCs/>
          <w:sz w:val="24"/>
          <w:szCs w:val="24"/>
          <w:highlight w:val="none"/>
        </w:rPr>
        <w:t xml:space="preserve">H. </w:t>
      </w:r>
      <w:r>
        <w:rPr>
          <w:rFonts w:hint="eastAsia" w:ascii="宋体" w:hAnsi="宋体" w:eastAsia="宋体" w:cs="宋体"/>
          <w:b/>
          <w:bCs/>
          <w:sz w:val="24"/>
          <w:szCs w:val="24"/>
          <w:highlight w:val="none"/>
          <w:lang w:val="en-US" w:eastAsia="zh-CN"/>
        </w:rPr>
        <w:t>备品备件供应</w:t>
      </w:r>
    </w:p>
    <w:p w14:paraId="70A9BC66">
      <w:pPr>
        <w:pStyle w:val="4"/>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我公司与投标产品的生产厂商多年以来建立了长期稳定的合作关系，有稳定的备品备件供应渠道，并且定期与他们沟通协调，保持联系，了解备品备件的供应和库存情况，保证货源充足，满足用户的使用需求。同时，我公司对所提供的备品备件进行检验和测试，确保质量符合国家检测标准。</w:t>
      </w:r>
    </w:p>
    <w:p w14:paraId="69806785">
      <w:pPr>
        <w:keepNext w:val="0"/>
        <w:keepLines w:val="0"/>
        <w:pageBreakBefore w:val="0"/>
        <w:widowControl w:val="0"/>
        <w:numPr>
          <w:ilvl w:val="0"/>
          <w:numId w:val="2"/>
        </w:numPr>
        <w:kinsoku/>
        <w:wordWrap/>
        <w:overflowPunct/>
        <w:topLinePunct w:val="0"/>
        <w:autoSpaceDE/>
        <w:autoSpaceDN/>
        <w:bidi w:val="0"/>
        <w:adjustRightInd/>
        <w:snapToGrid/>
        <w:spacing w:line="520" w:lineRule="exac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应急维修保障措施</w:t>
      </w:r>
    </w:p>
    <w:p w14:paraId="305BC371">
      <w:pPr>
        <w:pStyle w:val="4"/>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组建应急维修团队：我公司挑选具备丰富维修经验、专业技能和良好沟通协作能力的人员组成专门的应急维修团队，团队成员熟悉各类产品或设备的结构、原理和维修技术，能够快速响应并处理各种突发故障。</w:t>
      </w:r>
    </w:p>
    <w:p w14:paraId="7DB68C76">
      <w:pPr>
        <w:pStyle w:val="4"/>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人员培训与技能提升：定期组织应急维修人员参加技术培训和技能提升课程，使其不断更新知识储备，掌握最新的维修技术和方法，熟悉新型设备和零部件的维修要点，以提高维修效率和质量。同时，开展安全培训，确保维修人员在紧急情况下能够严格遵守安全操作规程，保障自身安全及设备、环境的安全。</w:t>
      </w:r>
    </w:p>
    <w:p w14:paraId="51494315">
      <w:pPr>
        <w:keepNext w:val="0"/>
        <w:keepLines w:val="0"/>
        <w:pageBreakBefore w:val="0"/>
        <w:widowControl/>
        <w:numPr>
          <w:ilvl w:val="0"/>
          <w:numId w:val="0"/>
        </w:numPr>
        <w:suppressLineNumbers w:val="0"/>
        <w:pBdr>
          <w:left w:val="none" w:color="auto" w:sz="0" w:space="0"/>
        </w:pBdr>
        <w:kinsoku/>
        <w:wordWrap/>
        <w:overflowPunct/>
        <w:topLinePunct w:val="0"/>
        <w:bidi w:val="0"/>
        <w:snapToGrid/>
        <w:spacing w:before="0" w:beforeAutospacing="0" w:after="0" w:afterAutospacing="0" w:line="520" w:lineRule="exact"/>
        <w:ind w:leftChars="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24小时值班制度：安排应急维修人员实行24小时轮流值班，确保在任何时候都能及时接听用户的故障报修电话，并迅速做出响应，尽快赶赴现场进行维修。</w:t>
      </w:r>
    </w:p>
    <w:p w14:paraId="264F7DD5">
      <w:pPr>
        <w:keepNext w:val="0"/>
        <w:keepLines w:val="0"/>
        <w:pageBreakBefore w:val="0"/>
        <w:widowControl/>
        <w:numPr>
          <w:ilvl w:val="0"/>
          <w:numId w:val="0"/>
        </w:numPr>
        <w:suppressLineNumbers w:val="0"/>
        <w:pBdr>
          <w:left w:val="none" w:color="auto" w:sz="0" w:space="0"/>
        </w:pBdr>
        <w:kinsoku/>
        <w:wordWrap/>
        <w:overflowPunct/>
        <w:topLinePunct w:val="0"/>
        <w:bidi w:val="0"/>
        <w:snapToGrid/>
        <w:spacing w:before="0" w:beforeAutospacing="0" w:after="0" w:afterAutospacing="0" w:line="520" w:lineRule="exact"/>
        <w:ind w:leftChars="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常用备件库存：根据设备的使用频率、易损件清单以及过往的维修经验，建立充足的常用备件库存。这些备件涵盖各类关键零部件，如轴承、密封圈、电气元件、滤芯等，以保证在设备发生故障时能够立即进行更换，缩短维修时间。</w:t>
      </w:r>
    </w:p>
    <w:p w14:paraId="4436D6AE">
      <w:pPr>
        <w:keepNext w:val="0"/>
        <w:keepLines w:val="0"/>
        <w:pageBreakBefore w:val="0"/>
        <w:widowControl/>
        <w:numPr>
          <w:ilvl w:val="0"/>
          <w:numId w:val="0"/>
        </w:numPr>
        <w:suppressLineNumbers w:val="0"/>
        <w:pBdr>
          <w:left w:val="none" w:color="auto" w:sz="0" w:space="0"/>
        </w:pBdr>
        <w:kinsoku/>
        <w:wordWrap/>
        <w:overflowPunct/>
        <w:topLinePunct w:val="0"/>
        <w:bidi w:val="0"/>
        <w:snapToGrid/>
        <w:spacing w:before="0" w:beforeAutospacing="0" w:after="0" w:afterAutospacing="0" w:line="520" w:lineRule="exact"/>
        <w:ind w:leftChars="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备件管理与更新：建立完善的备件管理制度，定期对库存备件进行盘点、检查和维护，确保备件的完好性和可用性。同时，根据设备的更新换代和维修记录，及时更新备件库存，淘汰过时或不再适用的备件，补充新型号、高性能的备件。</w:t>
      </w:r>
    </w:p>
    <w:p w14:paraId="1B4BBB19">
      <w:pPr>
        <w:keepNext w:val="0"/>
        <w:keepLines w:val="0"/>
        <w:pageBreakBefore w:val="0"/>
        <w:widowControl/>
        <w:numPr>
          <w:ilvl w:val="0"/>
          <w:numId w:val="0"/>
        </w:numPr>
        <w:suppressLineNumbers w:val="0"/>
        <w:pBdr>
          <w:left w:val="none" w:color="auto" w:sz="0" w:space="0"/>
        </w:pBdr>
        <w:kinsoku/>
        <w:wordWrap/>
        <w:overflowPunct/>
        <w:topLinePunct w:val="0"/>
        <w:bidi w:val="0"/>
        <w:snapToGrid/>
        <w:spacing w:before="0" w:beforeAutospacing="0" w:after="0" w:afterAutospacing="0" w:line="520" w:lineRule="exact"/>
        <w:ind w:leftChars="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紧急采购渠道：与多家可靠的生产商建立长期稳定的合作关系，拓宽紧急采购渠道。当库存备件无法满足维修需求时，能够迅速从这些生产商处获取所需的特殊备件或紧急调货，确保维修工作的顺利进行。同时，优化采购流程，提高采购效率，减少因采购环节导致的维修延误。</w:t>
      </w:r>
    </w:p>
    <w:p w14:paraId="69A1B3E1">
      <w:pPr>
        <w:keepNext w:val="0"/>
        <w:keepLines w:val="0"/>
        <w:pageBreakBefore w:val="0"/>
        <w:widowControl/>
        <w:numPr>
          <w:ilvl w:val="0"/>
          <w:numId w:val="0"/>
        </w:numPr>
        <w:suppressLineNumbers w:val="0"/>
        <w:pBdr>
          <w:left w:val="none" w:color="auto" w:sz="0" w:space="0"/>
        </w:pBdr>
        <w:kinsoku/>
        <w:wordWrap/>
        <w:overflowPunct/>
        <w:topLinePunct w:val="0"/>
        <w:bidi w:val="0"/>
        <w:snapToGrid/>
        <w:spacing w:before="0" w:beforeAutospacing="0" w:after="0" w:afterAutospacing="0" w:line="520" w:lineRule="exact"/>
        <w:ind w:leftChars="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快速响应机制与故障诊断与评估：制定明确的应急响应流程和时间标准，维修人员在接到故障报修后，必须在规定的时间内与用户取得联系，了解故障详细情况，并尽快出发前往现场。维修人员到达现场后，迅速对故障设备进行全面的检查和诊断，准确判断故障的类型、程度和影响范围。同时，对故障可能导致的潜在风险进行评估，制定相应的防范措施，避免故障进一步扩大或引发其他安全事故。</w:t>
      </w:r>
    </w:p>
    <w:p w14:paraId="5ED84831">
      <w:pPr>
        <w:keepNext w:val="0"/>
        <w:keepLines w:val="0"/>
        <w:pageBreakBefore w:val="0"/>
        <w:widowControl/>
        <w:numPr>
          <w:ilvl w:val="0"/>
          <w:numId w:val="0"/>
        </w:numPr>
        <w:suppressLineNumbers w:val="0"/>
        <w:pBdr>
          <w:left w:val="none" w:color="auto" w:sz="0" w:space="0"/>
        </w:pBdr>
        <w:kinsoku/>
        <w:wordWrap/>
        <w:overflowPunct/>
        <w:topLinePunct w:val="0"/>
        <w:bidi w:val="0"/>
        <w:snapToGrid/>
        <w:spacing w:before="0" w:beforeAutospacing="0" w:after="0" w:afterAutospacing="0" w:line="520" w:lineRule="exact"/>
        <w:ind w:leftChars="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维修方案制定与实施：根据故障诊断结果，制定详细的维修方案，包括维修步骤、所需工具和备件、维修时间预估等，并及时向用户报告维修方案和预计修复时间，取得用户的认可和配合。在维修过程中，严格按照维修方案进行操作，确保维修质量和进度，优先恢复设备的关键功能，最大限度地减少设备停机时间对用户科研的影响。</w:t>
      </w:r>
    </w:p>
    <w:p w14:paraId="5EFA0751">
      <w:pPr>
        <w:keepNext w:val="0"/>
        <w:keepLines w:val="0"/>
        <w:pageBreakBefore w:val="0"/>
        <w:widowControl/>
        <w:numPr>
          <w:ilvl w:val="0"/>
          <w:numId w:val="0"/>
        </w:numPr>
        <w:suppressLineNumbers w:val="0"/>
        <w:pBdr>
          <w:left w:val="none" w:color="auto" w:sz="0" w:space="0"/>
        </w:pBdr>
        <w:kinsoku/>
        <w:wordWrap/>
        <w:overflowPunct/>
        <w:topLinePunct w:val="0"/>
        <w:bidi w:val="0"/>
        <w:snapToGrid/>
        <w:spacing w:before="0" w:beforeAutospacing="0" w:after="0" w:afterAutospacing="0" w:line="520" w:lineRule="exact"/>
        <w:ind w:leftChars="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配备专业维修设备与工具：为应急维修人员配备齐全、先进的专业维修设备和工具，如各类检测仪器、专用工具等，确保维修人员能够高效、准确地完成维修任务。同时，定期对这些设备和工具进行维护保养和校准，保证其性能稳定、可靠。</w:t>
      </w:r>
    </w:p>
    <w:p w14:paraId="6E88A26A">
      <w:pPr>
        <w:keepNext w:val="0"/>
        <w:keepLines w:val="0"/>
        <w:pageBreakBefore w:val="0"/>
        <w:widowControl/>
        <w:numPr>
          <w:ilvl w:val="0"/>
          <w:numId w:val="0"/>
        </w:numPr>
        <w:suppressLineNumbers w:val="0"/>
        <w:pBdr>
          <w:left w:val="none" w:color="auto" w:sz="0" w:space="0"/>
        </w:pBdr>
        <w:kinsoku/>
        <w:wordWrap/>
        <w:overflowPunct/>
        <w:topLinePunct w:val="0"/>
        <w:bidi w:val="0"/>
        <w:snapToGrid/>
        <w:spacing w:before="0" w:beforeAutospacing="0" w:after="0" w:afterAutospacing="0" w:line="520" w:lineRule="exact"/>
        <w:ind w:leftChars="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设备运输与调配：建立设备运输与调配机制，确保在需要时能够快速将大型维修设备、备用设备或紧急采购的备件运输到故障现场。合理安排运输车辆和运输路线，与专业的物流公司合作，提高运输效率和及时性。</w:t>
      </w:r>
    </w:p>
    <w:p w14:paraId="4A542AE6">
      <w:pPr>
        <w:keepNext w:val="0"/>
        <w:keepLines w:val="0"/>
        <w:pageBreakBefore w:val="0"/>
        <w:widowControl/>
        <w:numPr>
          <w:ilvl w:val="0"/>
          <w:numId w:val="0"/>
        </w:numPr>
        <w:suppressLineNumbers w:val="0"/>
        <w:pBdr>
          <w:left w:val="none" w:color="auto" w:sz="0" w:space="0"/>
        </w:pBdr>
        <w:kinsoku/>
        <w:wordWrap/>
        <w:overflowPunct/>
        <w:topLinePunct w:val="0"/>
        <w:bidi w:val="0"/>
        <w:snapToGrid/>
        <w:spacing w:before="0" w:beforeAutospacing="0" w:after="0" w:afterAutospacing="0" w:line="520" w:lineRule="exact"/>
        <w:ind w:leftChars="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保持与用户的密切沟通，及时向用户反馈维修进展情况，解答用户的疑问和关切。在维修完成后，向用户提供详细的维修报告，包括故障原因、维修措施、更换的备件等信息，让用户对维修工作有全面的了解。</w:t>
      </w:r>
    </w:p>
    <w:p w14:paraId="741477A9">
      <w:pPr>
        <w:keepNext w:val="0"/>
        <w:keepLines w:val="0"/>
        <w:pageBreakBefore w:val="0"/>
        <w:widowControl/>
        <w:numPr>
          <w:ilvl w:val="0"/>
          <w:numId w:val="0"/>
        </w:numPr>
        <w:suppressLineNumbers w:val="0"/>
        <w:pBdr>
          <w:left w:val="none" w:color="auto" w:sz="0" w:space="0"/>
        </w:pBdr>
        <w:kinsoku/>
        <w:wordWrap/>
        <w:overflowPunct/>
        <w:topLinePunct w:val="0"/>
        <w:bidi w:val="0"/>
        <w:snapToGrid/>
        <w:spacing w:before="0" w:beforeAutospacing="0" w:after="0" w:afterAutospacing="0" w:line="520" w:lineRule="exact"/>
        <w:ind w:leftChars="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建立有效的内部沟通协调机制，确保应急维修过程中各个环节的信息能够及时、准确地传递。维修人员、备件管理人员、技术支持人员、采购人员等之间要保持密切协作，共同解决维修过程中遇到的问题，提高应急维修的整体效率。</w:t>
      </w:r>
    </w:p>
    <w:p w14:paraId="5B39190E">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 xml:space="preserve">J. </w:t>
      </w:r>
      <w:r>
        <w:rPr>
          <w:rFonts w:hint="eastAsia" w:ascii="宋体" w:hAnsi="宋体" w:eastAsia="宋体" w:cs="宋体"/>
          <w:b/>
          <w:bCs/>
          <w:sz w:val="24"/>
          <w:szCs w:val="24"/>
          <w:highlight w:val="none"/>
        </w:rPr>
        <w:t>质保期外服务方案</w:t>
      </w:r>
      <w:bookmarkEnd w:id="36"/>
      <w:bookmarkEnd w:id="37"/>
    </w:p>
    <w:p w14:paraId="067C7182">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质保期满后，质保期外我们将一如既往的为客户进行全面的服务，定期进行回访，对客户的问题进行及时处理，为了让客户放心，我们将制定专职售后人员对该项目负责客户服务工作，并定期向客户提供相关产品最新维护保养信息。</w:t>
      </w:r>
    </w:p>
    <w:p w14:paraId="7C04313C">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质保期内如因设备本身质量原因（非甲方人为破坏）导致设备无法使用，由我方负责包换、包修或退货，并承担因修理、调换或退货而发生的实际费用。因设备性能故障检修多次仍不能正常使用的，无偿更换新设备。</w:t>
      </w:r>
    </w:p>
    <w:p w14:paraId="2386785F">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K. 质保期内和质保期外的收费标准</w:t>
      </w:r>
    </w:p>
    <w:p w14:paraId="76C59971">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质保期内，整机免费保修期国产货物三年，进口货物一年（自验收合格之日起）。保修期内，出现任何软、硬件遗漏或故障，我公司免费提供或维修</w:t>
      </w:r>
      <w:r>
        <w:rPr>
          <w:rFonts w:hint="eastAsia" w:ascii="宋体" w:hAnsi="宋体" w:eastAsia="宋体" w:cs="宋体"/>
          <w:sz w:val="24"/>
          <w:szCs w:val="24"/>
          <w:highlight w:val="none"/>
        </w:rPr>
        <w:t>。</w:t>
      </w:r>
    </w:p>
    <w:p w14:paraId="3A37D910">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质保期外所有设备免费保修（只收取材料费）。质保期外我公司长期保证设备运行所需的备件、备品的供应。</w:t>
      </w:r>
    </w:p>
    <w:p w14:paraId="0EDB7D2A">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响应本次采购项目均为交钥匙项目，所需的一切设备、材料、费用等，全部包含在投标报价之中，采购人无须再追加任何费用。</w:t>
      </w:r>
    </w:p>
    <w:p w14:paraId="04831869">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我单位保证本次所投设备均是全新合格设备并对上述内容的真实性承担相应法律责任。</w:t>
      </w:r>
    </w:p>
    <w:p w14:paraId="0C2C2C3D">
      <w:pPr>
        <w:spacing w:line="360" w:lineRule="auto"/>
        <w:rPr>
          <w:rFonts w:hint="eastAsia" w:ascii="宋体" w:hAnsi="宋体" w:eastAsia="宋体" w:cs="宋体"/>
          <w:b/>
          <w:color w:val="auto"/>
          <w:sz w:val="24"/>
          <w:szCs w:val="24"/>
          <w:highlight w:val="none"/>
        </w:rPr>
      </w:pPr>
    </w:p>
    <w:p w14:paraId="644C02F6">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8"/>
          <w:szCs w:val="28"/>
          <w:highlight w:val="none"/>
        </w:rPr>
        <w:t>河南开荣启元商贸有限公司（盖章）</w:t>
      </w:r>
    </w:p>
    <w:p w14:paraId="31D61AD1">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w:t>
      </w:r>
    </w:p>
    <w:p w14:paraId="3A762CB2">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w:t>
      </w:r>
    </w:p>
    <w:p w14:paraId="46ACB027">
      <w:pPr>
        <w:spacing w:line="360" w:lineRule="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 xml:space="preserve"> </w:t>
      </w:r>
    </w:p>
    <w:p w14:paraId="1E35EBC2">
      <w:pPr>
        <w:rPr>
          <w:rFonts w:hint="eastAsia" w:ascii="宋体" w:hAnsi="宋体" w:eastAsia="宋体" w:cs="宋体"/>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80A03D"/>
    <w:multiLevelType w:val="singleLevel"/>
    <w:tmpl w:val="A580A03D"/>
    <w:lvl w:ilvl="0" w:tentative="0">
      <w:start w:val="1"/>
      <w:numFmt w:val="upperRoman"/>
      <w:suff w:val="space"/>
      <w:lvlText w:val="%1."/>
      <w:lvlJc w:val="left"/>
    </w:lvl>
  </w:abstractNum>
  <w:abstractNum w:abstractNumId="1">
    <w:nsid w:val="5975D09D"/>
    <w:multiLevelType w:val="multilevel"/>
    <w:tmpl w:val="5975D09D"/>
    <w:lvl w:ilvl="0" w:tentative="0">
      <w:start w:val="2"/>
      <w:numFmt w:val="decimal"/>
      <w:suff w:val="nothing"/>
      <w:lvlText w:val="%1）"/>
      <w:lvlJc w:val="left"/>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55351"/>
    <w:rsid w:val="008813A9"/>
    <w:rsid w:val="0781507A"/>
    <w:rsid w:val="07886409"/>
    <w:rsid w:val="0AD019C3"/>
    <w:rsid w:val="0B5C270C"/>
    <w:rsid w:val="0CB67574"/>
    <w:rsid w:val="0EAB3DCA"/>
    <w:rsid w:val="0F693D05"/>
    <w:rsid w:val="11B761D9"/>
    <w:rsid w:val="14FB41D7"/>
    <w:rsid w:val="167A18C1"/>
    <w:rsid w:val="16B11110"/>
    <w:rsid w:val="175022A8"/>
    <w:rsid w:val="181F6915"/>
    <w:rsid w:val="192D38C8"/>
    <w:rsid w:val="1AE6196C"/>
    <w:rsid w:val="1BA778E2"/>
    <w:rsid w:val="1F9B1591"/>
    <w:rsid w:val="20230DC5"/>
    <w:rsid w:val="20CC5D55"/>
    <w:rsid w:val="226A7D59"/>
    <w:rsid w:val="27135897"/>
    <w:rsid w:val="28DD77A6"/>
    <w:rsid w:val="2A4B4090"/>
    <w:rsid w:val="2C33078A"/>
    <w:rsid w:val="2CF5796E"/>
    <w:rsid w:val="2D4D7629"/>
    <w:rsid w:val="36765DAD"/>
    <w:rsid w:val="36B55EFA"/>
    <w:rsid w:val="39DC0BB1"/>
    <w:rsid w:val="3A7750E3"/>
    <w:rsid w:val="3B6D467C"/>
    <w:rsid w:val="409B6C86"/>
    <w:rsid w:val="41EF5C95"/>
    <w:rsid w:val="451A5BEB"/>
    <w:rsid w:val="452F5B59"/>
    <w:rsid w:val="459E05CA"/>
    <w:rsid w:val="4841181A"/>
    <w:rsid w:val="48C04CFB"/>
    <w:rsid w:val="49595BC3"/>
    <w:rsid w:val="4D16138E"/>
    <w:rsid w:val="4D657D8E"/>
    <w:rsid w:val="4E12786B"/>
    <w:rsid w:val="4F1E452A"/>
    <w:rsid w:val="52D27B05"/>
    <w:rsid w:val="576527DB"/>
    <w:rsid w:val="58D70535"/>
    <w:rsid w:val="58D97E3F"/>
    <w:rsid w:val="5AA4622B"/>
    <w:rsid w:val="5B2C2B30"/>
    <w:rsid w:val="5BE251E0"/>
    <w:rsid w:val="5CF40FE1"/>
    <w:rsid w:val="613E0B28"/>
    <w:rsid w:val="63253DBA"/>
    <w:rsid w:val="64560967"/>
    <w:rsid w:val="67E438F6"/>
    <w:rsid w:val="6A6A2BB1"/>
    <w:rsid w:val="6B556E2C"/>
    <w:rsid w:val="6B835717"/>
    <w:rsid w:val="6CA95923"/>
    <w:rsid w:val="6CDE36DB"/>
    <w:rsid w:val="6CE54BAD"/>
    <w:rsid w:val="6D41164D"/>
    <w:rsid w:val="6D9D5C89"/>
    <w:rsid w:val="6F863CF9"/>
    <w:rsid w:val="703A6FBE"/>
    <w:rsid w:val="722241AD"/>
    <w:rsid w:val="72CC32D7"/>
    <w:rsid w:val="72D11FC9"/>
    <w:rsid w:val="7503583D"/>
    <w:rsid w:val="758D4498"/>
    <w:rsid w:val="75C12DB9"/>
    <w:rsid w:val="770179C1"/>
    <w:rsid w:val="78623289"/>
    <w:rsid w:val="78DD0E2E"/>
    <w:rsid w:val="7AE526B7"/>
    <w:rsid w:val="7BF81ADB"/>
    <w:rsid w:val="7D807847"/>
    <w:rsid w:val="7FA40C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w:basedOn w:val="1"/>
    <w:next w:val="4"/>
    <w:qFormat/>
    <w:uiPriority w:val="0"/>
    <w:pPr>
      <w:spacing w:after="120"/>
    </w:pPr>
    <w:rPr>
      <w:szCs w:val="20"/>
    </w:rPr>
  </w:style>
  <w:style w:type="paragraph" w:customStyle="1" w:styleId="4">
    <w:name w:val="Default"/>
    <w:basedOn w:val="5"/>
    <w:next w:val="1"/>
    <w:qFormat/>
    <w:uiPriority w:val="0"/>
    <w:pPr>
      <w:widowControl w:val="0"/>
      <w:autoSpaceDE w:val="0"/>
      <w:autoSpaceDN w:val="0"/>
      <w:adjustRightInd w:val="0"/>
    </w:pPr>
    <w:rPr>
      <w:rFonts w:ascii="宋体"/>
      <w:color w:val="000000"/>
      <w:sz w:val="24"/>
      <w:lang w:val="en-US" w:eastAsia="zh-CN" w:bidi="ar-SA"/>
    </w:rPr>
  </w:style>
  <w:style w:type="paragraph" w:styleId="5">
    <w:name w:val="Plain Text"/>
    <w:basedOn w:val="1"/>
    <w:next w:val="3"/>
    <w:qFormat/>
    <w:uiPriority w:val="0"/>
    <w:rPr>
      <w:rFonts w:ascii="宋体" w:hAnsi="Courier New" w:eastAsia="宋体" w:cs="Times New Roman"/>
      <w:szCs w:val="20"/>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列出段落1"/>
    <w:basedOn w:val="1"/>
    <w:autoRedefine/>
    <w:qFormat/>
    <w:uiPriority w:val="0"/>
    <w:pPr>
      <w:ind w:firstLine="420" w:firstLineChars="200"/>
    </w:pPr>
    <w:rPr>
      <w:szCs w:val="22"/>
    </w:rPr>
  </w:style>
  <w:style w:type="character" w:customStyle="1" w:styleId="10">
    <w:name w:val="font31"/>
    <w:basedOn w:val="8"/>
    <w:qFormat/>
    <w:uiPriority w:val="0"/>
    <w:rPr>
      <w:rFonts w:hint="eastAsia" w:ascii="宋体" w:hAnsi="宋体" w:eastAsia="宋体" w:cs="宋体"/>
      <w:color w:val="000000"/>
      <w:sz w:val="21"/>
      <w:szCs w:val="21"/>
      <w:u w:val="none"/>
    </w:rPr>
  </w:style>
  <w:style w:type="character" w:customStyle="1" w:styleId="11">
    <w:name w:val="font21"/>
    <w:basedOn w:val="8"/>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50</Pages>
  <Words>14201</Words>
  <Characters>16946</Characters>
  <Lines>0</Lines>
  <Paragraphs>0</Paragraphs>
  <TotalTime>149</TotalTime>
  <ScaleCrop>false</ScaleCrop>
  <LinksUpToDate>false</LinksUpToDate>
  <CharactersWithSpaces>18009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2025-05-09T03:09:00Z</dcterms:created>
  <dc:creator>Administrator</dc:creator>
  <cp:lastModifiedBy>Admin</cp:lastModifiedBy>
  <dcterms:modified xsi:type="dcterms:W3CDTF">2025-06-05T09:06:41Z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eyJoZGlkIjoiZTA2YWIxMTdhYTJlYThhM2M0YTJkYTk2M2E1MzNmMDkiLCJ1c2VySWQiOiIzNzEzOTY2MTYifQ==</vt:lpwstr>
  </property>
  <property fmtid="{D5CDD505-2E9C-101B-9397-08002B2CF9AE}" pid="4" name="ICV">
    <vt:lpwstr>76D34410A890466A9C17BE17F0C3FD66_13</vt:lpwstr>
  </property>
</Properties>
</file>