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06C28">
      <w:pPr>
        <w:jc w:val="center"/>
        <w:outlineLvl w:val="9"/>
        <w:rPr>
          <w:rFonts w:hint="eastAsia"/>
          <w:b/>
          <w:bCs/>
          <w:sz w:val="44"/>
          <w:szCs w:val="44"/>
          <w:lang w:eastAsia="zh-CN"/>
        </w:rPr>
      </w:pPr>
      <w:bookmarkStart w:id="0" w:name="_Toc18588"/>
      <w:bookmarkStart w:id="1" w:name="_Toc29275"/>
      <w:bookmarkStart w:id="2" w:name="_Toc22360"/>
      <w:bookmarkStart w:id="3" w:name="_Toc31080"/>
    </w:p>
    <w:bookmarkEnd w:id="0"/>
    <w:bookmarkEnd w:id="1"/>
    <w:bookmarkEnd w:id="2"/>
    <w:bookmarkEnd w:id="3"/>
    <w:p w14:paraId="64522B65">
      <w:pPr>
        <w:jc w:val="center"/>
        <w:outlineLvl w:val="9"/>
        <w:rPr>
          <w:rFonts w:hint="eastAsia"/>
          <w:b/>
          <w:bCs/>
          <w:sz w:val="36"/>
          <w:szCs w:val="36"/>
          <w:lang w:eastAsia="zh-CN"/>
        </w:rPr>
      </w:pPr>
      <w:bookmarkStart w:id="4" w:name="OLE_LINK7"/>
      <w:r>
        <w:rPr>
          <w:rFonts w:hint="eastAsia"/>
          <w:b/>
          <w:bCs/>
          <w:sz w:val="36"/>
          <w:szCs w:val="36"/>
          <w:lang w:eastAsia="zh-CN"/>
        </w:rPr>
        <w:t>三门峡市陕州区文化广电和旅游局第十四届“陕州地坑院杯”自行车邀请赛暨“体育赋能·文化焕彩”嘉年华项目</w:t>
      </w:r>
      <w:bookmarkEnd w:id="4"/>
    </w:p>
    <w:p w14:paraId="724E38F9">
      <w:pPr>
        <w:snapToGrid w:val="0"/>
        <w:jc w:val="center"/>
        <w:outlineLvl w:val="9"/>
        <w:rPr>
          <w:rFonts w:hint="eastAsia"/>
          <w:color w:val="000000"/>
          <w:sz w:val="56"/>
          <w:szCs w:val="72"/>
        </w:rPr>
      </w:pPr>
    </w:p>
    <w:p w14:paraId="57741173">
      <w:pPr>
        <w:snapToGrid w:val="0"/>
        <w:jc w:val="center"/>
        <w:outlineLvl w:val="9"/>
        <w:rPr>
          <w:rFonts w:hint="eastAsia"/>
          <w:color w:val="000000"/>
          <w:sz w:val="72"/>
          <w:szCs w:val="96"/>
        </w:rPr>
      </w:pPr>
      <w:bookmarkStart w:id="5" w:name="_Toc7769"/>
      <w:bookmarkStart w:id="6" w:name="_Toc10508"/>
      <w:bookmarkStart w:id="7" w:name="_Toc17794"/>
      <w:bookmarkStart w:id="8" w:name="_Toc23341"/>
      <w:r>
        <w:rPr>
          <w:rFonts w:hint="eastAsia"/>
          <w:color w:val="000000"/>
          <w:sz w:val="72"/>
          <w:szCs w:val="96"/>
        </w:rPr>
        <w:t>竞争性磋商文件</w:t>
      </w:r>
      <w:bookmarkEnd w:id="5"/>
      <w:bookmarkEnd w:id="6"/>
      <w:bookmarkEnd w:id="7"/>
      <w:bookmarkEnd w:id="8"/>
    </w:p>
    <w:p w14:paraId="315C9C05">
      <w:pPr>
        <w:pStyle w:val="4"/>
        <w:outlineLvl w:val="9"/>
        <w:rPr>
          <w:rFonts w:hint="eastAsia"/>
          <w:color w:val="000000"/>
          <w:sz w:val="21"/>
          <w:szCs w:val="21"/>
        </w:rPr>
      </w:pPr>
    </w:p>
    <w:p w14:paraId="003A201C">
      <w:pPr>
        <w:pStyle w:val="12"/>
        <w:jc w:val="center"/>
        <w:outlineLvl w:val="9"/>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项目编号：陕州竞磋采购-2025-34</w:t>
      </w:r>
    </w:p>
    <w:p w14:paraId="0F61BB76">
      <w:pPr>
        <w:pStyle w:val="13"/>
        <w:ind w:left="440" w:leftChars="200" w:firstLine="3752" w:firstLineChars="1168"/>
        <w:rPr>
          <w:rFonts w:hint="eastAsia" w:ascii="宋体" w:hAnsi="宋体" w:eastAsia="宋体" w:cs="宋体"/>
          <w:b/>
          <w:bCs/>
          <w:color w:val="000000"/>
          <w:sz w:val="32"/>
          <w:szCs w:val="32"/>
          <w:highlight w:val="none"/>
          <w:lang w:val="en-US" w:eastAsia="zh-CN" w:bidi="zh-CN"/>
        </w:rPr>
      </w:pPr>
      <w:r>
        <w:rPr>
          <w:rFonts w:hint="eastAsia" w:ascii="宋体" w:hAnsi="宋体" w:eastAsia="宋体" w:cs="宋体"/>
          <w:b/>
          <w:bCs/>
          <w:color w:val="000000"/>
          <w:sz w:val="32"/>
          <w:szCs w:val="32"/>
          <w:highlight w:val="none"/>
          <w:lang w:val="en-US" w:eastAsia="zh-CN" w:bidi="zh-CN"/>
        </w:rPr>
        <w:t>SZGZ[2025]052-ZC030</w:t>
      </w:r>
    </w:p>
    <w:p w14:paraId="1DAB4A59">
      <w:pPr>
        <w:pStyle w:val="4"/>
        <w:outlineLvl w:val="9"/>
        <w:rPr>
          <w:rFonts w:hint="eastAsia"/>
          <w:color w:val="000000"/>
          <w:sz w:val="21"/>
          <w:szCs w:val="21"/>
        </w:rPr>
      </w:pPr>
    </w:p>
    <w:p w14:paraId="62FFC635">
      <w:pPr>
        <w:jc w:val="center"/>
        <w:outlineLvl w:val="9"/>
        <w:rPr>
          <w:rFonts w:hint="eastAsia"/>
          <w:color w:val="000000"/>
          <w:sz w:val="21"/>
          <w:szCs w:val="21"/>
        </w:rPr>
      </w:pPr>
      <w:r>
        <w:rPr>
          <w:rFonts w:hint="eastAsia"/>
          <w:color w:val="000000"/>
          <w:sz w:val="21"/>
          <w:szCs w:val="21"/>
        </w:rPr>
        <w:drawing>
          <wp:inline distT="0" distB="0" distL="114300" distR="114300">
            <wp:extent cx="3011170" cy="2595880"/>
            <wp:effectExtent l="0" t="0" r="17780" b="13970"/>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4"/>
                    <a:stretch>
                      <a:fillRect/>
                    </a:stretch>
                  </pic:blipFill>
                  <pic:spPr>
                    <a:xfrm>
                      <a:off x="0" y="0"/>
                      <a:ext cx="3011170" cy="2595880"/>
                    </a:xfrm>
                    <a:prstGeom prst="rect">
                      <a:avLst/>
                    </a:prstGeom>
                    <a:noFill/>
                    <a:ln>
                      <a:noFill/>
                    </a:ln>
                  </pic:spPr>
                </pic:pic>
              </a:graphicData>
            </a:graphic>
          </wp:inline>
        </w:drawing>
      </w:r>
    </w:p>
    <w:p w14:paraId="54BCA218">
      <w:pPr>
        <w:spacing w:line="700" w:lineRule="exact"/>
        <w:ind w:right="-482" w:rightChars="-219"/>
        <w:jc w:val="center"/>
        <w:outlineLvl w:val="9"/>
        <w:rPr>
          <w:rFonts w:hint="eastAsia"/>
          <w:b/>
          <w:bCs/>
          <w:color w:val="000000"/>
          <w:sz w:val="32"/>
          <w:szCs w:val="32"/>
        </w:rPr>
      </w:pPr>
    </w:p>
    <w:p w14:paraId="62BCA02A">
      <w:pPr>
        <w:spacing w:line="700" w:lineRule="exact"/>
        <w:ind w:right="-482" w:rightChars="-219"/>
        <w:jc w:val="center"/>
        <w:outlineLvl w:val="9"/>
        <w:rPr>
          <w:rFonts w:hint="eastAsia"/>
          <w:b/>
          <w:bCs/>
          <w:color w:val="000000"/>
          <w:sz w:val="32"/>
          <w:szCs w:val="32"/>
        </w:rPr>
      </w:pPr>
      <w:bookmarkStart w:id="9" w:name="_Toc10186"/>
      <w:bookmarkStart w:id="10" w:name="_Toc24374"/>
      <w:bookmarkStart w:id="11" w:name="_Toc14917"/>
      <w:bookmarkStart w:id="12" w:name="_Toc20232"/>
      <w:r>
        <w:rPr>
          <w:rFonts w:hint="eastAsia"/>
          <w:b/>
          <w:bCs/>
          <w:color w:val="000000"/>
          <w:sz w:val="32"/>
          <w:szCs w:val="32"/>
        </w:rPr>
        <w:t>采购</w:t>
      </w:r>
      <w:r>
        <w:rPr>
          <w:rFonts w:hint="eastAsia"/>
          <w:b/>
          <w:bCs/>
          <w:color w:val="000000"/>
          <w:sz w:val="32"/>
          <w:szCs w:val="32"/>
          <w:lang w:val="en-US" w:eastAsia="zh-CN"/>
        </w:rPr>
        <w:t>人</w:t>
      </w:r>
      <w:r>
        <w:rPr>
          <w:rFonts w:hint="eastAsia"/>
          <w:b/>
          <w:bCs/>
          <w:color w:val="000000"/>
          <w:sz w:val="32"/>
          <w:szCs w:val="32"/>
        </w:rPr>
        <w:t>：</w:t>
      </w:r>
      <w:bookmarkStart w:id="13" w:name="OLE_LINK11"/>
      <w:r>
        <w:rPr>
          <w:rFonts w:hint="eastAsia"/>
          <w:b/>
          <w:bCs/>
          <w:color w:val="000000"/>
          <w:sz w:val="32"/>
          <w:szCs w:val="32"/>
          <w:lang w:eastAsia="zh-CN"/>
        </w:rPr>
        <w:t>三门峡市陕州区文化广电和旅游局</w:t>
      </w:r>
      <w:bookmarkEnd w:id="9"/>
      <w:bookmarkEnd w:id="10"/>
      <w:bookmarkEnd w:id="11"/>
      <w:bookmarkEnd w:id="12"/>
      <w:bookmarkEnd w:id="13"/>
    </w:p>
    <w:p w14:paraId="7531FD14">
      <w:pPr>
        <w:spacing w:line="700" w:lineRule="exact"/>
        <w:ind w:right="-482" w:rightChars="-219"/>
        <w:jc w:val="center"/>
        <w:outlineLvl w:val="9"/>
        <w:rPr>
          <w:rFonts w:hint="eastAsia"/>
          <w:b/>
          <w:bCs/>
          <w:color w:val="000000"/>
          <w:sz w:val="32"/>
          <w:szCs w:val="32"/>
        </w:rPr>
      </w:pPr>
      <w:bookmarkStart w:id="14" w:name="_Toc22646"/>
      <w:bookmarkStart w:id="15" w:name="_Toc21223"/>
      <w:bookmarkStart w:id="16" w:name="_Toc8798"/>
      <w:bookmarkStart w:id="17" w:name="_Toc17010"/>
      <w:r>
        <w:rPr>
          <w:rFonts w:hint="eastAsia"/>
          <w:b/>
          <w:bCs/>
          <w:color w:val="000000"/>
          <w:sz w:val="32"/>
          <w:szCs w:val="32"/>
        </w:rPr>
        <w:t>采购代理机构：厚德（河南省）企业管理有限责任公司</w:t>
      </w:r>
      <w:bookmarkEnd w:id="14"/>
      <w:bookmarkEnd w:id="15"/>
      <w:bookmarkEnd w:id="16"/>
      <w:bookmarkEnd w:id="17"/>
    </w:p>
    <w:p w14:paraId="37B642F7">
      <w:pPr>
        <w:spacing w:line="700" w:lineRule="exact"/>
        <w:jc w:val="center"/>
        <w:outlineLvl w:val="9"/>
        <w:rPr>
          <w:rFonts w:hint="eastAsia"/>
          <w:b/>
          <w:bCs/>
          <w:color w:val="000000"/>
          <w:sz w:val="32"/>
          <w:szCs w:val="32"/>
        </w:rPr>
      </w:pPr>
      <w:r>
        <w:rPr>
          <w:rFonts w:hint="eastAsia"/>
          <w:b/>
          <w:bCs/>
          <w:color w:val="000000"/>
          <w:sz w:val="32"/>
          <w:szCs w:val="32"/>
          <w:lang w:val="en-US" w:eastAsia="zh-CN"/>
        </w:rPr>
        <w:t>采购时间：</w:t>
      </w:r>
      <w:r>
        <w:rPr>
          <w:rFonts w:hint="eastAsia"/>
          <w:b/>
          <w:bCs/>
          <w:color w:val="000000"/>
          <w:sz w:val="32"/>
          <w:szCs w:val="32"/>
        </w:rPr>
        <w:t>二〇二</w:t>
      </w:r>
      <w:r>
        <w:rPr>
          <w:rFonts w:hint="eastAsia"/>
          <w:b/>
          <w:bCs/>
          <w:color w:val="000000"/>
          <w:sz w:val="32"/>
          <w:szCs w:val="32"/>
          <w:lang w:val="en-US" w:eastAsia="zh-CN"/>
        </w:rPr>
        <w:t>五</w:t>
      </w:r>
      <w:r>
        <w:rPr>
          <w:rFonts w:hint="eastAsia"/>
          <w:b/>
          <w:bCs/>
          <w:color w:val="000000"/>
          <w:sz w:val="32"/>
          <w:szCs w:val="32"/>
        </w:rPr>
        <w:t>年</w:t>
      </w:r>
      <w:r>
        <w:rPr>
          <w:rFonts w:hint="eastAsia"/>
          <w:b/>
          <w:bCs/>
          <w:color w:val="000000"/>
          <w:sz w:val="32"/>
          <w:szCs w:val="32"/>
          <w:lang w:val="en-US" w:eastAsia="zh-CN"/>
        </w:rPr>
        <w:t>四</w:t>
      </w:r>
      <w:r>
        <w:rPr>
          <w:rFonts w:hint="eastAsia"/>
          <w:b/>
          <w:bCs/>
          <w:color w:val="000000"/>
          <w:sz w:val="32"/>
          <w:szCs w:val="32"/>
        </w:rPr>
        <w:t>月</w:t>
      </w:r>
    </w:p>
    <w:p w14:paraId="7B0CE617">
      <w:pPr>
        <w:snapToGrid w:val="0"/>
        <w:spacing w:line="572" w:lineRule="atLeast"/>
        <w:ind w:left="0" w:leftChars="0" w:firstLine="1097" w:firstLineChars="343"/>
        <w:jc w:val="center"/>
        <w:outlineLvl w:val="9"/>
        <w:rPr>
          <w:rFonts w:hint="eastAsia"/>
          <w:color w:val="000000"/>
          <w:sz w:val="32"/>
          <w:szCs w:val="32"/>
        </w:rPr>
      </w:pPr>
      <w:bookmarkStart w:id="18" w:name="_Toc510994104"/>
    </w:p>
    <w:p w14:paraId="1CF368E5">
      <w:pPr>
        <w:snapToGrid w:val="0"/>
        <w:spacing w:line="572" w:lineRule="atLeast"/>
        <w:ind w:left="0" w:leftChars="0" w:firstLine="1097" w:firstLineChars="343"/>
        <w:jc w:val="center"/>
        <w:outlineLvl w:val="9"/>
        <w:rPr>
          <w:rFonts w:hint="eastAsia"/>
          <w:color w:val="000000"/>
          <w:sz w:val="32"/>
          <w:szCs w:val="32"/>
        </w:rPr>
        <w:sectPr>
          <w:pgSz w:w="11906" w:h="16838"/>
          <w:pgMar w:top="1440" w:right="1080" w:bottom="1440" w:left="1080" w:header="851" w:footer="992" w:gutter="0"/>
          <w:cols w:space="720" w:num="1"/>
          <w:docGrid w:type="lines" w:linePitch="312" w:charSpace="0"/>
        </w:sectPr>
      </w:pPr>
    </w:p>
    <w:bookmarkEnd w:id="18"/>
    <w:sdt>
      <w:sdtPr>
        <w:rPr>
          <w:rFonts w:ascii="宋体" w:hAnsi="宋体" w:eastAsia="宋体" w:cs="宋体"/>
          <w:sz w:val="21"/>
          <w:szCs w:val="22"/>
          <w:lang w:val="zh-CN" w:eastAsia="zh-CN" w:bidi="zh-CN"/>
        </w:rPr>
        <w:id w:val="147482976"/>
        <w15:color w:val="DBDBDB"/>
        <w:docPartObj>
          <w:docPartGallery w:val="Table of Contents"/>
          <w:docPartUnique/>
        </w:docPartObj>
      </w:sdtPr>
      <w:sdtEndPr>
        <w:rPr>
          <w:rFonts w:hint="eastAsia" w:ascii="宋体" w:hAnsi="宋体" w:eastAsia="宋体" w:cs="宋体"/>
          <w:b/>
          <w:sz w:val="22"/>
          <w:szCs w:val="22"/>
          <w:lang w:val="en-US" w:eastAsia="zh-CN" w:bidi="zh-CN"/>
        </w:rPr>
      </w:sdtEndPr>
      <w:sdtContent>
        <w:p w14:paraId="3DA19D8D">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rPr>
              <w:rFonts w:hint="eastAsia" w:ascii="宋体" w:hAnsi="宋体" w:eastAsia="宋体" w:cs="宋体"/>
              <w:sz w:val="24"/>
              <w:szCs w:val="24"/>
            </w:rPr>
          </w:pPr>
          <w:bookmarkStart w:id="19" w:name="_Toc18161"/>
          <w:bookmarkStart w:id="20" w:name="_Toc27682"/>
          <w:bookmarkStart w:id="21" w:name="_Toc12517"/>
          <w:bookmarkStart w:id="22" w:name="_Toc26341"/>
          <w:bookmarkStart w:id="23" w:name="_Toc25907"/>
          <w:bookmarkStart w:id="24" w:name="_Toc13790"/>
          <w:bookmarkStart w:id="25" w:name="_Toc1956"/>
          <w:bookmarkStart w:id="26" w:name="_Toc15571"/>
          <w:bookmarkStart w:id="27" w:name="_Toc12663"/>
          <w:bookmarkStart w:id="28" w:name="_Toc510994105"/>
          <w:r>
            <w:rPr>
              <w:rFonts w:hint="eastAsia" w:ascii="宋体" w:hAnsi="宋体" w:eastAsia="宋体" w:cs="宋体"/>
              <w:sz w:val="24"/>
              <w:szCs w:val="24"/>
            </w:rPr>
            <w:t>目录</w:t>
          </w:r>
        </w:p>
        <w:p w14:paraId="1C476047">
          <w:pPr>
            <w:pStyle w:val="8"/>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TOC \o "1-2" \h \u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_Toc15778 </w:instrText>
          </w:r>
          <w:r>
            <w:rPr>
              <w:rFonts w:hint="eastAsia" w:ascii="宋体" w:hAnsi="宋体" w:eastAsia="宋体" w:cs="宋体"/>
              <w:sz w:val="24"/>
              <w:szCs w:val="24"/>
              <w:lang w:val="en-US" w:eastAsia="zh-CN"/>
            </w:rPr>
            <w:fldChar w:fldCharType="separate"/>
          </w:r>
          <w:r>
            <w:rPr>
              <w:rFonts w:hint="eastAsia"/>
              <w:bCs/>
              <w:sz w:val="24"/>
              <w:szCs w:val="24"/>
              <w:lang w:val="en-US" w:eastAsia="zh-CN"/>
            </w:rPr>
            <w:t xml:space="preserve">第一章  </w:t>
          </w:r>
          <w:r>
            <w:rPr>
              <w:rFonts w:hint="eastAsia"/>
              <w:bCs/>
              <w:sz w:val="24"/>
              <w:szCs w:val="24"/>
            </w:rPr>
            <w:t>竞争性磋商公告</w:t>
          </w:r>
          <w:r>
            <w:rPr>
              <w:sz w:val="24"/>
              <w:szCs w:val="24"/>
            </w:rPr>
            <w:tab/>
          </w:r>
          <w:r>
            <w:rPr>
              <w:sz w:val="24"/>
              <w:szCs w:val="24"/>
            </w:rPr>
            <w:fldChar w:fldCharType="begin"/>
          </w:r>
          <w:r>
            <w:rPr>
              <w:sz w:val="24"/>
              <w:szCs w:val="24"/>
            </w:rPr>
            <w:instrText xml:space="preserve"> PAGEREF _Toc15778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sz w:val="24"/>
              <w:szCs w:val="24"/>
              <w:lang w:val="en-US" w:eastAsia="zh-CN"/>
            </w:rPr>
            <w:fldChar w:fldCharType="end"/>
          </w:r>
        </w:p>
        <w:p w14:paraId="2A3D5756">
          <w:pPr>
            <w:pStyle w:val="8"/>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_Toc13010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lang w:val="en-US" w:eastAsia="zh-CN"/>
            </w:rPr>
            <w:t>第二章  响应人须知</w:t>
          </w:r>
          <w:r>
            <w:rPr>
              <w:sz w:val="24"/>
              <w:szCs w:val="24"/>
            </w:rPr>
            <w:tab/>
          </w:r>
          <w:r>
            <w:rPr>
              <w:sz w:val="24"/>
              <w:szCs w:val="24"/>
            </w:rPr>
            <w:fldChar w:fldCharType="begin"/>
          </w:r>
          <w:r>
            <w:rPr>
              <w:sz w:val="24"/>
              <w:szCs w:val="24"/>
            </w:rPr>
            <w:instrText xml:space="preserve"> PAGEREF _Toc13010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24"/>
              <w:lang w:val="en-US" w:eastAsia="zh-CN"/>
            </w:rPr>
            <w:fldChar w:fldCharType="end"/>
          </w:r>
        </w:p>
        <w:p w14:paraId="1C58D00E">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_Toc32363 </w:instrText>
          </w:r>
          <w:r>
            <w:rPr>
              <w:rFonts w:hint="eastAsia" w:ascii="宋体" w:hAnsi="宋体" w:eastAsia="宋体" w:cs="宋体"/>
              <w:sz w:val="24"/>
              <w:szCs w:val="24"/>
              <w:lang w:val="en-US" w:eastAsia="zh-CN"/>
            </w:rPr>
            <w:fldChar w:fldCharType="separate"/>
          </w:r>
          <w:r>
            <w:rPr>
              <w:rFonts w:hint="eastAsia"/>
              <w:bCs/>
              <w:snapToGrid w:val="0"/>
              <w:sz w:val="24"/>
              <w:szCs w:val="24"/>
            </w:rPr>
            <w:t>一、总则</w:t>
          </w:r>
          <w:r>
            <w:rPr>
              <w:sz w:val="24"/>
              <w:szCs w:val="24"/>
            </w:rPr>
            <w:tab/>
          </w:r>
          <w:r>
            <w:rPr>
              <w:sz w:val="24"/>
              <w:szCs w:val="24"/>
            </w:rPr>
            <w:fldChar w:fldCharType="begin"/>
          </w:r>
          <w:r>
            <w:rPr>
              <w:sz w:val="24"/>
              <w:szCs w:val="24"/>
            </w:rPr>
            <w:instrText xml:space="preserve"> PAGEREF _Toc32363 \h </w:instrText>
          </w:r>
          <w:r>
            <w:rPr>
              <w:sz w:val="24"/>
              <w:szCs w:val="24"/>
            </w:rPr>
            <w:fldChar w:fldCharType="separate"/>
          </w:r>
          <w:r>
            <w:rPr>
              <w:sz w:val="24"/>
              <w:szCs w:val="24"/>
            </w:rPr>
            <w:t>12</w:t>
          </w:r>
          <w:r>
            <w:rPr>
              <w:sz w:val="24"/>
              <w:szCs w:val="24"/>
            </w:rPr>
            <w:fldChar w:fldCharType="end"/>
          </w:r>
          <w:r>
            <w:rPr>
              <w:rFonts w:hint="eastAsia" w:ascii="宋体" w:hAnsi="宋体" w:eastAsia="宋体" w:cs="宋体"/>
              <w:sz w:val="24"/>
              <w:szCs w:val="24"/>
              <w:lang w:val="en-US" w:eastAsia="zh-CN"/>
            </w:rPr>
            <w:fldChar w:fldCharType="end"/>
          </w:r>
        </w:p>
        <w:p w14:paraId="2F39BA2F">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_Toc6227 </w:instrText>
          </w:r>
          <w:r>
            <w:rPr>
              <w:rFonts w:hint="eastAsia" w:ascii="宋体" w:hAnsi="宋体" w:eastAsia="宋体" w:cs="宋体"/>
              <w:sz w:val="24"/>
              <w:szCs w:val="24"/>
              <w:lang w:val="en-US" w:eastAsia="zh-CN"/>
            </w:rPr>
            <w:fldChar w:fldCharType="separate"/>
          </w:r>
          <w:r>
            <w:rPr>
              <w:rFonts w:hint="eastAsia"/>
              <w:bCs/>
              <w:snapToGrid w:val="0"/>
              <w:sz w:val="24"/>
              <w:szCs w:val="24"/>
            </w:rPr>
            <w:t>二、磋商文件</w:t>
          </w:r>
          <w:r>
            <w:rPr>
              <w:sz w:val="24"/>
              <w:szCs w:val="24"/>
            </w:rPr>
            <w:tab/>
          </w:r>
          <w:r>
            <w:rPr>
              <w:sz w:val="24"/>
              <w:szCs w:val="24"/>
            </w:rPr>
            <w:fldChar w:fldCharType="begin"/>
          </w:r>
          <w:r>
            <w:rPr>
              <w:sz w:val="24"/>
              <w:szCs w:val="24"/>
            </w:rPr>
            <w:instrText xml:space="preserve"> PAGEREF _Toc6227 \h </w:instrText>
          </w:r>
          <w:r>
            <w:rPr>
              <w:sz w:val="24"/>
              <w:szCs w:val="24"/>
            </w:rPr>
            <w:fldChar w:fldCharType="separate"/>
          </w:r>
          <w:r>
            <w:rPr>
              <w:sz w:val="24"/>
              <w:szCs w:val="24"/>
            </w:rPr>
            <w:t>12</w:t>
          </w:r>
          <w:r>
            <w:rPr>
              <w:sz w:val="24"/>
              <w:szCs w:val="24"/>
            </w:rPr>
            <w:fldChar w:fldCharType="end"/>
          </w:r>
          <w:r>
            <w:rPr>
              <w:rFonts w:hint="eastAsia" w:ascii="宋体" w:hAnsi="宋体" w:eastAsia="宋体" w:cs="宋体"/>
              <w:sz w:val="24"/>
              <w:szCs w:val="24"/>
              <w:lang w:val="en-US" w:eastAsia="zh-CN"/>
            </w:rPr>
            <w:fldChar w:fldCharType="end"/>
          </w:r>
        </w:p>
        <w:p w14:paraId="0F71CA3D">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_Toc6644 </w:instrText>
          </w:r>
          <w:r>
            <w:rPr>
              <w:rFonts w:hint="eastAsia" w:ascii="宋体" w:hAnsi="宋体" w:eastAsia="宋体" w:cs="宋体"/>
              <w:sz w:val="24"/>
              <w:szCs w:val="24"/>
              <w:lang w:val="en-US" w:eastAsia="zh-CN"/>
            </w:rPr>
            <w:fldChar w:fldCharType="separate"/>
          </w:r>
          <w:r>
            <w:rPr>
              <w:rFonts w:hint="eastAsia"/>
              <w:bCs/>
              <w:snapToGrid w:val="0"/>
              <w:sz w:val="24"/>
              <w:szCs w:val="24"/>
            </w:rPr>
            <w:t>三、响应文件</w:t>
          </w:r>
          <w:r>
            <w:rPr>
              <w:sz w:val="24"/>
              <w:szCs w:val="24"/>
            </w:rPr>
            <w:tab/>
          </w:r>
          <w:r>
            <w:rPr>
              <w:sz w:val="24"/>
              <w:szCs w:val="24"/>
            </w:rPr>
            <w:fldChar w:fldCharType="begin"/>
          </w:r>
          <w:r>
            <w:rPr>
              <w:sz w:val="24"/>
              <w:szCs w:val="24"/>
            </w:rPr>
            <w:instrText xml:space="preserve"> PAGEREF _Toc6644 \h </w:instrText>
          </w:r>
          <w:r>
            <w:rPr>
              <w:sz w:val="24"/>
              <w:szCs w:val="24"/>
            </w:rPr>
            <w:fldChar w:fldCharType="separate"/>
          </w:r>
          <w:r>
            <w:rPr>
              <w:sz w:val="24"/>
              <w:szCs w:val="24"/>
            </w:rPr>
            <w:t>13</w:t>
          </w:r>
          <w:r>
            <w:rPr>
              <w:sz w:val="24"/>
              <w:szCs w:val="24"/>
            </w:rPr>
            <w:fldChar w:fldCharType="end"/>
          </w:r>
          <w:r>
            <w:rPr>
              <w:rFonts w:hint="eastAsia" w:ascii="宋体" w:hAnsi="宋体" w:eastAsia="宋体" w:cs="宋体"/>
              <w:sz w:val="24"/>
              <w:szCs w:val="24"/>
              <w:lang w:val="en-US" w:eastAsia="zh-CN"/>
            </w:rPr>
            <w:fldChar w:fldCharType="end"/>
          </w:r>
        </w:p>
        <w:p w14:paraId="70772049">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_Toc5816 </w:instrText>
          </w:r>
          <w:r>
            <w:rPr>
              <w:rFonts w:hint="eastAsia" w:ascii="宋体" w:hAnsi="宋体" w:eastAsia="宋体" w:cs="宋体"/>
              <w:sz w:val="24"/>
              <w:szCs w:val="24"/>
              <w:lang w:val="en-US" w:eastAsia="zh-CN"/>
            </w:rPr>
            <w:fldChar w:fldCharType="separate"/>
          </w:r>
          <w:r>
            <w:rPr>
              <w:rFonts w:hint="eastAsia"/>
              <w:bCs/>
              <w:snapToGrid w:val="0"/>
              <w:sz w:val="24"/>
              <w:szCs w:val="24"/>
            </w:rPr>
            <w:t>四、响应文件的递交</w:t>
          </w:r>
          <w:r>
            <w:rPr>
              <w:sz w:val="24"/>
              <w:szCs w:val="24"/>
            </w:rPr>
            <w:tab/>
          </w:r>
          <w:r>
            <w:rPr>
              <w:sz w:val="24"/>
              <w:szCs w:val="24"/>
            </w:rPr>
            <w:fldChar w:fldCharType="begin"/>
          </w:r>
          <w:r>
            <w:rPr>
              <w:sz w:val="24"/>
              <w:szCs w:val="24"/>
            </w:rPr>
            <w:instrText xml:space="preserve"> PAGEREF _Toc5816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lang w:val="en-US" w:eastAsia="zh-CN"/>
            </w:rPr>
            <w:fldChar w:fldCharType="end"/>
          </w:r>
        </w:p>
        <w:p w14:paraId="18D1F9B1">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_Toc3172 </w:instrText>
          </w:r>
          <w:r>
            <w:rPr>
              <w:rFonts w:hint="eastAsia" w:ascii="宋体" w:hAnsi="宋体" w:eastAsia="宋体" w:cs="宋体"/>
              <w:sz w:val="24"/>
              <w:szCs w:val="24"/>
              <w:lang w:val="en-US" w:eastAsia="zh-CN"/>
            </w:rPr>
            <w:fldChar w:fldCharType="separate"/>
          </w:r>
          <w:r>
            <w:rPr>
              <w:rFonts w:hint="eastAsia"/>
              <w:bCs/>
              <w:snapToGrid w:val="0"/>
              <w:sz w:val="24"/>
              <w:szCs w:val="24"/>
            </w:rPr>
            <w:t>五、磋商开启仪式</w:t>
          </w:r>
          <w:r>
            <w:rPr>
              <w:sz w:val="24"/>
              <w:szCs w:val="24"/>
            </w:rPr>
            <w:tab/>
          </w:r>
          <w:r>
            <w:rPr>
              <w:sz w:val="24"/>
              <w:szCs w:val="24"/>
            </w:rPr>
            <w:fldChar w:fldCharType="begin"/>
          </w:r>
          <w:r>
            <w:rPr>
              <w:sz w:val="24"/>
              <w:szCs w:val="24"/>
            </w:rPr>
            <w:instrText xml:space="preserve"> PAGEREF _Toc3172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lang w:val="en-US" w:eastAsia="zh-CN"/>
            </w:rPr>
            <w:fldChar w:fldCharType="end"/>
          </w:r>
        </w:p>
        <w:p w14:paraId="1F97E08C">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_Toc21669 </w:instrText>
          </w:r>
          <w:r>
            <w:rPr>
              <w:rFonts w:hint="eastAsia" w:ascii="宋体" w:hAnsi="宋体" w:eastAsia="宋体" w:cs="宋体"/>
              <w:sz w:val="24"/>
              <w:szCs w:val="24"/>
              <w:lang w:val="en-US" w:eastAsia="zh-CN"/>
            </w:rPr>
            <w:fldChar w:fldCharType="separate"/>
          </w:r>
          <w:r>
            <w:rPr>
              <w:rFonts w:hint="eastAsia"/>
              <w:bCs/>
              <w:snapToGrid w:val="0"/>
              <w:sz w:val="24"/>
              <w:szCs w:val="24"/>
            </w:rPr>
            <w:t>六、评标程序和要求</w:t>
          </w:r>
          <w:r>
            <w:rPr>
              <w:sz w:val="24"/>
              <w:szCs w:val="24"/>
            </w:rPr>
            <w:tab/>
          </w:r>
          <w:r>
            <w:rPr>
              <w:sz w:val="24"/>
              <w:szCs w:val="24"/>
            </w:rPr>
            <w:fldChar w:fldCharType="begin"/>
          </w:r>
          <w:r>
            <w:rPr>
              <w:sz w:val="24"/>
              <w:szCs w:val="24"/>
            </w:rPr>
            <w:instrText xml:space="preserve"> PAGEREF _Toc21669 \h </w:instrText>
          </w:r>
          <w:r>
            <w:rPr>
              <w:sz w:val="24"/>
              <w:szCs w:val="24"/>
            </w:rPr>
            <w:fldChar w:fldCharType="separate"/>
          </w:r>
          <w:r>
            <w:rPr>
              <w:sz w:val="24"/>
              <w:szCs w:val="24"/>
            </w:rPr>
            <w:t>15</w:t>
          </w:r>
          <w:r>
            <w:rPr>
              <w:sz w:val="24"/>
              <w:szCs w:val="24"/>
            </w:rPr>
            <w:fldChar w:fldCharType="end"/>
          </w:r>
          <w:r>
            <w:rPr>
              <w:rFonts w:hint="eastAsia" w:ascii="宋体" w:hAnsi="宋体" w:eastAsia="宋体" w:cs="宋体"/>
              <w:sz w:val="24"/>
              <w:szCs w:val="24"/>
              <w:lang w:val="en-US" w:eastAsia="zh-CN"/>
            </w:rPr>
            <w:fldChar w:fldCharType="end"/>
          </w:r>
        </w:p>
        <w:p w14:paraId="2CC9331B">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_Toc30855 </w:instrText>
          </w:r>
          <w:r>
            <w:rPr>
              <w:rFonts w:hint="eastAsia" w:ascii="宋体" w:hAnsi="宋体" w:eastAsia="宋体" w:cs="宋体"/>
              <w:sz w:val="24"/>
              <w:szCs w:val="24"/>
              <w:lang w:val="en-US" w:eastAsia="zh-CN"/>
            </w:rPr>
            <w:fldChar w:fldCharType="separate"/>
          </w:r>
          <w:r>
            <w:rPr>
              <w:rFonts w:hint="eastAsia"/>
              <w:bCs/>
              <w:snapToGrid w:val="0"/>
              <w:sz w:val="24"/>
              <w:szCs w:val="24"/>
            </w:rPr>
            <w:t>七、签订合同</w:t>
          </w:r>
          <w:r>
            <w:rPr>
              <w:sz w:val="24"/>
              <w:szCs w:val="24"/>
            </w:rPr>
            <w:tab/>
          </w:r>
          <w:r>
            <w:rPr>
              <w:sz w:val="24"/>
              <w:szCs w:val="24"/>
            </w:rPr>
            <w:fldChar w:fldCharType="begin"/>
          </w:r>
          <w:r>
            <w:rPr>
              <w:sz w:val="24"/>
              <w:szCs w:val="24"/>
            </w:rPr>
            <w:instrText xml:space="preserve"> PAGEREF _Toc30855 \h </w:instrText>
          </w:r>
          <w:r>
            <w:rPr>
              <w:sz w:val="24"/>
              <w:szCs w:val="24"/>
            </w:rPr>
            <w:fldChar w:fldCharType="separate"/>
          </w:r>
          <w:r>
            <w:rPr>
              <w:sz w:val="24"/>
              <w:szCs w:val="24"/>
            </w:rPr>
            <w:t>18</w:t>
          </w:r>
          <w:r>
            <w:rPr>
              <w:sz w:val="24"/>
              <w:szCs w:val="24"/>
            </w:rPr>
            <w:fldChar w:fldCharType="end"/>
          </w:r>
          <w:r>
            <w:rPr>
              <w:rFonts w:hint="eastAsia" w:ascii="宋体" w:hAnsi="宋体" w:eastAsia="宋体" w:cs="宋体"/>
              <w:sz w:val="24"/>
              <w:szCs w:val="24"/>
              <w:lang w:val="en-US" w:eastAsia="zh-CN"/>
            </w:rPr>
            <w:fldChar w:fldCharType="end"/>
          </w:r>
        </w:p>
        <w:p w14:paraId="636CBFCB">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_Toc28063 </w:instrText>
          </w:r>
          <w:r>
            <w:rPr>
              <w:rFonts w:hint="eastAsia" w:ascii="宋体" w:hAnsi="宋体" w:eastAsia="宋体" w:cs="宋体"/>
              <w:sz w:val="24"/>
              <w:szCs w:val="24"/>
              <w:lang w:val="en-US" w:eastAsia="zh-CN"/>
            </w:rPr>
            <w:fldChar w:fldCharType="separate"/>
          </w:r>
          <w:r>
            <w:rPr>
              <w:rFonts w:hint="eastAsia"/>
              <w:bCs/>
              <w:snapToGrid w:val="0"/>
              <w:sz w:val="24"/>
              <w:szCs w:val="24"/>
            </w:rPr>
            <w:t>八、保密和披露</w:t>
          </w:r>
          <w:r>
            <w:rPr>
              <w:sz w:val="24"/>
              <w:szCs w:val="24"/>
            </w:rPr>
            <w:tab/>
          </w:r>
          <w:r>
            <w:rPr>
              <w:sz w:val="24"/>
              <w:szCs w:val="24"/>
            </w:rPr>
            <w:fldChar w:fldCharType="begin"/>
          </w:r>
          <w:r>
            <w:rPr>
              <w:sz w:val="24"/>
              <w:szCs w:val="24"/>
            </w:rPr>
            <w:instrText xml:space="preserve"> PAGEREF _Toc28063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sz w:val="24"/>
              <w:szCs w:val="24"/>
              <w:lang w:val="en-US" w:eastAsia="zh-CN"/>
            </w:rPr>
            <w:fldChar w:fldCharType="end"/>
          </w:r>
        </w:p>
        <w:p w14:paraId="25D610B3">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_Toc10254 </w:instrText>
          </w:r>
          <w:r>
            <w:rPr>
              <w:rFonts w:hint="eastAsia" w:ascii="宋体" w:hAnsi="宋体" w:eastAsia="宋体" w:cs="宋体"/>
              <w:sz w:val="24"/>
              <w:szCs w:val="24"/>
              <w:lang w:val="en-US" w:eastAsia="zh-CN"/>
            </w:rPr>
            <w:fldChar w:fldCharType="separate"/>
          </w:r>
          <w:r>
            <w:rPr>
              <w:rFonts w:hint="eastAsia"/>
              <w:bCs/>
              <w:snapToGrid w:val="0"/>
              <w:sz w:val="24"/>
              <w:szCs w:val="24"/>
            </w:rPr>
            <w:t>九、询问和质疑</w:t>
          </w:r>
          <w:r>
            <w:rPr>
              <w:sz w:val="24"/>
              <w:szCs w:val="24"/>
            </w:rPr>
            <w:tab/>
          </w:r>
          <w:r>
            <w:rPr>
              <w:sz w:val="24"/>
              <w:szCs w:val="24"/>
            </w:rPr>
            <w:fldChar w:fldCharType="begin"/>
          </w:r>
          <w:r>
            <w:rPr>
              <w:sz w:val="24"/>
              <w:szCs w:val="24"/>
            </w:rPr>
            <w:instrText xml:space="preserve"> PAGEREF _Toc10254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sz w:val="24"/>
              <w:szCs w:val="24"/>
              <w:lang w:val="en-US" w:eastAsia="zh-CN"/>
            </w:rPr>
            <w:fldChar w:fldCharType="end"/>
          </w:r>
        </w:p>
        <w:p w14:paraId="22EAFEE2">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_Toc14289 </w:instrText>
          </w:r>
          <w:r>
            <w:rPr>
              <w:rFonts w:hint="eastAsia" w:ascii="宋体" w:hAnsi="宋体" w:eastAsia="宋体" w:cs="宋体"/>
              <w:sz w:val="24"/>
              <w:szCs w:val="24"/>
              <w:lang w:val="en-US" w:eastAsia="zh-CN"/>
            </w:rPr>
            <w:fldChar w:fldCharType="separate"/>
          </w:r>
          <w:r>
            <w:rPr>
              <w:rFonts w:hint="eastAsia"/>
              <w:bCs/>
              <w:snapToGrid w:val="0"/>
              <w:sz w:val="24"/>
              <w:szCs w:val="24"/>
            </w:rPr>
            <w:t>十、违约处罚</w:t>
          </w:r>
          <w:r>
            <w:rPr>
              <w:sz w:val="24"/>
              <w:szCs w:val="24"/>
            </w:rPr>
            <w:tab/>
          </w:r>
          <w:r>
            <w:rPr>
              <w:sz w:val="24"/>
              <w:szCs w:val="24"/>
            </w:rPr>
            <w:fldChar w:fldCharType="begin"/>
          </w:r>
          <w:r>
            <w:rPr>
              <w:sz w:val="24"/>
              <w:szCs w:val="24"/>
            </w:rPr>
            <w:instrText xml:space="preserve"> PAGEREF _Toc14289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sz w:val="24"/>
              <w:szCs w:val="24"/>
              <w:lang w:val="en-US" w:eastAsia="zh-CN"/>
            </w:rPr>
            <w:fldChar w:fldCharType="end"/>
          </w:r>
        </w:p>
        <w:p w14:paraId="14A5C0D9">
          <w:pPr>
            <w:pStyle w:val="8"/>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_Toc26311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highlight w:val="none"/>
              <w:lang w:val="en-US" w:eastAsia="zh-CN"/>
            </w:rPr>
            <w:t>第三章  服务方案</w:t>
          </w:r>
          <w:r>
            <w:rPr>
              <w:sz w:val="24"/>
              <w:szCs w:val="24"/>
            </w:rPr>
            <w:tab/>
          </w:r>
          <w:r>
            <w:rPr>
              <w:sz w:val="24"/>
              <w:szCs w:val="24"/>
            </w:rPr>
            <w:fldChar w:fldCharType="begin"/>
          </w:r>
          <w:r>
            <w:rPr>
              <w:sz w:val="24"/>
              <w:szCs w:val="24"/>
            </w:rPr>
            <w:instrText xml:space="preserve"> PAGEREF _Toc26311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sz w:val="24"/>
              <w:szCs w:val="24"/>
              <w:lang w:val="en-US" w:eastAsia="zh-CN"/>
            </w:rPr>
            <w:fldChar w:fldCharType="end"/>
          </w:r>
        </w:p>
        <w:p w14:paraId="48DEDCC9">
          <w:pPr>
            <w:pStyle w:val="8"/>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_Toc11479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lang w:val="en-US" w:eastAsia="zh-CN"/>
            </w:rPr>
            <w:t>第四章  评审办法</w:t>
          </w:r>
          <w:r>
            <w:rPr>
              <w:sz w:val="24"/>
              <w:szCs w:val="24"/>
            </w:rPr>
            <w:tab/>
          </w:r>
          <w:r>
            <w:rPr>
              <w:sz w:val="24"/>
              <w:szCs w:val="24"/>
            </w:rPr>
            <w:fldChar w:fldCharType="begin"/>
          </w:r>
          <w:r>
            <w:rPr>
              <w:sz w:val="24"/>
              <w:szCs w:val="24"/>
            </w:rPr>
            <w:instrText xml:space="preserve"> PAGEREF _Toc11479 \h </w:instrText>
          </w:r>
          <w:r>
            <w:rPr>
              <w:sz w:val="24"/>
              <w:szCs w:val="24"/>
            </w:rPr>
            <w:fldChar w:fldCharType="separate"/>
          </w:r>
          <w:r>
            <w:rPr>
              <w:sz w:val="24"/>
              <w:szCs w:val="24"/>
            </w:rPr>
            <w:t>25</w:t>
          </w:r>
          <w:r>
            <w:rPr>
              <w:sz w:val="24"/>
              <w:szCs w:val="24"/>
            </w:rPr>
            <w:fldChar w:fldCharType="end"/>
          </w:r>
          <w:r>
            <w:rPr>
              <w:rFonts w:hint="eastAsia" w:ascii="宋体" w:hAnsi="宋体" w:eastAsia="宋体" w:cs="宋体"/>
              <w:sz w:val="24"/>
              <w:szCs w:val="24"/>
              <w:lang w:val="en-US" w:eastAsia="zh-CN"/>
            </w:rPr>
            <w:fldChar w:fldCharType="end"/>
          </w:r>
        </w:p>
        <w:p w14:paraId="5839560D">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_Toc22724 </w:instrText>
          </w:r>
          <w:r>
            <w:rPr>
              <w:rFonts w:hint="eastAsia" w:ascii="宋体" w:hAnsi="宋体" w:eastAsia="宋体" w:cs="宋体"/>
              <w:sz w:val="24"/>
              <w:szCs w:val="24"/>
              <w:lang w:val="en-US" w:eastAsia="zh-CN"/>
            </w:rPr>
            <w:fldChar w:fldCharType="separate"/>
          </w:r>
          <w:r>
            <w:rPr>
              <w:rFonts w:hint="eastAsia"/>
              <w:bCs/>
              <w:snapToGrid w:val="0"/>
              <w:sz w:val="24"/>
              <w:szCs w:val="24"/>
            </w:rPr>
            <w:t>一、评审方法</w:t>
          </w:r>
          <w:r>
            <w:rPr>
              <w:sz w:val="24"/>
              <w:szCs w:val="24"/>
            </w:rPr>
            <w:tab/>
          </w:r>
          <w:r>
            <w:rPr>
              <w:sz w:val="24"/>
              <w:szCs w:val="24"/>
            </w:rPr>
            <w:fldChar w:fldCharType="begin"/>
          </w:r>
          <w:r>
            <w:rPr>
              <w:sz w:val="24"/>
              <w:szCs w:val="24"/>
            </w:rPr>
            <w:instrText xml:space="preserve"> PAGEREF _Toc22724 \h </w:instrText>
          </w:r>
          <w:r>
            <w:rPr>
              <w:sz w:val="24"/>
              <w:szCs w:val="24"/>
            </w:rPr>
            <w:fldChar w:fldCharType="separate"/>
          </w:r>
          <w:r>
            <w:rPr>
              <w:sz w:val="24"/>
              <w:szCs w:val="24"/>
            </w:rPr>
            <w:t>25</w:t>
          </w:r>
          <w:r>
            <w:rPr>
              <w:sz w:val="24"/>
              <w:szCs w:val="24"/>
            </w:rPr>
            <w:fldChar w:fldCharType="end"/>
          </w:r>
          <w:r>
            <w:rPr>
              <w:rFonts w:hint="eastAsia" w:ascii="宋体" w:hAnsi="宋体" w:eastAsia="宋体" w:cs="宋体"/>
              <w:sz w:val="24"/>
              <w:szCs w:val="24"/>
              <w:lang w:val="en-US" w:eastAsia="zh-CN"/>
            </w:rPr>
            <w:fldChar w:fldCharType="end"/>
          </w:r>
        </w:p>
        <w:p w14:paraId="2751FE41">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_Toc13781 </w:instrText>
          </w:r>
          <w:r>
            <w:rPr>
              <w:rFonts w:hint="eastAsia" w:ascii="宋体" w:hAnsi="宋体" w:eastAsia="宋体" w:cs="宋体"/>
              <w:sz w:val="24"/>
              <w:szCs w:val="24"/>
              <w:lang w:val="en-US" w:eastAsia="zh-CN"/>
            </w:rPr>
            <w:fldChar w:fldCharType="separate"/>
          </w:r>
          <w:r>
            <w:rPr>
              <w:rFonts w:hint="eastAsia"/>
              <w:bCs/>
              <w:snapToGrid w:val="0"/>
              <w:sz w:val="24"/>
              <w:szCs w:val="24"/>
            </w:rPr>
            <w:t>二、评审程序</w:t>
          </w:r>
          <w:r>
            <w:rPr>
              <w:sz w:val="24"/>
              <w:szCs w:val="24"/>
            </w:rPr>
            <w:tab/>
          </w:r>
          <w:r>
            <w:rPr>
              <w:sz w:val="24"/>
              <w:szCs w:val="24"/>
            </w:rPr>
            <w:fldChar w:fldCharType="begin"/>
          </w:r>
          <w:r>
            <w:rPr>
              <w:sz w:val="24"/>
              <w:szCs w:val="24"/>
            </w:rPr>
            <w:instrText xml:space="preserve"> PAGEREF _Toc13781 \h </w:instrText>
          </w:r>
          <w:r>
            <w:rPr>
              <w:sz w:val="24"/>
              <w:szCs w:val="24"/>
            </w:rPr>
            <w:fldChar w:fldCharType="separate"/>
          </w:r>
          <w:r>
            <w:rPr>
              <w:sz w:val="24"/>
              <w:szCs w:val="24"/>
            </w:rPr>
            <w:t>25</w:t>
          </w:r>
          <w:r>
            <w:rPr>
              <w:sz w:val="24"/>
              <w:szCs w:val="24"/>
            </w:rPr>
            <w:fldChar w:fldCharType="end"/>
          </w:r>
          <w:r>
            <w:rPr>
              <w:rFonts w:hint="eastAsia" w:ascii="宋体" w:hAnsi="宋体" w:eastAsia="宋体" w:cs="宋体"/>
              <w:sz w:val="24"/>
              <w:szCs w:val="24"/>
              <w:lang w:val="en-US" w:eastAsia="zh-CN"/>
            </w:rPr>
            <w:fldChar w:fldCharType="end"/>
          </w:r>
        </w:p>
        <w:p w14:paraId="4BA22422">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_Toc10887 </w:instrText>
          </w:r>
          <w:r>
            <w:rPr>
              <w:rFonts w:hint="eastAsia" w:ascii="宋体" w:hAnsi="宋体" w:eastAsia="宋体" w:cs="宋体"/>
              <w:sz w:val="24"/>
              <w:szCs w:val="24"/>
              <w:lang w:val="en-US" w:eastAsia="zh-CN"/>
            </w:rPr>
            <w:fldChar w:fldCharType="separate"/>
          </w:r>
          <w:r>
            <w:rPr>
              <w:rFonts w:hint="eastAsia"/>
              <w:bCs/>
              <w:snapToGrid w:val="0"/>
              <w:sz w:val="24"/>
              <w:szCs w:val="24"/>
            </w:rPr>
            <w:t>三、响应文件初审</w:t>
          </w:r>
          <w:r>
            <w:rPr>
              <w:sz w:val="24"/>
              <w:szCs w:val="24"/>
            </w:rPr>
            <w:tab/>
          </w:r>
          <w:r>
            <w:rPr>
              <w:sz w:val="24"/>
              <w:szCs w:val="24"/>
            </w:rPr>
            <w:fldChar w:fldCharType="begin"/>
          </w:r>
          <w:r>
            <w:rPr>
              <w:sz w:val="24"/>
              <w:szCs w:val="24"/>
            </w:rPr>
            <w:instrText xml:space="preserve"> PAGEREF _Toc10887 \h </w:instrText>
          </w:r>
          <w:r>
            <w:rPr>
              <w:sz w:val="24"/>
              <w:szCs w:val="24"/>
            </w:rPr>
            <w:fldChar w:fldCharType="separate"/>
          </w:r>
          <w:r>
            <w:rPr>
              <w:sz w:val="24"/>
              <w:szCs w:val="24"/>
            </w:rPr>
            <w:t>25</w:t>
          </w:r>
          <w:r>
            <w:rPr>
              <w:sz w:val="24"/>
              <w:szCs w:val="24"/>
            </w:rPr>
            <w:fldChar w:fldCharType="end"/>
          </w:r>
          <w:r>
            <w:rPr>
              <w:rFonts w:hint="eastAsia" w:ascii="宋体" w:hAnsi="宋体" w:eastAsia="宋体" w:cs="宋体"/>
              <w:sz w:val="24"/>
              <w:szCs w:val="24"/>
              <w:lang w:val="en-US" w:eastAsia="zh-CN"/>
            </w:rPr>
            <w:fldChar w:fldCharType="end"/>
          </w:r>
        </w:p>
        <w:p w14:paraId="4F8A5939">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_Toc23920 </w:instrText>
          </w:r>
          <w:r>
            <w:rPr>
              <w:rFonts w:hint="eastAsia" w:ascii="宋体" w:hAnsi="宋体" w:eastAsia="宋体" w:cs="宋体"/>
              <w:sz w:val="24"/>
              <w:szCs w:val="24"/>
              <w:lang w:val="en-US" w:eastAsia="zh-CN"/>
            </w:rPr>
            <w:fldChar w:fldCharType="separate"/>
          </w:r>
          <w:r>
            <w:rPr>
              <w:rFonts w:hint="eastAsia"/>
              <w:bCs/>
              <w:snapToGrid w:val="0"/>
              <w:sz w:val="24"/>
              <w:szCs w:val="24"/>
            </w:rPr>
            <w:t>四、澄清及偏差有关问题</w:t>
          </w:r>
          <w:r>
            <w:rPr>
              <w:sz w:val="24"/>
              <w:szCs w:val="24"/>
            </w:rPr>
            <w:tab/>
          </w:r>
          <w:r>
            <w:rPr>
              <w:sz w:val="24"/>
              <w:szCs w:val="24"/>
            </w:rPr>
            <w:fldChar w:fldCharType="begin"/>
          </w:r>
          <w:r>
            <w:rPr>
              <w:sz w:val="24"/>
              <w:szCs w:val="24"/>
            </w:rPr>
            <w:instrText xml:space="preserve"> PAGEREF _Toc23920 \h </w:instrText>
          </w:r>
          <w:r>
            <w:rPr>
              <w:sz w:val="24"/>
              <w:szCs w:val="24"/>
            </w:rPr>
            <w:fldChar w:fldCharType="separate"/>
          </w:r>
          <w:r>
            <w:rPr>
              <w:sz w:val="24"/>
              <w:szCs w:val="24"/>
            </w:rPr>
            <w:t>26</w:t>
          </w:r>
          <w:r>
            <w:rPr>
              <w:sz w:val="24"/>
              <w:szCs w:val="24"/>
            </w:rPr>
            <w:fldChar w:fldCharType="end"/>
          </w:r>
          <w:r>
            <w:rPr>
              <w:rFonts w:hint="eastAsia" w:ascii="宋体" w:hAnsi="宋体" w:eastAsia="宋体" w:cs="宋体"/>
              <w:sz w:val="24"/>
              <w:szCs w:val="24"/>
              <w:lang w:val="en-US" w:eastAsia="zh-CN"/>
            </w:rPr>
            <w:fldChar w:fldCharType="end"/>
          </w:r>
        </w:p>
        <w:p w14:paraId="3E6BB07E">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_Toc13223 </w:instrText>
          </w:r>
          <w:r>
            <w:rPr>
              <w:rFonts w:hint="eastAsia" w:ascii="宋体" w:hAnsi="宋体" w:eastAsia="宋体" w:cs="宋体"/>
              <w:sz w:val="24"/>
              <w:szCs w:val="24"/>
              <w:lang w:val="en-US" w:eastAsia="zh-CN"/>
            </w:rPr>
            <w:fldChar w:fldCharType="separate"/>
          </w:r>
          <w:r>
            <w:rPr>
              <w:rFonts w:hint="eastAsia"/>
              <w:bCs/>
              <w:snapToGrid w:val="0"/>
              <w:sz w:val="24"/>
              <w:szCs w:val="24"/>
            </w:rPr>
            <w:t>五、磋商与最终报价</w:t>
          </w:r>
          <w:r>
            <w:rPr>
              <w:sz w:val="24"/>
              <w:szCs w:val="24"/>
            </w:rPr>
            <w:tab/>
          </w:r>
          <w:r>
            <w:rPr>
              <w:sz w:val="24"/>
              <w:szCs w:val="24"/>
            </w:rPr>
            <w:fldChar w:fldCharType="begin"/>
          </w:r>
          <w:r>
            <w:rPr>
              <w:sz w:val="24"/>
              <w:szCs w:val="24"/>
            </w:rPr>
            <w:instrText xml:space="preserve"> PAGEREF _Toc13223 \h </w:instrText>
          </w:r>
          <w:r>
            <w:rPr>
              <w:sz w:val="24"/>
              <w:szCs w:val="24"/>
            </w:rPr>
            <w:fldChar w:fldCharType="separate"/>
          </w:r>
          <w:r>
            <w:rPr>
              <w:sz w:val="24"/>
              <w:szCs w:val="24"/>
            </w:rPr>
            <w:t>27</w:t>
          </w:r>
          <w:r>
            <w:rPr>
              <w:sz w:val="24"/>
              <w:szCs w:val="24"/>
            </w:rPr>
            <w:fldChar w:fldCharType="end"/>
          </w:r>
          <w:r>
            <w:rPr>
              <w:rFonts w:hint="eastAsia" w:ascii="宋体" w:hAnsi="宋体" w:eastAsia="宋体" w:cs="宋体"/>
              <w:sz w:val="24"/>
              <w:szCs w:val="24"/>
              <w:lang w:val="en-US" w:eastAsia="zh-CN"/>
            </w:rPr>
            <w:fldChar w:fldCharType="end"/>
          </w:r>
        </w:p>
        <w:p w14:paraId="6DB4D0E7">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_Toc15967 </w:instrText>
          </w:r>
          <w:r>
            <w:rPr>
              <w:rFonts w:hint="eastAsia" w:ascii="宋体" w:hAnsi="宋体" w:eastAsia="宋体" w:cs="宋体"/>
              <w:sz w:val="24"/>
              <w:szCs w:val="24"/>
              <w:lang w:val="en-US" w:eastAsia="zh-CN"/>
            </w:rPr>
            <w:fldChar w:fldCharType="separate"/>
          </w:r>
          <w:r>
            <w:rPr>
              <w:rFonts w:hint="eastAsia"/>
              <w:bCs/>
              <w:snapToGrid w:val="0"/>
              <w:sz w:val="24"/>
              <w:szCs w:val="24"/>
            </w:rPr>
            <w:t>六、比较与评价</w:t>
          </w:r>
          <w:r>
            <w:rPr>
              <w:sz w:val="24"/>
              <w:szCs w:val="24"/>
            </w:rPr>
            <w:tab/>
          </w:r>
          <w:r>
            <w:rPr>
              <w:sz w:val="24"/>
              <w:szCs w:val="24"/>
            </w:rPr>
            <w:fldChar w:fldCharType="begin"/>
          </w:r>
          <w:r>
            <w:rPr>
              <w:sz w:val="24"/>
              <w:szCs w:val="24"/>
            </w:rPr>
            <w:instrText xml:space="preserve"> PAGEREF _Toc15967 \h </w:instrText>
          </w:r>
          <w:r>
            <w:rPr>
              <w:sz w:val="24"/>
              <w:szCs w:val="24"/>
            </w:rPr>
            <w:fldChar w:fldCharType="separate"/>
          </w:r>
          <w:r>
            <w:rPr>
              <w:sz w:val="24"/>
              <w:szCs w:val="24"/>
            </w:rPr>
            <w:t>27</w:t>
          </w:r>
          <w:r>
            <w:rPr>
              <w:sz w:val="24"/>
              <w:szCs w:val="24"/>
            </w:rPr>
            <w:fldChar w:fldCharType="end"/>
          </w:r>
          <w:r>
            <w:rPr>
              <w:rFonts w:hint="eastAsia" w:ascii="宋体" w:hAnsi="宋体" w:eastAsia="宋体" w:cs="宋体"/>
              <w:sz w:val="24"/>
              <w:szCs w:val="24"/>
              <w:lang w:val="en-US" w:eastAsia="zh-CN"/>
            </w:rPr>
            <w:fldChar w:fldCharType="end"/>
          </w:r>
        </w:p>
        <w:p w14:paraId="79795097">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_Toc10126 </w:instrText>
          </w:r>
          <w:r>
            <w:rPr>
              <w:rFonts w:hint="eastAsia" w:ascii="宋体" w:hAnsi="宋体" w:eastAsia="宋体" w:cs="宋体"/>
              <w:sz w:val="24"/>
              <w:szCs w:val="24"/>
              <w:lang w:val="en-US" w:eastAsia="zh-CN"/>
            </w:rPr>
            <w:fldChar w:fldCharType="separate"/>
          </w:r>
          <w:r>
            <w:rPr>
              <w:rFonts w:hint="eastAsia"/>
              <w:bCs/>
              <w:snapToGrid w:val="0"/>
              <w:sz w:val="24"/>
              <w:szCs w:val="24"/>
            </w:rPr>
            <w:t>七、 推荐</w:t>
          </w:r>
          <w:r>
            <w:rPr>
              <w:rFonts w:hint="eastAsia"/>
              <w:bCs/>
              <w:snapToGrid w:val="0"/>
              <w:sz w:val="24"/>
              <w:szCs w:val="24"/>
              <w:lang w:eastAsia="zh-CN"/>
            </w:rPr>
            <w:t>成交候选人</w:t>
          </w:r>
          <w:r>
            <w:rPr>
              <w:rFonts w:hint="eastAsia"/>
              <w:bCs/>
              <w:snapToGrid w:val="0"/>
              <w:sz w:val="24"/>
              <w:szCs w:val="24"/>
            </w:rPr>
            <w:t>名单</w:t>
          </w:r>
          <w:r>
            <w:rPr>
              <w:sz w:val="24"/>
              <w:szCs w:val="24"/>
            </w:rPr>
            <w:tab/>
          </w:r>
          <w:r>
            <w:rPr>
              <w:sz w:val="24"/>
              <w:szCs w:val="24"/>
            </w:rPr>
            <w:fldChar w:fldCharType="begin"/>
          </w:r>
          <w:r>
            <w:rPr>
              <w:sz w:val="24"/>
              <w:szCs w:val="24"/>
            </w:rPr>
            <w:instrText xml:space="preserve"> PAGEREF _Toc10126 \h </w:instrText>
          </w:r>
          <w:r>
            <w:rPr>
              <w:sz w:val="24"/>
              <w:szCs w:val="24"/>
            </w:rPr>
            <w:fldChar w:fldCharType="separate"/>
          </w:r>
          <w:r>
            <w:rPr>
              <w:sz w:val="24"/>
              <w:szCs w:val="24"/>
            </w:rPr>
            <w:t>28</w:t>
          </w:r>
          <w:r>
            <w:rPr>
              <w:sz w:val="24"/>
              <w:szCs w:val="24"/>
            </w:rPr>
            <w:fldChar w:fldCharType="end"/>
          </w:r>
          <w:r>
            <w:rPr>
              <w:rFonts w:hint="eastAsia" w:ascii="宋体" w:hAnsi="宋体" w:eastAsia="宋体" w:cs="宋体"/>
              <w:sz w:val="24"/>
              <w:szCs w:val="24"/>
              <w:lang w:val="en-US" w:eastAsia="zh-CN"/>
            </w:rPr>
            <w:fldChar w:fldCharType="end"/>
          </w:r>
        </w:p>
        <w:p w14:paraId="07AD9243">
          <w:pPr>
            <w:pStyle w:val="8"/>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_Toc31661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lang w:val="en-US" w:eastAsia="zh-CN"/>
            </w:rPr>
            <w:t>第五章  合同格式</w:t>
          </w:r>
          <w:r>
            <w:rPr>
              <w:sz w:val="24"/>
              <w:szCs w:val="24"/>
            </w:rPr>
            <w:tab/>
          </w:r>
          <w:r>
            <w:rPr>
              <w:sz w:val="24"/>
              <w:szCs w:val="24"/>
            </w:rPr>
            <w:fldChar w:fldCharType="begin"/>
          </w:r>
          <w:r>
            <w:rPr>
              <w:sz w:val="24"/>
              <w:szCs w:val="24"/>
            </w:rPr>
            <w:instrText xml:space="preserve"> PAGEREF _Toc31661 \h </w:instrText>
          </w:r>
          <w:r>
            <w:rPr>
              <w:sz w:val="24"/>
              <w:szCs w:val="24"/>
            </w:rPr>
            <w:fldChar w:fldCharType="separate"/>
          </w:r>
          <w:r>
            <w:rPr>
              <w:sz w:val="24"/>
              <w:szCs w:val="24"/>
            </w:rPr>
            <w:t>35</w:t>
          </w:r>
          <w:r>
            <w:rPr>
              <w:sz w:val="24"/>
              <w:szCs w:val="24"/>
            </w:rPr>
            <w:fldChar w:fldCharType="end"/>
          </w:r>
          <w:r>
            <w:rPr>
              <w:rFonts w:hint="eastAsia" w:ascii="宋体" w:hAnsi="宋体" w:eastAsia="宋体" w:cs="宋体"/>
              <w:sz w:val="24"/>
              <w:szCs w:val="24"/>
              <w:lang w:val="en-US" w:eastAsia="zh-CN"/>
            </w:rPr>
            <w:fldChar w:fldCharType="end"/>
          </w:r>
        </w:p>
        <w:p w14:paraId="007773A5">
          <w:pPr>
            <w:pStyle w:val="8"/>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_Toc3393 </w:instrText>
          </w:r>
          <w:r>
            <w:rPr>
              <w:rFonts w:hint="eastAsia" w:ascii="宋体" w:hAnsi="宋体" w:eastAsia="宋体" w:cs="宋体"/>
              <w:sz w:val="24"/>
              <w:szCs w:val="24"/>
              <w:lang w:val="en-US" w:eastAsia="zh-CN"/>
            </w:rPr>
            <w:fldChar w:fldCharType="separate"/>
          </w:r>
          <w:r>
            <w:rPr>
              <w:rFonts w:hint="eastAsia" w:ascii="宋体" w:hAnsi="宋体" w:eastAsia="宋体" w:cs="宋体"/>
              <w:bCs/>
              <w:sz w:val="24"/>
              <w:szCs w:val="24"/>
              <w:lang w:val="en-US" w:eastAsia="zh-CN" w:bidi="zh-CN"/>
            </w:rPr>
            <w:t>第六章 响应文件格式</w:t>
          </w:r>
          <w:r>
            <w:rPr>
              <w:sz w:val="24"/>
              <w:szCs w:val="24"/>
            </w:rPr>
            <w:tab/>
          </w:r>
          <w:r>
            <w:rPr>
              <w:sz w:val="24"/>
              <w:szCs w:val="24"/>
            </w:rPr>
            <w:fldChar w:fldCharType="begin"/>
          </w:r>
          <w:r>
            <w:rPr>
              <w:sz w:val="24"/>
              <w:szCs w:val="24"/>
            </w:rPr>
            <w:instrText xml:space="preserve"> PAGEREF _Toc3393 \h </w:instrText>
          </w:r>
          <w:r>
            <w:rPr>
              <w:sz w:val="24"/>
              <w:szCs w:val="24"/>
            </w:rPr>
            <w:fldChar w:fldCharType="separate"/>
          </w:r>
          <w:r>
            <w:rPr>
              <w:sz w:val="24"/>
              <w:szCs w:val="24"/>
            </w:rPr>
            <w:t>42</w:t>
          </w:r>
          <w:r>
            <w:rPr>
              <w:sz w:val="24"/>
              <w:szCs w:val="24"/>
            </w:rPr>
            <w:fldChar w:fldCharType="end"/>
          </w:r>
          <w:r>
            <w:rPr>
              <w:rFonts w:hint="eastAsia" w:ascii="宋体" w:hAnsi="宋体" w:eastAsia="宋体" w:cs="宋体"/>
              <w:sz w:val="24"/>
              <w:szCs w:val="24"/>
              <w:lang w:val="en-US" w:eastAsia="zh-CN"/>
            </w:rPr>
            <w:fldChar w:fldCharType="end"/>
          </w:r>
        </w:p>
        <w:p w14:paraId="02D4DC3C">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_Toc14307 </w:instrText>
          </w:r>
          <w:r>
            <w:rPr>
              <w:rFonts w:hint="eastAsia" w:ascii="宋体" w:hAnsi="宋体" w:eastAsia="宋体" w:cs="宋体"/>
              <w:sz w:val="24"/>
              <w:szCs w:val="24"/>
              <w:lang w:val="en-US" w:eastAsia="zh-CN"/>
            </w:rPr>
            <w:fldChar w:fldCharType="separate"/>
          </w:r>
          <w:r>
            <w:rPr>
              <w:rFonts w:hint="eastAsia" w:ascii="宋体" w:hAnsi="宋体" w:cs="宋体"/>
              <w:sz w:val="24"/>
              <w:szCs w:val="24"/>
              <w:lang w:val="en-US" w:eastAsia="zh-CN"/>
            </w:rPr>
            <w:t>一、</w:t>
          </w:r>
          <w:r>
            <w:rPr>
              <w:rFonts w:hint="eastAsia" w:ascii="宋体" w:hAnsi="宋体" w:eastAsia="宋体" w:cs="宋体"/>
              <w:sz w:val="24"/>
              <w:szCs w:val="24"/>
              <w:lang w:eastAsia="zh-CN"/>
            </w:rPr>
            <w:t>报价函</w:t>
          </w:r>
          <w:r>
            <w:rPr>
              <w:sz w:val="24"/>
              <w:szCs w:val="24"/>
            </w:rPr>
            <w:tab/>
          </w:r>
          <w:r>
            <w:rPr>
              <w:sz w:val="24"/>
              <w:szCs w:val="24"/>
            </w:rPr>
            <w:fldChar w:fldCharType="begin"/>
          </w:r>
          <w:r>
            <w:rPr>
              <w:sz w:val="24"/>
              <w:szCs w:val="24"/>
            </w:rPr>
            <w:instrText xml:space="preserve"> PAGEREF _Toc14307 \h </w:instrText>
          </w:r>
          <w:r>
            <w:rPr>
              <w:sz w:val="24"/>
              <w:szCs w:val="24"/>
            </w:rPr>
            <w:fldChar w:fldCharType="separate"/>
          </w:r>
          <w:r>
            <w:rPr>
              <w:sz w:val="24"/>
              <w:szCs w:val="24"/>
            </w:rPr>
            <w:t>44</w:t>
          </w:r>
          <w:r>
            <w:rPr>
              <w:sz w:val="24"/>
              <w:szCs w:val="24"/>
            </w:rPr>
            <w:fldChar w:fldCharType="end"/>
          </w:r>
          <w:r>
            <w:rPr>
              <w:rFonts w:hint="eastAsia" w:ascii="宋体" w:hAnsi="宋体" w:eastAsia="宋体" w:cs="宋体"/>
              <w:sz w:val="24"/>
              <w:szCs w:val="24"/>
              <w:lang w:val="en-US" w:eastAsia="zh-CN"/>
            </w:rPr>
            <w:fldChar w:fldCharType="end"/>
          </w:r>
        </w:p>
        <w:p w14:paraId="0B847EF8">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_Toc15954 </w:instrText>
          </w:r>
          <w:r>
            <w:rPr>
              <w:rFonts w:hint="eastAsia" w:ascii="宋体" w:hAnsi="宋体" w:eastAsia="宋体" w:cs="宋体"/>
              <w:sz w:val="24"/>
              <w:szCs w:val="24"/>
              <w:lang w:val="en-US" w:eastAsia="zh-CN"/>
            </w:rPr>
            <w:fldChar w:fldCharType="separate"/>
          </w:r>
          <w:r>
            <w:rPr>
              <w:rFonts w:hint="eastAsia" w:ascii="宋体" w:hAnsi="宋体"/>
              <w:sz w:val="24"/>
              <w:szCs w:val="24"/>
              <w:lang w:val="en-US" w:eastAsia="zh-CN"/>
            </w:rPr>
            <w:t>二、</w:t>
          </w:r>
          <w:r>
            <w:rPr>
              <w:rFonts w:hint="eastAsia" w:ascii="宋体" w:hAnsi="宋体"/>
              <w:sz w:val="24"/>
              <w:szCs w:val="24"/>
            </w:rPr>
            <w:t>报价一览表</w:t>
          </w:r>
          <w:r>
            <w:rPr>
              <w:sz w:val="24"/>
              <w:szCs w:val="24"/>
            </w:rPr>
            <w:tab/>
          </w:r>
          <w:r>
            <w:rPr>
              <w:sz w:val="24"/>
              <w:szCs w:val="24"/>
            </w:rPr>
            <w:fldChar w:fldCharType="begin"/>
          </w:r>
          <w:r>
            <w:rPr>
              <w:sz w:val="24"/>
              <w:szCs w:val="24"/>
            </w:rPr>
            <w:instrText xml:space="preserve"> PAGEREF _Toc15954 \h </w:instrText>
          </w:r>
          <w:r>
            <w:rPr>
              <w:sz w:val="24"/>
              <w:szCs w:val="24"/>
            </w:rPr>
            <w:fldChar w:fldCharType="separate"/>
          </w:r>
          <w:r>
            <w:rPr>
              <w:sz w:val="24"/>
              <w:szCs w:val="24"/>
            </w:rPr>
            <w:t>45</w:t>
          </w:r>
          <w:r>
            <w:rPr>
              <w:sz w:val="24"/>
              <w:szCs w:val="24"/>
            </w:rPr>
            <w:fldChar w:fldCharType="end"/>
          </w:r>
          <w:r>
            <w:rPr>
              <w:rFonts w:hint="eastAsia" w:ascii="宋体" w:hAnsi="宋体" w:eastAsia="宋体" w:cs="宋体"/>
              <w:sz w:val="24"/>
              <w:szCs w:val="24"/>
              <w:lang w:val="en-US" w:eastAsia="zh-CN"/>
            </w:rPr>
            <w:fldChar w:fldCharType="end"/>
          </w:r>
        </w:p>
        <w:p w14:paraId="34262AE9">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_Toc27317 </w:instrText>
          </w:r>
          <w:r>
            <w:rPr>
              <w:rFonts w:hint="eastAsia" w:ascii="宋体" w:hAnsi="宋体" w:eastAsia="宋体" w:cs="宋体"/>
              <w:sz w:val="24"/>
              <w:szCs w:val="24"/>
              <w:lang w:val="en-US" w:eastAsia="zh-CN"/>
            </w:rPr>
            <w:fldChar w:fldCharType="separate"/>
          </w:r>
          <w:r>
            <w:rPr>
              <w:rFonts w:hint="eastAsia" w:ascii="宋体" w:hAnsi="宋体"/>
              <w:sz w:val="24"/>
              <w:szCs w:val="24"/>
              <w:lang w:val="en-US" w:eastAsia="zh-CN"/>
            </w:rPr>
            <w:t>三、</w:t>
          </w:r>
          <w:r>
            <w:rPr>
              <w:rFonts w:hint="eastAsia" w:ascii="宋体" w:hAnsi="宋体" w:eastAsia="宋体" w:cs="宋体"/>
              <w:sz w:val="24"/>
              <w:szCs w:val="24"/>
            </w:rPr>
            <w:t>整体策划服务方案</w:t>
          </w:r>
          <w:r>
            <w:rPr>
              <w:sz w:val="24"/>
              <w:szCs w:val="24"/>
            </w:rPr>
            <w:tab/>
          </w:r>
          <w:r>
            <w:rPr>
              <w:sz w:val="24"/>
              <w:szCs w:val="24"/>
            </w:rPr>
            <w:fldChar w:fldCharType="begin"/>
          </w:r>
          <w:r>
            <w:rPr>
              <w:sz w:val="24"/>
              <w:szCs w:val="24"/>
            </w:rPr>
            <w:instrText xml:space="preserve"> PAGEREF _Toc27317 \h </w:instrText>
          </w:r>
          <w:r>
            <w:rPr>
              <w:sz w:val="24"/>
              <w:szCs w:val="24"/>
            </w:rPr>
            <w:fldChar w:fldCharType="separate"/>
          </w:r>
          <w:r>
            <w:rPr>
              <w:sz w:val="24"/>
              <w:szCs w:val="24"/>
            </w:rPr>
            <w:t>46</w:t>
          </w:r>
          <w:r>
            <w:rPr>
              <w:sz w:val="24"/>
              <w:szCs w:val="24"/>
            </w:rPr>
            <w:fldChar w:fldCharType="end"/>
          </w:r>
          <w:r>
            <w:rPr>
              <w:rFonts w:hint="eastAsia" w:ascii="宋体" w:hAnsi="宋体" w:eastAsia="宋体" w:cs="宋体"/>
              <w:sz w:val="24"/>
              <w:szCs w:val="24"/>
              <w:lang w:val="en-US" w:eastAsia="zh-CN"/>
            </w:rPr>
            <w:fldChar w:fldCharType="end"/>
          </w:r>
        </w:p>
        <w:p w14:paraId="5CA5FBE7">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_Toc28264 </w:instrText>
          </w:r>
          <w:r>
            <w:rPr>
              <w:rFonts w:hint="eastAsia" w:ascii="宋体" w:hAnsi="宋体" w:eastAsia="宋体" w:cs="宋体"/>
              <w:sz w:val="24"/>
              <w:szCs w:val="24"/>
              <w:lang w:val="en-US" w:eastAsia="zh-CN"/>
            </w:rPr>
            <w:fldChar w:fldCharType="separate"/>
          </w:r>
          <w:r>
            <w:rPr>
              <w:rFonts w:hint="eastAsia" w:ascii="宋体" w:hAnsi="宋体"/>
              <w:sz w:val="24"/>
              <w:szCs w:val="24"/>
              <w:lang w:val="en-US" w:eastAsia="zh-CN"/>
            </w:rPr>
            <w:t>四、</w:t>
          </w:r>
          <w:r>
            <w:rPr>
              <w:rFonts w:hint="eastAsia" w:ascii="宋体" w:hAnsi="宋体"/>
              <w:sz w:val="24"/>
              <w:szCs w:val="24"/>
            </w:rPr>
            <w:t>磋商承诺函</w:t>
          </w:r>
          <w:r>
            <w:rPr>
              <w:sz w:val="24"/>
              <w:szCs w:val="24"/>
            </w:rPr>
            <w:tab/>
          </w:r>
          <w:r>
            <w:rPr>
              <w:sz w:val="24"/>
              <w:szCs w:val="24"/>
            </w:rPr>
            <w:fldChar w:fldCharType="begin"/>
          </w:r>
          <w:r>
            <w:rPr>
              <w:sz w:val="24"/>
              <w:szCs w:val="24"/>
            </w:rPr>
            <w:instrText xml:space="preserve"> PAGEREF _Toc28264 \h </w:instrText>
          </w:r>
          <w:r>
            <w:rPr>
              <w:sz w:val="24"/>
              <w:szCs w:val="24"/>
            </w:rPr>
            <w:fldChar w:fldCharType="separate"/>
          </w:r>
          <w:r>
            <w:rPr>
              <w:sz w:val="24"/>
              <w:szCs w:val="24"/>
            </w:rPr>
            <w:t>47</w:t>
          </w:r>
          <w:r>
            <w:rPr>
              <w:sz w:val="24"/>
              <w:szCs w:val="24"/>
            </w:rPr>
            <w:fldChar w:fldCharType="end"/>
          </w:r>
          <w:r>
            <w:rPr>
              <w:rFonts w:hint="eastAsia" w:ascii="宋体" w:hAnsi="宋体" w:eastAsia="宋体" w:cs="宋体"/>
              <w:sz w:val="24"/>
              <w:szCs w:val="24"/>
              <w:lang w:val="en-US" w:eastAsia="zh-CN"/>
            </w:rPr>
            <w:fldChar w:fldCharType="end"/>
          </w:r>
        </w:p>
        <w:p w14:paraId="57CD29A0">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_Toc12522 </w:instrText>
          </w:r>
          <w:r>
            <w:rPr>
              <w:rFonts w:hint="eastAsia" w:ascii="宋体" w:hAnsi="宋体" w:eastAsia="宋体" w:cs="宋体"/>
              <w:sz w:val="24"/>
              <w:szCs w:val="24"/>
              <w:lang w:val="en-US" w:eastAsia="zh-CN"/>
            </w:rPr>
            <w:fldChar w:fldCharType="separate"/>
          </w:r>
          <w:r>
            <w:rPr>
              <w:rFonts w:hint="eastAsia" w:ascii="宋体" w:hAnsi="宋体"/>
              <w:sz w:val="24"/>
              <w:szCs w:val="24"/>
              <w:lang w:val="en-US" w:eastAsia="zh-CN"/>
            </w:rPr>
            <w:t>五、</w:t>
          </w:r>
          <w:r>
            <w:rPr>
              <w:rFonts w:hint="eastAsia" w:ascii="宋体" w:hAnsi="宋体"/>
              <w:sz w:val="24"/>
              <w:szCs w:val="24"/>
            </w:rPr>
            <w:t>法定代表人身份证明书</w:t>
          </w:r>
          <w:r>
            <w:rPr>
              <w:sz w:val="24"/>
              <w:szCs w:val="24"/>
            </w:rPr>
            <w:tab/>
          </w:r>
          <w:r>
            <w:rPr>
              <w:sz w:val="24"/>
              <w:szCs w:val="24"/>
            </w:rPr>
            <w:fldChar w:fldCharType="begin"/>
          </w:r>
          <w:r>
            <w:rPr>
              <w:sz w:val="24"/>
              <w:szCs w:val="24"/>
            </w:rPr>
            <w:instrText xml:space="preserve"> PAGEREF _Toc12522 \h </w:instrText>
          </w:r>
          <w:r>
            <w:rPr>
              <w:sz w:val="24"/>
              <w:szCs w:val="24"/>
            </w:rPr>
            <w:fldChar w:fldCharType="separate"/>
          </w:r>
          <w:r>
            <w:rPr>
              <w:sz w:val="24"/>
              <w:szCs w:val="24"/>
            </w:rPr>
            <w:t>49</w:t>
          </w:r>
          <w:r>
            <w:rPr>
              <w:sz w:val="24"/>
              <w:szCs w:val="24"/>
            </w:rPr>
            <w:fldChar w:fldCharType="end"/>
          </w:r>
          <w:r>
            <w:rPr>
              <w:rFonts w:hint="eastAsia" w:ascii="宋体" w:hAnsi="宋体" w:eastAsia="宋体" w:cs="宋体"/>
              <w:sz w:val="24"/>
              <w:szCs w:val="24"/>
              <w:lang w:val="en-US" w:eastAsia="zh-CN"/>
            </w:rPr>
            <w:fldChar w:fldCharType="end"/>
          </w:r>
        </w:p>
        <w:p w14:paraId="181AC61D">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_Toc2051 </w:instrText>
          </w:r>
          <w:r>
            <w:rPr>
              <w:rFonts w:hint="eastAsia" w:ascii="宋体" w:hAnsi="宋体" w:eastAsia="宋体" w:cs="宋体"/>
              <w:sz w:val="24"/>
              <w:szCs w:val="24"/>
              <w:lang w:val="en-US" w:eastAsia="zh-CN"/>
            </w:rPr>
            <w:fldChar w:fldCharType="separate"/>
          </w:r>
          <w:r>
            <w:rPr>
              <w:rFonts w:hint="eastAsia" w:ascii="宋体" w:hAnsi="宋体"/>
              <w:sz w:val="24"/>
              <w:szCs w:val="24"/>
              <w:lang w:val="en-US" w:eastAsia="zh-CN"/>
            </w:rPr>
            <w:t>六、</w:t>
          </w:r>
          <w:r>
            <w:rPr>
              <w:rFonts w:hint="eastAsia" w:ascii="宋体" w:hAnsi="宋体"/>
              <w:sz w:val="24"/>
              <w:szCs w:val="24"/>
            </w:rPr>
            <w:t>法定代表人授权委托书</w:t>
          </w:r>
          <w:r>
            <w:rPr>
              <w:sz w:val="24"/>
              <w:szCs w:val="24"/>
            </w:rPr>
            <w:tab/>
          </w:r>
          <w:r>
            <w:rPr>
              <w:sz w:val="24"/>
              <w:szCs w:val="24"/>
            </w:rPr>
            <w:fldChar w:fldCharType="begin"/>
          </w:r>
          <w:r>
            <w:rPr>
              <w:sz w:val="24"/>
              <w:szCs w:val="24"/>
            </w:rPr>
            <w:instrText xml:space="preserve"> PAGEREF _Toc2051 \h </w:instrText>
          </w:r>
          <w:r>
            <w:rPr>
              <w:sz w:val="24"/>
              <w:szCs w:val="24"/>
            </w:rPr>
            <w:fldChar w:fldCharType="separate"/>
          </w:r>
          <w:r>
            <w:rPr>
              <w:sz w:val="24"/>
              <w:szCs w:val="24"/>
            </w:rPr>
            <w:t>50</w:t>
          </w:r>
          <w:r>
            <w:rPr>
              <w:sz w:val="24"/>
              <w:szCs w:val="24"/>
            </w:rPr>
            <w:fldChar w:fldCharType="end"/>
          </w:r>
          <w:r>
            <w:rPr>
              <w:rFonts w:hint="eastAsia" w:ascii="宋体" w:hAnsi="宋体" w:eastAsia="宋体" w:cs="宋体"/>
              <w:sz w:val="24"/>
              <w:szCs w:val="24"/>
              <w:lang w:val="en-US" w:eastAsia="zh-CN"/>
            </w:rPr>
            <w:fldChar w:fldCharType="end"/>
          </w:r>
        </w:p>
        <w:p w14:paraId="4EBF8627">
          <w:pPr>
            <w:pStyle w:val="10"/>
            <w:keepNext w:val="0"/>
            <w:keepLines w:val="0"/>
            <w:pageBreakBefore w:val="0"/>
            <w:widowControl w:val="0"/>
            <w:tabs>
              <w:tab w:val="right" w:leader="dot" w:pos="9741"/>
            </w:tabs>
            <w:kinsoku/>
            <w:wordWrap/>
            <w:overflowPunct/>
            <w:topLinePunct w:val="0"/>
            <w:autoSpaceDE w:val="0"/>
            <w:autoSpaceDN w:val="0"/>
            <w:bidi w:val="0"/>
            <w:adjustRightInd/>
            <w:snapToGrid/>
            <w:spacing w:line="560" w:lineRule="exact"/>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_Toc20620 </w:instrText>
          </w:r>
          <w:r>
            <w:rPr>
              <w:rFonts w:hint="eastAsia" w:ascii="宋体" w:hAnsi="宋体" w:eastAsia="宋体" w:cs="宋体"/>
              <w:sz w:val="24"/>
              <w:szCs w:val="24"/>
              <w:lang w:val="en-US" w:eastAsia="zh-CN"/>
            </w:rPr>
            <w:fldChar w:fldCharType="separate"/>
          </w:r>
          <w:r>
            <w:rPr>
              <w:rFonts w:hint="eastAsia" w:ascii="宋体" w:hAnsi="宋体"/>
              <w:kern w:val="2"/>
              <w:sz w:val="24"/>
              <w:szCs w:val="24"/>
              <w:lang w:val="en-US" w:eastAsia="zh-CN"/>
            </w:rPr>
            <w:t>七、</w:t>
          </w:r>
          <w:r>
            <w:rPr>
              <w:rFonts w:hint="eastAsia" w:ascii="宋体" w:hAnsi="宋体"/>
              <w:sz w:val="24"/>
              <w:szCs w:val="24"/>
            </w:rPr>
            <w:t>资格证明文件</w:t>
          </w:r>
          <w:r>
            <w:rPr>
              <w:sz w:val="24"/>
              <w:szCs w:val="24"/>
            </w:rPr>
            <w:tab/>
          </w:r>
          <w:r>
            <w:rPr>
              <w:sz w:val="24"/>
              <w:szCs w:val="24"/>
            </w:rPr>
            <w:fldChar w:fldCharType="begin"/>
          </w:r>
          <w:r>
            <w:rPr>
              <w:sz w:val="24"/>
              <w:szCs w:val="24"/>
            </w:rPr>
            <w:instrText xml:space="preserve"> PAGEREF _Toc20620 \h </w:instrText>
          </w:r>
          <w:r>
            <w:rPr>
              <w:sz w:val="24"/>
              <w:szCs w:val="24"/>
            </w:rPr>
            <w:fldChar w:fldCharType="separate"/>
          </w:r>
          <w:r>
            <w:rPr>
              <w:sz w:val="24"/>
              <w:szCs w:val="24"/>
            </w:rPr>
            <w:t>51</w:t>
          </w:r>
          <w:r>
            <w:rPr>
              <w:sz w:val="24"/>
              <w:szCs w:val="24"/>
            </w:rPr>
            <w:fldChar w:fldCharType="end"/>
          </w:r>
          <w:r>
            <w:rPr>
              <w:rFonts w:hint="eastAsia" w:ascii="宋体" w:hAnsi="宋体" w:eastAsia="宋体" w:cs="宋体"/>
              <w:sz w:val="24"/>
              <w:szCs w:val="24"/>
              <w:lang w:val="en-US" w:eastAsia="zh-CN"/>
            </w:rPr>
            <w:fldChar w:fldCharType="end"/>
          </w:r>
        </w:p>
        <w:p w14:paraId="4017B3B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宋体" w:hAnsi="宋体" w:eastAsia="宋体" w:cs="宋体"/>
              <w:b/>
              <w:sz w:val="22"/>
              <w:szCs w:val="22"/>
              <w:lang w:val="en-US" w:eastAsia="zh-CN" w:bidi="zh-CN"/>
            </w:rPr>
            <w:sectPr>
              <w:headerReference r:id="rId4" w:type="first"/>
              <w:footerReference r:id="rId6" w:type="first"/>
              <w:headerReference r:id="rId3" w:type="default"/>
              <w:footerReference r:id="rId5" w:type="default"/>
              <w:pgSz w:w="11901" w:h="16838"/>
              <w:pgMar w:top="1440" w:right="1080" w:bottom="1440" w:left="1080" w:header="851" w:footer="851" w:gutter="0"/>
              <w:pgNumType w:fmt="decimal" w:start="1"/>
              <w:cols w:space="720" w:num="1"/>
              <w:titlePg/>
              <w:docGrid w:linePitch="360" w:charSpace="0"/>
            </w:sectPr>
          </w:pPr>
          <w:r>
            <w:rPr>
              <w:rFonts w:hint="eastAsia" w:ascii="宋体" w:hAnsi="宋体" w:eastAsia="宋体" w:cs="宋体"/>
              <w:sz w:val="24"/>
              <w:szCs w:val="24"/>
              <w:lang w:val="en-US" w:eastAsia="zh-CN"/>
            </w:rPr>
            <w:fldChar w:fldCharType="end"/>
          </w:r>
        </w:p>
      </w:sdtContent>
    </w:sdt>
    <w:p w14:paraId="57E6711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center"/>
        <w:textAlignment w:val="auto"/>
        <w:outlineLvl w:val="0"/>
        <w:rPr>
          <w:rFonts w:hint="eastAsia"/>
          <w:b/>
          <w:bCs/>
          <w:sz w:val="48"/>
          <w:szCs w:val="48"/>
        </w:rPr>
      </w:pPr>
      <w:bookmarkStart w:id="29" w:name="_Toc15778"/>
      <w:r>
        <w:rPr>
          <w:rFonts w:hint="eastAsia"/>
          <w:b/>
          <w:bCs/>
          <w:sz w:val="44"/>
          <w:szCs w:val="44"/>
          <w:lang w:val="en-US" w:eastAsia="zh-CN"/>
        </w:rPr>
        <w:t xml:space="preserve">第一章  </w:t>
      </w:r>
      <w:r>
        <w:rPr>
          <w:rFonts w:hint="eastAsia"/>
          <w:b/>
          <w:bCs/>
          <w:sz w:val="44"/>
          <w:szCs w:val="44"/>
        </w:rPr>
        <w:t>竞争性磋商公告</w:t>
      </w:r>
      <w:bookmarkEnd w:id="19"/>
      <w:bookmarkEnd w:id="20"/>
      <w:bookmarkEnd w:id="21"/>
      <w:bookmarkEnd w:id="22"/>
      <w:bookmarkEnd w:id="23"/>
      <w:bookmarkEnd w:id="24"/>
      <w:bookmarkEnd w:id="25"/>
      <w:bookmarkEnd w:id="26"/>
      <w:bookmarkEnd w:id="27"/>
      <w:bookmarkEnd w:id="29"/>
    </w:p>
    <w:p w14:paraId="4FF5AEC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color w:val="000000"/>
          <w:sz w:val="24"/>
          <w:szCs w:val="24"/>
          <w:lang w:bidi="ar"/>
        </w:rPr>
      </w:pPr>
      <w:bookmarkStart w:id="30" w:name="OLE_LINK14"/>
      <w:r>
        <w:rPr>
          <w:rFonts w:hint="eastAsia"/>
          <w:color w:val="000000"/>
          <w:sz w:val="24"/>
          <w:szCs w:val="24"/>
          <w:lang w:val="en-US" w:eastAsia="zh-CN" w:bidi="ar"/>
        </w:rPr>
        <w:t>厚</w:t>
      </w:r>
      <w:r>
        <w:rPr>
          <w:rFonts w:hint="eastAsia"/>
          <w:color w:val="000000"/>
          <w:sz w:val="24"/>
          <w:szCs w:val="24"/>
          <w:lang w:bidi="ar"/>
        </w:rPr>
        <w:t>德（河南省）企业管理有限责任公司</w:t>
      </w:r>
      <w:bookmarkEnd w:id="30"/>
      <w:r>
        <w:rPr>
          <w:rFonts w:hint="eastAsia"/>
          <w:color w:val="000000"/>
          <w:sz w:val="24"/>
          <w:szCs w:val="24"/>
          <w:lang w:bidi="ar"/>
        </w:rPr>
        <w:t>受</w:t>
      </w:r>
      <w:bookmarkStart w:id="31" w:name="OLE_LINK1"/>
      <w:r>
        <w:rPr>
          <w:rFonts w:hint="eastAsia"/>
          <w:color w:val="000000"/>
          <w:sz w:val="24"/>
          <w:szCs w:val="24"/>
          <w:lang w:eastAsia="zh-CN" w:bidi="ar"/>
        </w:rPr>
        <w:t>三门峡市陕州区文化广电和旅游局</w:t>
      </w:r>
      <w:bookmarkEnd w:id="31"/>
      <w:r>
        <w:rPr>
          <w:rFonts w:hint="eastAsia"/>
          <w:color w:val="000000"/>
          <w:sz w:val="24"/>
          <w:szCs w:val="24"/>
          <w:lang w:bidi="ar"/>
        </w:rPr>
        <w:t>的委托，就</w:t>
      </w:r>
      <w:r>
        <w:rPr>
          <w:rFonts w:hint="eastAsia"/>
          <w:color w:val="000000"/>
          <w:sz w:val="24"/>
          <w:szCs w:val="24"/>
          <w:lang w:eastAsia="zh-CN" w:bidi="ar"/>
        </w:rPr>
        <w:t>三门峡市陕州区文化广电和旅游局第十四届“陕州地坑院杯”自行车邀请赛暨“体育赋能·文化焕彩”嘉年华项目</w:t>
      </w:r>
      <w:r>
        <w:rPr>
          <w:rFonts w:hint="eastAsia"/>
          <w:color w:val="000000"/>
          <w:sz w:val="24"/>
          <w:szCs w:val="24"/>
          <w:lang w:bidi="ar"/>
        </w:rPr>
        <w:t>进行竞争性磋商采购，欢迎符合资格条件的</w:t>
      </w:r>
      <w:r>
        <w:rPr>
          <w:rFonts w:hint="eastAsia"/>
          <w:color w:val="000000"/>
          <w:sz w:val="24"/>
          <w:szCs w:val="24"/>
          <w:lang w:eastAsia="zh-CN" w:bidi="ar"/>
        </w:rPr>
        <w:t>响应人</w:t>
      </w:r>
      <w:r>
        <w:rPr>
          <w:rFonts w:hint="eastAsia"/>
          <w:color w:val="000000"/>
          <w:sz w:val="24"/>
          <w:szCs w:val="24"/>
          <w:lang w:bidi="ar"/>
        </w:rPr>
        <w:t xml:space="preserve">参加磋商。 </w:t>
      </w:r>
    </w:p>
    <w:p w14:paraId="18AE14DC">
      <w:pPr>
        <w:keepNext w:val="0"/>
        <w:keepLines w:val="0"/>
        <w:pageBreakBefore w:val="0"/>
        <w:widowControl w:val="0"/>
        <w:kinsoku/>
        <w:wordWrap/>
        <w:bidi w:val="0"/>
        <w:spacing w:line="360" w:lineRule="auto"/>
        <w:ind w:left="0" w:leftChars="0" w:firstLine="439" w:firstLineChars="183"/>
        <w:textAlignment w:val="auto"/>
        <w:rPr>
          <w:rFonts w:hint="eastAsia" w:eastAsia="宋体"/>
          <w:color w:val="000000"/>
          <w:sz w:val="24"/>
          <w:szCs w:val="24"/>
          <w:lang w:eastAsia="zh-CN" w:bidi="ar"/>
        </w:rPr>
      </w:pPr>
      <w:r>
        <w:rPr>
          <w:rFonts w:hint="eastAsia"/>
          <w:color w:val="000000"/>
          <w:sz w:val="24"/>
          <w:szCs w:val="24"/>
          <w:lang w:bidi="ar"/>
        </w:rPr>
        <w:t>一、项目名称：</w:t>
      </w:r>
      <w:bookmarkStart w:id="32" w:name="OLE_LINK6"/>
      <w:bookmarkStart w:id="33" w:name="OLE_LINK4"/>
      <w:r>
        <w:rPr>
          <w:rFonts w:hint="eastAsia"/>
          <w:color w:val="000000"/>
          <w:sz w:val="24"/>
          <w:szCs w:val="24"/>
          <w:lang w:eastAsia="zh-CN" w:bidi="ar"/>
        </w:rPr>
        <w:t>三门峡市陕州区文化广电和旅游局</w:t>
      </w:r>
      <w:bookmarkEnd w:id="32"/>
      <w:r>
        <w:rPr>
          <w:rFonts w:hint="eastAsia"/>
          <w:color w:val="000000"/>
          <w:sz w:val="24"/>
          <w:szCs w:val="24"/>
          <w:lang w:eastAsia="zh-CN" w:bidi="ar"/>
        </w:rPr>
        <w:t>第十四届“陕州地坑院杯”自行车邀请赛暨“体育赋能·文化焕彩”嘉年华项目</w:t>
      </w:r>
      <w:bookmarkEnd w:id="33"/>
    </w:p>
    <w:p w14:paraId="183C8211">
      <w:pPr>
        <w:keepNext w:val="0"/>
        <w:keepLines w:val="0"/>
        <w:pageBreakBefore w:val="0"/>
        <w:widowControl w:val="0"/>
        <w:tabs>
          <w:tab w:val="center" w:pos="4153"/>
        </w:tabs>
        <w:kinsoku/>
        <w:wordWrap/>
        <w:bidi w:val="0"/>
        <w:spacing w:line="360" w:lineRule="auto"/>
        <w:ind w:left="0" w:leftChars="0" w:firstLine="439" w:firstLineChars="183"/>
        <w:textAlignment w:val="auto"/>
        <w:rPr>
          <w:rFonts w:hint="eastAsia"/>
          <w:color w:val="000000"/>
          <w:sz w:val="24"/>
          <w:szCs w:val="24"/>
          <w:lang w:val="en-US" w:bidi="ar"/>
        </w:rPr>
      </w:pPr>
      <w:r>
        <w:rPr>
          <w:rFonts w:hint="eastAsia"/>
          <w:color w:val="000000"/>
          <w:sz w:val="24"/>
          <w:szCs w:val="24"/>
          <w:highlight w:val="none"/>
          <w:lang w:bidi="ar"/>
        </w:rPr>
        <w:t>二、项目编号：陕州竞磋采购-2025-34</w:t>
      </w:r>
      <w:r>
        <w:rPr>
          <w:rFonts w:hint="eastAsia"/>
          <w:color w:val="000000"/>
          <w:sz w:val="24"/>
          <w:szCs w:val="24"/>
          <w:highlight w:val="none"/>
          <w:lang w:eastAsia="zh-CN" w:bidi="ar"/>
        </w:rPr>
        <w:t>、SZGZ[2025]052-ZC030</w:t>
      </w:r>
      <w:r>
        <w:rPr>
          <w:rFonts w:hint="eastAsia"/>
          <w:color w:val="000000"/>
          <w:sz w:val="24"/>
          <w:szCs w:val="24"/>
          <w:highlight w:val="none"/>
          <w:lang w:val="en-US" w:bidi="ar"/>
        </w:rPr>
        <w:t xml:space="preserve"> </w:t>
      </w:r>
      <w:r>
        <w:rPr>
          <w:rFonts w:hint="eastAsia"/>
          <w:color w:val="000000"/>
          <w:sz w:val="24"/>
          <w:szCs w:val="24"/>
          <w:lang w:val="en-US" w:bidi="ar"/>
        </w:rPr>
        <w:t xml:space="preserve"> </w:t>
      </w:r>
    </w:p>
    <w:p w14:paraId="38B4C643">
      <w:pPr>
        <w:keepNext w:val="0"/>
        <w:keepLines w:val="0"/>
        <w:pageBreakBefore w:val="0"/>
        <w:widowControl w:val="0"/>
        <w:kinsoku/>
        <w:wordWrap/>
        <w:bidi w:val="0"/>
        <w:spacing w:line="360" w:lineRule="auto"/>
        <w:ind w:left="0" w:leftChars="0" w:firstLine="439" w:firstLineChars="183"/>
        <w:textAlignment w:val="auto"/>
        <w:rPr>
          <w:rFonts w:hint="eastAsia"/>
          <w:color w:val="000000"/>
          <w:sz w:val="24"/>
          <w:szCs w:val="24"/>
          <w:lang w:bidi="ar"/>
        </w:rPr>
      </w:pPr>
      <w:r>
        <w:rPr>
          <w:rFonts w:hint="eastAsia"/>
          <w:color w:val="000000"/>
          <w:sz w:val="24"/>
          <w:szCs w:val="24"/>
          <w:lang w:bidi="ar"/>
        </w:rPr>
        <w:t>三、项目概况：</w:t>
      </w:r>
    </w:p>
    <w:p w14:paraId="425C8995">
      <w:pPr>
        <w:keepNext w:val="0"/>
        <w:keepLines w:val="0"/>
        <w:pageBreakBefore w:val="0"/>
        <w:widowControl w:val="0"/>
        <w:kinsoku/>
        <w:wordWrap/>
        <w:overflowPunct w:val="0"/>
        <w:topLinePunct/>
        <w:autoSpaceDE w:val="0"/>
        <w:autoSpaceDN w:val="0"/>
        <w:bidi w:val="0"/>
        <w:adjustRightInd w:val="0"/>
        <w:snapToGrid w:val="0"/>
        <w:spacing w:line="360" w:lineRule="auto"/>
        <w:ind w:firstLine="480" w:firstLineChars="200"/>
        <w:textAlignment w:val="auto"/>
        <w:rPr>
          <w:rFonts w:hint="eastAsia"/>
          <w:color w:val="000000"/>
          <w:sz w:val="24"/>
          <w:szCs w:val="24"/>
          <w:lang w:bidi="ar"/>
        </w:rPr>
      </w:pPr>
      <w:r>
        <w:rPr>
          <w:rFonts w:hint="eastAsia"/>
          <w:color w:val="000000"/>
          <w:sz w:val="24"/>
          <w:szCs w:val="24"/>
          <w:lang w:bidi="ar"/>
        </w:rPr>
        <w:t>1、采购内容：</w:t>
      </w:r>
      <w:bookmarkStart w:id="34" w:name="OLE_LINK10"/>
      <w:bookmarkStart w:id="35" w:name="OLE_LINK12"/>
      <w:bookmarkStart w:id="36" w:name="OLE_LINK15"/>
      <w:r>
        <w:rPr>
          <w:rFonts w:hint="eastAsia"/>
          <w:color w:val="000000"/>
          <w:sz w:val="24"/>
          <w:szCs w:val="24"/>
          <w:lang w:eastAsia="zh-CN" w:bidi="ar"/>
        </w:rPr>
        <w:t>三门峡市陕州区文化广电和旅游局第十四届“陕州地坑院杯”自行车邀请赛暨“体育赋能·文化焕彩”嘉年华项目</w:t>
      </w:r>
      <w:r>
        <w:rPr>
          <w:rFonts w:hint="eastAsia"/>
          <w:color w:val="000000"/>
          <w:sz w:val="24"/>
          <w:szCs w:val="24"/>
          <w:lang w:bidi="ar"/>
        </w:rPr>
        <w:t>，服务内容主要包括:“</w:t>
      </w:r>
      <w:bookmarkStart w:id="37" w:name="OLE_LINK2"/>
      <w:r>
        <w:rPr>
          <w:rFonts w:hint="eastAsia"/>
          <w:color w:val="000000"/>
          <w:sz w:val="24"/>
          <w:szCs w:val="24"/>
          <w:lang w:bidi="ar"/>
        </w:rPr>
        <w:t>第十四届陕州地坑院杯自行车邀请赛暨2025自行车骑游大会</w:t>
      </w:r>
      <w:bookmarkEnd w:id="37"/>
      <w:r>
        <w:rPr>
          <w:rFonts w:hint="eastAsia"/>
          <w:color w:val="000000"/>
          <w:sz w:val="24"/>
          <w:szCs w:val="24"/>
          <w:lang w:bidi="ar"/>
        </w:rPr>
        <w:t>”及</w:t>
      </w:r>
      <w:bookmarkStart w:id="38" w:name="OLE_LINK3"/>
      <w:r>
        <w:rPr>
          <w:rFonts w:hint="eastAsia"/>
          <w:color w:val="000000"/>
          <w:sz w:val="24"/>
          <w:szCs w:val="24"/>
          <w:lang w:bidi="ar"/>
        </w:rPr>
        <w:t>“黄河谣·陕州印象”自驾游陕州活动</w:t>
      </w:r>
      <w:bookmarkEnd w:id="38"/>
      <w:r>
        <w:rPr>
          <w:rFonts w:hint="eastAsia"/>
          <w:color w:val="000000"/>
          <w:sz w:val="24"/>
          <w:szCs w:val="24"/>
          <w:lang w:bidi="ar"/>
        </w:rPr>
        <w:t>等内容，</w:t>
      </w:r>
      <w:bookmarkEnd w:id="34"/>
      <w:r>
        <w:rPr>
          <w:rFonts w:hint="eastAsia"/>
          <w:color w:val="000000"/>
          <w:sz w:val="24"/>
          <w:szCs w:val="24"/>
          <w:lang w:bidi="ar"/>
        </w:rPr>
        <w:t>详细服务内容见磋商文件；</w:t>
      </w:r>
      <w:bookmarkEnd w:id="35"/>
    </w:p>
    <w:bookmarkEnd w:id="36"/>
    <w:p w14:paraId="735D2135">
      <w:pPr>
        <w:keepNext w:val="0"/>
        <w:keepLines w:val="0"/>
        <w:pageBreakBefore w:val="0"/>
        <w:widowControl w:val="0"/>
        <w:kinsoku/>
        <w:wordWrap/>
        <w:autoSpaceDE/>
        <w:autoSpaceDN/>
        <w:bidi w:val="0"/>
        <w:spacing w:line="360" w:lineRule="auto"/>
        <w:ind w:firstLine="484" w:firstLineChars="202"/>
        <w:jc w:val="both"/>
        <w:textAlignment w:val="auto"/>
        <w:rPr>
          <w:rFonts w:hint="eastAsia"/>
          <w:color w:val="000000"/>
          <w:sz w:val="24"/>
          <w:szCs w:val="24"/>
          <w:lang w:bidi="ar"/>
        </w:rPr>
      </w:pPr>
      <w:r>
        <w:rPr>
          <w:rFonts w:hint="eastAsia"/>
          <w:color w:val="000000"/>
          <w:sz w:val="24"/>
          <w:szCs w:val="24"/>
          <w:lang w:bidi="ar"/>
        </w:rPr>
        <w:t>2、标段划分：一个标段</w:t>
      </w:r>
    </w:p>
    <w:p w14:paraId="6AD0DC8C">
      <w:pPr>
        <w:keepNext w:val="0"/>
        <w:keepLines w:val="0"/>
        <w:pageBreakBefore w:val="0"/>
        <w:widowControl w:val="0"/>
        <w:kinsoku/>
        <w:wordWrap/>
        <w:bidi w:val="0"/>
        <w:spacing w:line="360" w:lineRule="auto"/>
        <w:ind w:firstLine="567"/>
        <w:textAlignment w:val="auto"/>
        <w:rPr>
          <w:rFonts w:hint="eastAsia"/>
          <w:color w:val="000000"/>
          <w:sz w:val="24"/>
          <w:szCs w:val="24"/>
          <w:lang w:bidi="ar"/>
        </w:rPr>
      </w:pPr>
      <w:r>
        <w:rPr>
          <w:rFonts w:hint="eastAsia"/>
          <w:color w:val="000000"/>
          <w:sz w:val="24"/>
          <w:szCs w:val="24"/>
          <w:lang w:bidi="ar"/>
        </w:rPr>
        <w:t>3、预算资金：</w:t>
      </w:r>
      <w:bookmarkStart w:id="39" w:name="OLE_LINK20"/>
      <w:bookmarkStart w:id="40" w:name="OLE_LINK13"/>
      <w:bookmarkStart w:id="41" w:name="OLE_LINK9"/>
      <w:r>
        <w:rPr>
          <w:rFonts w:hint="eastAsia"/>
          <w:color w:val="000000"/>
          <w:sz w:val="24"/>
          <w:szCs w:val="24"/>
          <w:highlight w:val="none"/>
          <w:lang w:val="en-US" w:eastAsia="zh-CN" w:bidi="ar"/>
        </w:rPr>
        <w:t>627460</w:t>
      </w:r>
      <w:bookmarkEnd w:id="39"/>
      <w:r>
        <w:rPr>
          <w:rFonts w:hint="eastAsia"/>
          <w:color w:val="000000"/>
          <w:sz w:val="24"/>
          <w:szCs w:val="24"/>
          <w:highlight w:val="none"/>
          <w:lang w:val="en-US" w:eastAsia="zh-CN" w:bidi="ar"/>
        </w:rPr>
        <w:t>.00</w:t>
      </w:r>
      <w:bookmarkEnd w:id="40"/>
      <w:r>
        <w:rPr>
          <w:rFonts w:hint="eastAsia"/>
          <w:color w:val="000000"/>
          <w:sz w:val="24"/>
          <w:szCs w:val="24"/>
          <w:highlight w:val="none"/>
          <w:lang w:val="en-US" w:eastAsia="zh-CN" w:bidi="ar"/>
        </w:rPr>
        <w:t>元</w:t>
      </w:r>
      <w:bookmarkEnd w:id="41"/>
      <w:r>
        <w:rPr>
          <w:rFonts w:hint="eastAsia"/>
          <w:color w:val="000000"/>
          <w:sz w:val="24"/>
          <w:szCs w:val="24"/>
          <w:lang w:bidi="ar"/>
        </w:rPr>
        <w:t xml:space="preserve"> </w:t>
      </w:r>
    </w:p>
    <w:p w14:paraId="06581472">
      <w:pPr>
        <w:keepNext w:val="0"/>
        <w:keepLines w:val="0"/>
        <w:pageBreakBefore w:val="0"/>
        <w:widowControl w:val="0"/>
        <w:kinsoku/>
        <w:wordWrap/>
        <w:bidi w:val="0"/>
        <w:spacing w:line="360" w:lineRule="auto"/>
        <w:ind w:firstLine="567"/>
        <w:textAlignment w:val="auto"/>
        <w:rPr>
          <w:rFonts w:hint="eastAsia"/>
          <w:color w:val="000000"/>
          <w:sz w:val="24"/>
          <w:szCs w:val="24"/>
          <w:lang w:bidi="ar"/>
        </w:rPr>
      </w:pPr>
      <w:r>
        <w:rPr>
          <w:rFonts w:hint="eastAsia"/>
          <w:color w:val="000000"/>
          <w:sz w:val="24"/>
          <w:szCs w:val="24"/>
          <w:lang w:bidi="ar"/>
        </w:rPr>
        <w:t>4、资金来源：财政资金，已落实</w:t>
      </w:r>
    </w:p>
    <w:p w14:paraId="00DB7419">
      <w:pPr>
        <w:keepNext w:val="0"/>
        <w:keepLines w:val="0"/>
        <w:pageBreakBefore w:val="0"/>
        <w:widowControl w:val="0"/>
        <w:kinsoku/>
        <w:wordWrap/>
        <w:bidi w:val="0"/>
        <w:spacing w:line="360" w:lineRule="auto"/>
        <w:ind w:firstLine="567"/>
        <w:textAlignment w:val="auto"/>
        <w:rPr>
          <w:rFonts w:hint="eastAsia" w:eastAsia="宋体"/>
          <w:color w:val="000000"/>
          <w:sz w:val="24"/>
          <w:szCs w:val="24"/>
          <w:lang w:eastAsia="zh-CN" w:bidi="ar"/>
        </w:rPr>
      </w:pPr>
      <w:r>
        <w:rPr>
          <w:rFonts w:hint="eastAsia"/>
          <w:color w:val="000000"/>
          <w:sz w:val="24"/>
          <w:szCs w:val="24"/>
          <w:lang w:bidi="ar"/>
        </w:rPr>
        <w:t>5、服务要求：</w:t>
      </w:r>
      <w:r>
        <w:rPr>
          <w:rFonts w:hint="eastAsia"/>
          <w:color w:val="000000"/>
          <w:sz w:val="24"/>
          <w:szCs w:val="24"/>
          <w:lang w:eastAsia="zh-CN" w:bidi="ar"/>
        </w:rPr>
        <w:t>符合国家行业有关标准并满足采购人要求</w:t>
      </w:r>
    </w:p>
    <w:p w14:paraId="5BA05936">
      <w:pPr>
        <w:keepNext w:val="0"/>
        <w:keepLines w:val="0"/>
        <w:pageBreakBefore w:val="0"/>
        <w:widowControl w:val="0"/>
        <w:kinsoku/>
        <w:wordWrap/>
        <w:bidi w:val="0"/>
        <w:spacing w:line="360" w:lineRule="auto"/>
        <w:ind w:firstLine="567"/>
        <w:textAlignment w:val="auto"/>
        <w:outlineLvl w:val="9"/>
        <w:rPr>
          <w:rFonts w:hint="eastAsia"/>
          <w:color w:val="000000"/>
          <w:sz w:val="24"/>
          <w:szCs w:val="24"/>
          <w:highlight w:val="none"/>
          <w:lang w:bidi="ar"/>
        </w:rPr>
      </w:pPr>
      <w:r>
        <w:rPr>
          <w:rFonts w:hint="eastAsia"/>
          <w:color w:val="000000"/>
          <w:sz w:val="24"/>
          <w:szCs w:val="24"/>
          <w:highlight w:val="none"/>
          <w:lang w:bidi="ar"/>
        </w:rPr>
        <w:t>6、服务期限：至圆满完成本次承办赛事</w:t>
      </w:r>
    </w:p>
    <w:p w14:paraId="12C71D02">
      <w:pPr>
        <w:keepNext w:val="0"/>
        <w:keepLines w:val="0"/>
        <w:pageBreakBefore w:val="0"/>
        <w:widowControl w:val="0"/>
        <w:kinsoku/>
        <w:wordWrap/>
        <w:bidi w:val="0"/>
        <w:spacing w:line="360" w:lineRule="auto"/>
        <w:ind w:firstLine="567"/>
        <w:textAlignment w:val="auto"/>
        <w:outlineLvl w:val="9"/>
        <w:rPr>
          <w:rFonts w:hint="eastAsia"/>
          <w:color w:val="000000"/>
          <w:sz w:val="24"/>
          <w:szCs w:val="24"/>
          <w:lang w:bidi="ar"/>
        </w:rPr>
      </w:pPr>
      <w:r>
        <w:rPr>
          <w:rFonts w:hint="eastAsia"/>
          <w:color w:val="000000"/>
          <w:sz w:val="24"/>
          <w:szCs w:val="24"/>
          <w:lang w:bidi="ar"/>
        </w:rPr>
        <w:t>7、服务地点：采购人指定地点</w:t>
      </w:r>
    </w:p>
    <w:p w14:paraId="7489D19D">
      <w:pPr>
        <w:keepNext w:val="0"/>
        <w:keepLines w:val="0"/>
        <w:pageBreakBefore w:val="0"/>
        <w:widowControl w:val="0"/>
        <w:kinsoku/>
        <w:wordWrap/>
        <w:bidi w:val="0"/>
        <w:snapToGrid w:val="0"/>
        <w:spacing w:line="360" w:lineRule="auto"/>
        <w:ind w:firstLine="540" w:firstLineChars="225"/>
        <w:textAlignment w:val="auto"/>
        <w:outlineLvl w:val="9"/>
        <w:rPr>
          <w:rFonts w:hint="default" w:eastAsia="宋体"/>
          <w:color w:val="000000"/>
          <w:kern w:val="2"/>
          <w:sz w:val="24"/>
          <w:szCs w:val="24"/>
          <w:lang w:val="en-US" w:eastAsia="zh-CN"/>
        </w:rPr>
      </w:pPr>
      <w:r>
        <w:rPr>
          <w:rFonts w:hint="eastAsia"/>
          <w:color w:val="000000"/>
          <w:kern w:val="2"/>
          <w:sz w:val="24"/>
          <w:szCs w:val="24"/>
          <w:lang w:val="en-US" w:eastAsia="zh-CN"/>
        </w:rPr>
        <w:t>8、是否专门面向中小企业：否</w:t>
      </w:r>
    </w:p>
    <w:p w14:paraId="118CFF3B">
      <w:pPr>
        <w:keepNext w:val="0"/>
        <w:keepLines w:val="0"/>
        <w:pageBreakBefore w:val="0"/>
        <w:widowControl w:val="0"/>
        <w:kinsoku/>
        <w:wordWrap/>
        <w:bidi w:val="0"/>
        <w:snapToGrid w:val="0"/>
        <w:spacing w:line="360" w:lineRule="auto"/>
        <w:ind w:firstLine="540" w:firstLineChars="225"/>
        <w:textAlignment w:val="auto"/>
        <w:outlineLvl w:val="9"/>
        <w:rPr>
          <w:rFonts w:hint="eastAsia"/>
          <w:color w:val="000000"/>
          <w:kern w:val="2"/>
          <w:sz w:val="24"/>
          <w:szCs w:val="24"/>
        </w:rPr>
      </w:pPr>
      <w:r>
        <w:rPr>
          <w:rFonts w:hint="eastAsia"/>
          <w:color w:val="000000"/>
          <w:kern w:val="2"/>
          <w:sz w:val="24"/>
          <w:szCs w:val="24"/>
        </w:rPr>
        <w:t>四、本项目需要落实的政府政策: 本项目执行优先使用节能环保、环境标志性产品，促进中小企业（监狱企业、残疾人福利性企业）发展等政策</w:t>
      </w:r>
      <w:r>
        <w:rPr>
          <w:rFonts w:hint="eastAsia"/>
          <w:color w:val="000000"/>
          <w:kern w:val="2"/>
          <w:sz w:val="24"/>
          <w:szCs w:val="24"/>
          <w:lang w:eastAsia="zh-CN"/>
        </w:rPr>
        <w:t>，</w:t>
      </w:r>
      <w:r>
        <w:rPr>
          <w:rFonts w:hint="eastAsia"/>
          <w:color w:val="000000"/>
          <w:kern w:val="2"/>
          <w:sz w:val="24"/>
          <w:szCs w:val="24"/>
          <w:lang w:val="en-US" w:eastAsia="zh-CN"/>
        </w:rPr>
        <w:t>支持政采贷</w:t>
      </w:r>
      <w:r>
        <w:rPr>
          <w:rFonts w:hint="eastAsia"/>
          <w:color w:val="000000"/>
          <w:kern w:val="2"/>
          <w:sz w:val="24"/>
          <w:szCs w:val="24"/>
        </w:rPr>
        <w:t>。</w:t>
      </w:r>
    </w:p>
    <w:p w14:paraId="1F5F708C">
      <w:pPr>
        <w:keepNext w:val="0"/>
        <w:keepLines w:val="0"/>
        <w:pageBreakBefore w:val="0"/>
        <w:widowControl w:val="0"/>
        <w:kinsoku/>
        <w:wordWrap/>
        <w:bidi w:val="0"/>
        <w:snapToGrid w:val="0"/>
        <w:spacing w:line="360" w:lineRule="auto"/>
        <w:ind w:firstLine="540" w:firstLineChars="225"/>
        <w:textAlignment w:val="auto"/>
        <w:outlineLvl w:val="9"/>
        <w:rPr>
          <w:rFonts w:hint="eastAsia"/>
          <w:color w:val="000000"/>
          <w:kern w:val="2"/>
          <w:sz w:val="24"/>
          <w:szCs w:val="24"/>
        </w:rPr>
      </w:pPr>
      <w:bookmarkStart w:id="42" w:name="_Toc24969"/>
      <w:bookmarkStart w:id="43" w:name="_Toc15043"/>
      <w:bookmarkStart w:id="44" w:name="_Toc10348"/>
      <w:r>
        <w:rPr>
          <w:rFonts w:hint="eastAsia"/>
          <w:color w:val="000000"/>
          <w:kern w:val="2"/>
          <w:sz w:val="24"/>
          <w:szCs w:val="24"/>
        </w:rPr>
        <w:t>五、</w:t>
      </w:r>
      <w:r>
        <w:rPr>
          <w:rFonts w:hint="eastAsia"/>
          <w:color w:val="000000"/>
          <w:kern w:val="2"/>
          <w:sz w:val="24"/>
          <w:szCs w:val="24"/>
          <w:lang w:eastAsia="zh-CN"/>
        </w:rPr>
        <w:t>响应人</w:t>
      </w:r>
      <w:r>
        <w:rPr>
          <w:rFonts w:hint="eastAsia"/>
          <w:color w:val="000000"/>
          <w:kern w:val="2"/>
          <w:sz w:val="24"/>
          <w:szCs w:val="24"/>
        </w:rPr>
        <w:t>资格要求：</w:t>
      </w:r>
      <w:bookmarkEnd w:id="42"/>
      <w:bookmarkEnd w:id="43"/>
      <w:bookmarkEnd w:id="44"/>
    </w:p>
    <w:p w14:paraId="4265A963">
      <w:pPr>
        <w:keepNext w:val="0"/>
        <w:keepLines w:val="0"/>
        <w:pageBreakBefore w:val="0"/>
        <w:widowControl w:val="0"/>
        <w:kinsoku/>
        <w:wordWrap/>
        <w:bidi w:val="0"/>
        <w:snapToGrid w:val="0"/>
        <w:spacing w:line="360" w:lineRule="auto"/>
        <w:ind w:firstLine="542" w:firstLineChars="225"/>
        <w:textAlignment w:val="auto"/>
        <w:outlineLvl w:val="9"/>
        <w:rPr>
          <w:rFonts w:hint="eastAsia"/>
          <w:b/>
          <w:bCs/>
          <w:color w:val="000000"/>
          <w:sz w:val="24"/>
          <w:szCs w:val="24"/>
          <w:lang w:bidi="ar"/>
        </w:rPr>
      </w:pPr>
      <w:bookmarkStart w:id="45" w:name="OLE_LINK19"/>
      <w:r>
        <w:rPr>
          <w:rFonts w:hint="eastAsia"/>
          <w:b/>
          <w:bCs/>
          <w:color w:val="000000"/>
          <w:kern w:val="2"/>
          <w:sz w:val="24"/>
          <w:szCs w:val="24"/>
          <w:lang w:eastAsia="zh-CN"/>
        </w:rPr>
        <w:t>响应人</w:t>
      </w:r>
      <w:r>
        <w:rPr>
          <w:rFonts w:hint="eastAsia"/>
          <w:b/>
          <w:bCs/>
          <w:color w:val="000000"/>
          <w:kern w:val="2"/>
          <w:sz w:val="24"/>
          <w:szCs w:val="24"/>
        </w:rPr>
        <w:t>参加本次政府采购活动必须符</w:t>
      </w:r>
      <w:r>
        <w:rPr>
          <w:rFonts w:hint="eastAsia"/>
          <w:b/>
          <w:bCs/>
          <w:color w:val="000000"/>
          <w:sz w:val="24"/>
          <w:szCs w:val="24"/>
          <w:lang w:bidi="ar"/>
        </w:rPr>
        <w:t>合《中华人民共和国政府采购法》第二十二条的规定并同时具备下列条件：</w:t>
      </w:r>
    </w:p>
    <w:p w14:paraId="303D4A97">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firstLine="482" w:firstLineChars="200"/>
        <w:textAlignment w:val="auto"/>
        <w:outlineLvl w:val="9"/>
        <w:rPr>
          <w:rFonts w:hint="eastAsia"/>
          <w:b/>
          <w:bCs/>
          <w:color w:val="000000"/>
          <w:kern w:val="2"/>
          <w:sz w:val="24"/>
          <w:szCs w:val="24"/>
        </w:rPr>
      </w:pPr>
      <w:r>
        <w:rPr>
          <w:rFonts w:hint="eastAsia"/>
          <w:b/>
          <w:bCs/>
          <w:color w:val="000000"/>
          <w:kern w:val="2"/>
          <w:sz w:val="24"/>
          <w:szCs w:val="24"/>
        </w:rPr>
        <w:t>1、</w:t>
      </w:r>
      <w:r>
        <w:rPr>
          <w:rFonts w:hint="eastAsia"/>
          <w:b/>
          <w:bCs/>
          <w:color w:val="000000"/>
          <w:kern w:val="2"/>
          <w:sz w:val="24"/>
          <w:szCs w:val="24"/>
          <w:lang w:eastAsia="zh-CN"/>
        </w:rPr>
        <w:t>响应人</w:t>
      </w:r>
      <w:r>
        <w:rPr>
          <w:rFonts w:hint="eastAsia"/>
          <w:b/>
          <w:bCs/>
          <w:color w:val="000000"/>
          <w:kern w:val="2"/>
          <w:sz w:val="24"/>
          <w:szCs w:val="24"/>
        </w:rPr>
        <w:t>须具有合法有效的营业执照。</w:t>
      </w:r>
    </w:p>
    <w:p w14:paraId="27892B9B">
      <w:pPr>
        <w:keepNext w:val="0"/>
        <w:keepLines w:val="0"/>
        <w:pageBreakBefore w:val="0"/>
        <w:widowControl w:val="0"/>
        <w:kinsoku/>
        <w:wordWrap/>
        <w:overflowPunct/>
        <w:topLinePunct w:val="0"/>
        <w:autoSpaceDE w:val="0"/>
        <w:autoSpaceDN w:val="0"/>
        <w:bidi w:val="0"/>
        <w:adjustRightInd/>
        <w:snapToGrid w:val="0"/>
        <w:spacing w:line="360" w:lineRule="auto"/>
        <w:ind w:firstLine="482" w:firstLineChars="200"/>
        <w:textAlignment w:val="auto"/>
        <w:outlineLvl w:val="9"/>
        <w:rPr>
          <w:rFonts w:hint="eastAsia"/>
          <w:b/>
          <w:bCs/>
          <w:color w:val="000000"/>
          <w:sz w:val="24"/>
          <w:szCs w:val="24"/>
        </w:rPr>
      </w:pPr>
      <w:r>
        <w:rPr>
          <w:rFonts w:hint="eastAsia"/>
          <w:b/>
          <w:bCs/>
          <w:color w:val="000000"/>
          <w:kern w:val="2"/>
          <w:sz w:val="24"/>
          <w:szCs w:val="24"/>
          <w:lang w:val="en-US" w:eastAsia="zh-CN"/>
        </w:rPr>
        <w:t>2、</w:t>
      </w:r>
      <w:r>
        <w:rPr>
          <w:rFonts w:hint="eastAsia"/>
          <w:b/>
          <w:bCs/>
          <w:color w:val="000000"/>
          <w:kern w:val="2"/>
          <w:sz w:val="24"/>
          <w:szCs w:val="24"/>
          <w:lang w:eastAsia="zh-CN"/>
        </w:rPr>
        <w:t>响应人</w:t>
      </w:r>
      <w:r>
        <w:rPr>
          <w:rFonts w:hint="eastAsia"/>
          <w:b/>
          <w:bCs/>
          <w:color w:val="000000"/>
          <w:sz w:val="24"/>
          <w:szCs w:val="24"/>
        </w:rPr>
        <w:t>须提供本企业无商业贿赂及不正当行为承诺书。</w:t>
      </w:r>
    </w:p>
    <w:p w14:paraId="7534D82F">
      <w:pPr>
        <w:keepNext w:val="0"/>
        <w:keepLines w:val="0"/>
        <w:pageBreakBefore w:val="0"/>
        <w:widowControl w:val="0"/>
        <w:kinsoku/>
        <w:wordWrap/>
        <w:overflowPunct/>
        <w:topLinePunct w:val="0"/>
        <w:autoSpaceDE w:val="0"/>
        <w:autoSpaceDN w:val="0"/>
        <w:bidi w:val="0"/>
        <w:adjustRightInd/>
        <w:snapToGrid w:val="0"/>
        <w:spacing w:line="360" w:lineRule="auto"/>
        <w:ind w:firstLine="482" w:firstLineChars="200"/>
        <w:textAlignment w:val="auto"/>
        <w:outlineLvl w:val="9"/>
        <w:rPr>
          <w:rFonts w:hint="eastAsia" w:eastAsia="宋体"/>
          <w:b/>
          <w:bCs/>
          <w:color w:val="000000"/>
          <w:kern w:val="2"/>
          <w:sz w:val="24"/>
          <w:szCs w:val="24"/>
          <w:lang w:eastAsia="zh-CN"/>
        </w:rPr>
      </w:pPr>
      <w:r>
        <w:rPr>
          <w:rFonts w:hint="eastAsia"/>
          <w:b/>
          <w:bCs/>
          <w:color w:val="000000"/>
          <w:kern w:val="2"/>
          <w:sz w:val="24"/>
          <w:szCs w:val="24"/>
          <w:lang w:val="en-US" w:eastAsia="zh-CN"/>
        </w:rPr>
        <w:t>3、根据《关于在政府采购活动中查询及使用信用记录有关问题的通知》(财库[2016]125号)和豫财购【2016】15号的规定，对列入失信被执行人和重大税收违法失信主体、政府采购严重违法失信行为记录名单的供应商，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提供网站的查询结果截图。</w:t>
      </w:r>
    </w:p>
    <w:p w14:paraId="1E857DD8">
      <w:pPr>
        <w:keepNext w:val="0"/>
        <w:keepLines w:val="0"/>
        <w:pageBreakBefore w:val="0"/>
        <w:widowControl w:val="0"/>
        <w:kinsoku/>
        <w:wordWrap/>
        <w:overflowPunct/>
        <w:topLinePunct w:val="0"/>
        <w:autoSpaceDE w:val="0"/>
        <w:autoSpaceDN w:val="0"/>
        <w:bidi w:val="0"/>
        <w:adjustRightInd/>
        <w:snapToGrid w:val="0"/>
        <w:spacing w:line="360" w:lineRule="auto"/>
        <w:ind w:firstLine="482" w:firstLineChars="200"/>
        <w:textAlignment w:val="auto"/>
        <w:outlineLvl w:val="9"/>
        <w:rPr>
          <w:rFonts w:hint="eastAsia"/>
          <w:b/>
          <w:bCs/>
          <w:color w:val="000000"/>
          <w:kern w:val="2"/>
          <w:sz w:val="24"/>
          <w:szCs w:val="24"/>
        </w:rPr>
      </w:pPr>
      <w:bookmarkStart w:id="46" w:name="_Toc23959"/>
      <w:r>
        <w:rPr>
          <w:rFonts w:hint="eastAsia"/>
          <w:b/>
          <w:bCs/>
          <w:color w:val="000000"/>
          <w:kern w:val="2"/>
          <w:sz w:val="24"/>
          <w:szCs w:val="24"/>
          <w:lang w:val="en-US" w:eastAsia="zh-CN"/>
        </w:rPr>
        <w:t>4、</w:t>
      </w:r>
      <w:r>
        <w:rPr>
          <w:rFonts w:hint="eastAsia"/>
          <w:b/>
          <w:bCs/>
          <w:color w:val="000000"/>
          <w:kern w:val="2"/>
          <w:sz w:val="24"/>
          <w:szCs w:val="24"/>
        </w:rPr>
        <w:t>本项目不接受联合体磋商。</w:t>
      </w:r>
      <w:bookmarkEnd w:id="46"/>
    </w:p>
    <w:bookmarkEnd w:id="45"/>
    <w:p w14:paraId="1229E9D7">
      <w:pPr>
        <w:keepNext w:val="0"/>
        <w:keepLines w:val="0"/>
        <w:pageBreakBefore w:val="0"/>
        <w:widowControl w:val="0"/>
        <w:kinsoku/>
        <w:wordWrap/>
        <w:bidi w:val="0"/>
        <w:snapToGrid w:val="0"/>
        <w:spacing w:line="360" w:lineRule="auto"/>
        <w:ind w:firstLine="540" w:firstLineChars="225"/>
        <w:textAlignment w:val="auto"/>
        <w:outlineLvl w:val="9"/>
        <w:rPr>
          <w:rFonts w:hint="eastAsia"/>
          <w:color w:val="000000"/>
          <w:kern w:val="2"/>
          <w:sz w:val="24"/>
          <w:szCs w:val="24"/>
        </w:rPr>
      </w:pPr>
      <w:bookmarkStart w:id="47" w:name="_Toc20287"/>
      <w:bookmarkStart w:id="48" w:name="_Toc5264"/>
      <w:bookmarkStart w:id="49" w:name="_Toc20055"/>
      <w:r>
        <w:rPr>
          <w:rFonts w:hint="eastAsia"/>
          <w:color w:val="000000"/>
          <w:kern w:val="2"/>
          <w:sz w:val="24"/>
          <w:szCs w:val="24"/>
        </w:rPr>
        <w:t>六、获取竞争性磋商文件：</w:t>
      </w:r>
      <w:bookmarkEnd w:id="47"/>
      <w:bookmarkEnd w:id="48"/>
      <w:bookmarkEnd w:id="49"/>
    </w:p>
    <w:p w14:paraId="02D158C3">
      <w:pPr>
        <w:keepNext w:val="0"/>
        <w:keepLines w:val="0"/>
        <w:pageBreakBefore w:val="0"/>
        <w:widowControl w:val="0"/>
        <w:kinsoku/>
        <w:wordWrap/>
        <w:bidi w:val="0"/>
        <w:snapToGrid w:val="0"/>
        <w:spacing w:line="360" w:lineRule="auto"/>
        <w:ind w:firstLine="540" w:firstLineChars="225"/>
        <w:textAlignment w:val="auto"/>
        <w:outlineLvl w:val="9"/>
        <w:rPr>
          <w:rFonts w:hint="eastAsia"/>
          <w:color w:val="000000"/>
          <w:kern w:val="2"/>
          <w:sz w:val="24"/>
          <w:szCs w:val="24"/>
        </w:rPr>
      </w:pPr>
      <w:r>
        <w:rPr>
          <w:rFonts w:hint="eastAsia"/>
          <w:color w:val="000000"/>
          <w:kern w:val="2"/>
          <w:sz w:val="24"/>
          <w:szCs w:val="24"/>
        </w:rPr>
        <w:t>1、</w:t>
      </w:r>
      <w:r>
        <w:rPr>
          <w:rFonts w:hint="eastAsia"/>
          <w:color w:val="000000"/>
          <w:kern w:val="2"/>
          <w:sz w:val="24"/>
          <w:szCs w:val="24"/>
          <w:lang w:val="en-US"/>
        </w:rPr>
        <w:t>磋商</w:t>
      </w:r>
      <w:r>
        <w:rPr>
          <w:rFonts w:hint="eastAsia"/>
          <w:color w:val="000000"/>
          <w:kern w:val="2"/>
          <w:sz w:val="24"/>
          <w:szCs w:val="24"/>
        </w:rPr>
        <w:t>文件获取方式：本项目没有报名环节，</w:t>
      </w:r>
      <w:r>
        <w:rPr>
          <w:rFonts w:hint="eastAsia"/>
          <w:color w:val="000000"/>
          <w:kern w:val="2"/>
          <w:sz w:val="24"/>
          <w:szCs w:val="24"/>
          <w:lang w:eastAsia="zh-CN"/>
        </w:rPr>
        <w:t>响应人</w:t>
      </w:r>
      <w:r>
        <w:rPr>
          <w:rFonts w:hint="eastAsia"/>
          <w:color w:val="000000"/>
          <w:kern w:val="2"/>
          <w:sz w:val="24"/>
          <w:szCs w:val="24"/>
        </w:rPr>
        <w:t>凭CA数字证书通过三门峡市公共资源交易中心网（网址：gzjy.smx.gov.cn），点击交易平台选择“市场主体登录”，在所参与项目右侧点击参与投标，即可直接下载本项目</w:t>
      </w:r>
      <w:r>
        <w:rPr>
          <w:rFonts w:hint="eastAsia"/>
          <w:color w:val="000000"/>
          <w:kern w:val="2"/>
          <w:sz w:val="24"/>
          <w:szCs w:val="24"/>
          <w:lang w:val="en-US"/>
        </w:rPr>
        <w:t>磋商</w:t>
      </w:r>
      <w:r>
        <w:rPr>
          <w:rFonts w:hint="eastAsia"/>
          <w:color w:val="000000"/>
          <w:kern w:val="2"/>
          <w:sz w:val="24"/>
          <w:szCs w:val="24"/>
        </w:rPr>
        <w:t>文件。本项目为全电子招标，不再收取</w:t>
      </w:r>
      <w:r>
        <w:rPr>
          <w:rFonts w:hint="eastAsia"/>
          <w:color w:val="000000"/>
          <w:kern w:val="2"/>
          <w:sz w:val="24"/>
          <w:szCs w:val="24"/>
          <w:lang w:val="en-US"/>
        </w:rPr>
        <w:t>磋商</w:t>
      </w:r>
      <w:r>
        <w:rPr>
          <w:rFonts w:hint="eastAsia"/>
          <w:color w:val="000000"/>
          <w:kern w:val="2"/>
          <w:sz w:val="24"/>
          <w:szCs w:val="24"/>
        </w:rPr>
        <w:t>文件费（</w:t>
      </w:r>
      <w:r>
        <w:rPr>
          <w:rFonts w:hint="eastAsia"/>
          <w:color w:val="000000"/>
          <w:kern w:val="2"/>
          <w:sz w:val="24"/>
          <w:szCs w:val="24"/>
          <w:lang w:val="en-US"/>
        </w:rPr>
        <w:t>磋商</w:t>
      </w:r>
      <w:r>
        <w:rPr>
          <w:rFonts w:hint="eastAsia"/>
          <w:color w:val="000000"/>
          <w:kern w:val="2"/>
          <w:sz w:val="24"/>
          <w:szCs w:val="24"/>
        </w:rPr>
        <w:t>文件中包含图纸、清单等投标所需一切内容）。</w:t>
      </w:r>
    </w:p>
    <w:p w14:paraId="5354B9F1">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outlineLvl w:val="9"/>
        <w:rPr>
          <w:rFonts w:hint="eastAsia"/>
          <w:color w:val="000000"/>
          <w:kern w:val="2"/>
          <w:sz w:val="24"/>
          <w:szCs w:val="24"/>
        </w:rPr>
      </w:pPr>
      <w:r>
        <w:rPr>
          <w:rFonts w:hint="eastAsia"/>
          <w:color w:val="000000"/>
          <w:kern w:val="2"/>
          <w:sz w:val="24"/>
          <w:szCs w:val="24"/>
        </w:rPr>
        <w:t>具体操作请查看以下链接：</w:t>
      </w:r>
    </w:p>
    <w:p w14:paraId="1C3BAE64">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color w:val="000000"/>
          <w:kern w:val="2"/>
          <w:sz w:val="24"/>
          <w:szCs w:val="24"/>
        </w:rPr>
      </w:pPr>
      <w:r>
        <w:rPr>
          <w:rFonts w:hint="eastAsia"/>
          <w:color w:val="000000"/>
          <w:kern w:val="2"/>
          <w:sz w:val="24"/>
          <w:szCs w:val="24"/>
        </w:rPr>
        <w:t>三门峡市公共资源交易平台操作手册：</w:t>
      </w:r>
      <w:r>
        <w:rPr>
          <w:rFonts w:hint="eastAsia"/>
          <w:color w:val="000000"/>
          <w:sz w:val="24"/>
          <w:szCs w:val="24"/>
        </w:rPr>
        <w:fldChar w:fldCharType="begin"/>
      </w:r>
      <w:r>
        <w:rPr>
          <w:rFonts w:hint="eastAsia"/>
          <w:color w:val="000000"/>
          <w:sz w:val="24"/>
          <w:szCs w:val="24"/>
        </w:rPr>
        <w:instrText xml:space="preserve"> HYPERLINK "http://gzjy.smx.gov.cn/SMX/InformationCenter/NewsDetail.do?CID=fdd6c8fc-bb0a-4c07-8715-d29609fc7a80&amp;ID=94d11586-f364-4845-8656-6ec157d7b8c2" </w:instrText>
      </w:r>
      <w:r>
        <w:rPr>
          <w:rFonts w:hint="eastAsia"/>
          <w:color w:val="000000"/>
          <w:sz w:val="24"/>
          <w:szCs w:val="24"/>
        </w:rPr>
        <w:fldChar w:fldCharType="separate"/>
      </w:r>
      <w:r>
        <w:rPr>
          <w:rStyle w:val="16"/>
          <w:rFonts w:hint="eastAsia"/>
          <w:color w:val="000000"/>
          <w:kern w:val="2"/>
          <w:sz w:val="24"/>
          <w:szCs w:val="24"/>
        </w:rPr>
        <w:t>http://gzjy.smx.gov.cn/bzzx/008001/20200325/1d4d9bd4-82a2-4284-b2f7-428c4c69ef58.html</w:t>
      </w:r>
      <w:r>
        <w:rPr>
          <w:rStyle w:val="16"/>
          <w:rFonts w:hint="eastAsia"/>
          <w:color w:val="000000"/>
          <w:kern w:val="2"/>
          <w:sz w:val="24"/>
          <w:szCs w:val="24"/>
        </w:rPr>
        <w:fldChar w:fldCharType="end"/>
      </w:r>
    </w:p>
    <w:p w14:paraId="66DDC18D">
      <w:pPr>
        <w:pStyle w:val="3"/>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sz w:val="24"/>
          <w:szCs w:val="24"/>
        </w:rPr>
      </w:pPr>
      <w:r>
        <w:rPr>
          <w:rFonts w:hint="eastAsia"/>
          <w:color w:val="000000"/>
          <w:kern w:val="2"/>
          <w:sz w:val="24"/>
          <w:szCs w:val="24"/>
        </w:rPr>
        <w:t>办理CA证书：http://gzjy.smx.gov.cn/bzzx/008001/20211105/57b16af9-ab87-4395-a723-7758c628a3f8.html</w:t>
      </w:r>
    </w:p>
    <w:p w14:paraId="695127CF">
      <w:pPr>
        <w:keepNext w:val="0"/>
        <w:keepLines w:val="0"/>
        <w:pageBreakBefore w:val="0"/>
        <w:widowControl w:val="0"/>
        <w:kinsoku/>
        <w:wordWrap/>
        <w:bidi w:val="0"/>
        <w:snapToGrid w:val="0"/>
        <w:spacing w:line="360" w:lineRule="auto"/>
        <w:ind w:firstLine="540" w:firstLineChars="225"/>
        <w:textAlignment w:val="auto"/>
        <w:rPr>
          <w:rFonts w:hint="eastAsia"/>
          <w:color w:val="000000"/>
          <w:kern w:val="2"/>
          <w:sz w:val="24"/>
          <w:szCs w:val="24"/>
          <w:highlight w:val="yellow"/>
        </w:rPr>
      </w:pPr>
      <w:r>
        <w:rPr>
          <w:rFonts w:hint="eastAsia"/>
          <w:color w:val="000000"/>
          <w:kern w:val="2"/>
          <w:sz w:val="24"/>
          <w:szCs w:val="24"/>
        </w:rPr>
        <w:t>2、</w:t>
      </w:r>
      <w:r>
        <w:rPr>
          <w:rFonts w:hint="eastAsia"/>
          <w:color w:val="000000"/>
          <w:kern w:val="2"/>
          <w:sz w:val="24"/>
          <w:szCs w:val="24"/>
          <w:lang w:val="en-US"/>
        </w:rPr>
        <w:t>磋商</w:t>
      </w:r>
      <w:r>
        <w:rPr>
          <w:rFonts w:hint="eastAsia"/>
          <w:color w:val="000000"/>
          <w:kern w:val="2"/>
          <w:sz w:val="24"/>
          <w:szCs w:val="24"/>
        </w:rPr>
        <w:t>文件下载时间：</w:t>
      </w:r>
      <w:bookmarkStart w:id="50" w:name="OLE_LINK16"/>
      <w:r>
        <w:rPr>
          <w:rFonts w:hint="eastAsia"/>
          <w:color w:val="000000"/>
          <w:kern w:val="2"/>
          <w:sz w:val="24"/>
          <w:szCs w:val="24"/>
          <w:highlight w:val="none"/>
          <w:lang w:eastAsia="zh-CN"/>
        </w:rPr>
        <w:t>2025年4月</w:t>
      </w:r>
      <w:r>
        <w:rPr>
          <w:rFonts w:hint="eastAsia"/>
          <w:color w:val="000000"/>
          <w:kern w:val="2"/>
          <w:sz w:val="24"/>
          <w:szCs w:val="24"/>
          <w:highlight w:val="none"/>
          <w:lang w:val="en-US" w:eastAsia="zh-CN"/>
        </w:rPr>
        <w:t>22</w:t>
      </w:r>
      <w:r>
        <w:rPr>
          <w:rFonts w:hint="eastAsia"/>
          <w:color w:val="000000"/>
          <w:kern w:val="2"/>
          <w:sz w:val="24"/>
          <w:szCs w:val="24"/>
          <w:highlight w:val="none"/>
        </w:rPr>
        <w:t>日至</w:t>
      </w:r>
      <w:bookmarkEnd w:id="50"/>
      <w:r>
        <w:rPr>
          <w:rFonts w:hint="eastAsia"/>
          <w:color w:val="000000"/>
          <w:kern w:val="2"/>
          <w:sz w:val="24"/>
          <w:szCs w:val="24"/>
          <w:highlight w:val="none"/>
          <w:lang w:eastAsia="zh-CN"/>
        </w:rPr>
        <w:t>2025年5月6日08时30分</w:t>
      </w:r>
      <w:r>
        <w:rPr>
          <w:rFonts w:hint="eastAsia"/>
          <w:kern w:val="2"/>
          <w:sz w:val="24"/>
          <w:szCs w:val="24"/>
        </w:rPr>
        <w:t>。</w:t>
      </w:r>
    </w:p>
    <w:p w14:paraId="37131FFC">
      <w:pPr>
        <w:keepNext w:val="0"/>
        <w:keepLines w:val="0"/>
        <w:pageBreakBefore w:val="0"/>
        <w:widowControl w:val="0"/>
        <w:kinsoku/>
        <w:wordWrap/>
        <w:bidi w:val="0"/>
        <w:snapToGrid w:val="0"/>
        <w:spacing w:line="360" w:lineRule="auto"/>
        <w:ind w:firstLine="540" w:firstLineChars="225"/>
        <w:textAlignment w:val="auto"/>
        <w:rPr>
          <w:rFonts w:hint="eastAsia"/>
          <w:color w:val="000000"/>
          <w:kern w:val="2"/>
          <w:sz w:val="24"/>
          <w:szCs w:val="24"/>
          <w:lang w:val="en-US"/>
        </w:rPr>
      </w:pPr>
      <w:r>
        <w:rPr>
          <w:rFonts w:hint="eastAsia"/>
          <w:color w:val="000000"/>
          <w:kern w:val="2"/>
          <w:sz w:val="24"/>
          <w:szCs w:val="24"/>
        </w:rPr>
        <w:t>3、本项目为不见面开标项目，开标当日，</w:t>
      </w:r>
      <w:r>
        <w:rPr>
          <w:rFonts w:hint="eastAsia"/>
          <w:color w:val="000000"/>
          <w:kern w:val="2"/>
          <w:sz w:val="24"/>
          <w:szCs w:val="24"/>
          <w:lang w:eastAsia="zh-CN"/>
        </w:rPr>
        <w:t>响应人</w:t>
      </w:r>
      <w:r>
        <w:rPr>
          <w:rFonts w:hint="eastAsia"/>
          <w:color w:val="000000"/>
          <w:kern w:val="2"/>
          <w:sz w:val="24"/>
          <w:szCs w:val="24"/>
        </w:rPr>
        <w:t>无需到开标现场参加开标会议，</w:t>
      </w:r>
      <w:r>
        <w:rPr>
          <w:rFonts w:hint="eastAsia"/>
          <w:color w:val="000000"/>
          <w:kern w:val="2"/>
          <w:sz w:val="24"/>
          <w:szCs w:val="24"/>
          <w:lang w:eastAsia="zh-CN"/>
        </w:rPr>
        <w:t>响应人</w:t>
      </w:r>
      <w:r>
        <w:rPr>
          <w:rFonts w:hint="eastAsia"/>
          <w:color w:val="000000"/>
          <w:kern w:val="2"/>
          <w:sz w:val="24"/>
          <w:szCs w:val="24"/>
        </w:rPr>
        <w:t>应当在投标截止时间前，登陆不见面开标大厅选择登陆三门峡市公共资源电子招投标系统进行登陆（网址为http://120.194.249.36:10094/BidOpening/bidopeninghallaction/hall/login）,在线准时参加开标活动并进行响应文件解密等。每位</w:t>
      </w:r>
      <w:r>
        <w:rPr>
          <w:rFonts w:hint="eastAsia"/>
          <w:color w:val="000000"/>
          <w:kern w:val="2"/>
          <w:sz w:val="24"/>
          <w:szCs w:val="24"/>
          <w:lang w:eastAsia="zh-CN"/>
        </w:rPr>
        <w:t>响应人</w:t>
      </w:r>
      <w:r>
        <w:rPr>
          <w:rFonts w:hint="eastAsia"/>
          <w:color w:val="000000"/>
          <w:kern w:val="2"/>
          <w:sz w:val="24"/>
          <w:szCs w:val="24"/>
        </w:rPr>
        <w:t>的解密时间为开标时间起30分钟内完成。因</w:t>
      </w:r>
      <w:r>
        <w:rPr>
          <w:rFonts w:hint="eastAsia"/>
          <w:color w:val="000000"/>
          <w:kern w:val="2"/>
          <w:sz w:val="24"/>
          <w:szCs w:val="24"/>
          <w:lang w:eastAsia="zh-CN"/>
        </w:rPr>
        <w:t>响应人</w:t>
      </w:r>
      <w:r>
        <w:rPr>
          <w:rFonts w:hint="eastAsia"/>
          <w:color w:val="000000"/>
          <w:kern w:val="2"/>
          <w:sz w:val="24"/>
          <w:szCs w:val="24"/>
        </w:rPr>
        <w:t>原因未能解密、解密失败或解密超时的将被拒绝。</w:t>
      </w:r>
    </w:p>
    <w:p w14:paraId="0FBD4B35">
      <w:pPr>
        <w:keepNext w:val="0"/>
        <w:keepLines w:val="0"/>
        <w:pageBreakBefore w:val="0"/>
        <w:widowControl w:val="0"/>
        <w:kinsoku/>
        <w:wordWrap/>
        <w:bidi w:val="0"/>
        <w:snapToGrid w:val="0"/>
        <w:spacing w:line="360" w:lineRule="auto"/>
        <w:ind w:firstLine="540" w:firstLineChars="225"/>
        <w:textAlignment w:val="auto"/>
        <w:outlineLvl w:val="9"/>
        <w:rPr>
          <w:rFonts w:hint="eastAsia"/>
          <w:color w:val="000000"/>
          <w:kern w:val="2"/>
          <w:sz w:val="24"/>
          <w:szCs w:val="24"/>
        </w:rPr>
      </w:pPr>
      <w:bookmarkStart w:id="51" w:name="_Toc2954"/>
      <w:bookmarkStart w:id="52" w:name="_Toc29615"/>
      <w:r>
        <w:rPr>
          <w:rFonts w:hint="eastAsia"/>
          <w:color w:val="000000"/>
          <w:kern w:val="2"/>
          <w:sz w:val="24"/>
          <w:szCs w:val="24"/>
        </w:rPr>
        <w:t>七、磋商保证金：</w:t>
      </w:r>
      <w:bookmarkEnd w:id="51"/>
      <w:bookmarkEnd w:id="52"/>
    </w:p>
    <w:p w14:paraId="1AFBCCF5">
      <w:pPr>
        <w:keepNext w:val="0"/>
        <w:keepLines w:val="0"/>
        <w:pageBreakBefore w:val="0"/>
        <w:widowControl w:val="0"/>
        <w:kinsoku/>
        <w:wordWrap/>
        <w:bidi w:val="0"/>
        <w:snapToGrid w:val="0"/>
        <w:spacing w:line="360" w:lineRule="auto"/>
        <w:ind w:firstLine="540" w:firstLineChars="225"/>
        <w:textAlignment w:val="auto"/>
        <w:outlineLvl w:val="9"/>
        <w:rPr>
          <w:rFonts w:hint="eastAsia"/>
          <w:color w:val="000000"/>
          <w:kern w:val="2"/>
          <w:sz w:val="24"/>
          <w:szCs w:val="24"/>
        </w:rPr>
      </w:pPr>
      <w:r>
        <w:rPr>
          <w:rFonts w:hint="eastAsia"/>
          <w:color w:val="000000"/>
          <w:kern w:val="2"/>
          <w:sz w:val="24"/>
          <w:szCs w:val="24"/>
        </w:rPr>
        <w:t>按照《河南省财政厅关于优化政府采购营商环境有关问题的通知》（豫财购[2019]4号文）的要求本项目不再收取投标保证金。</w:t>
      </w:r>
    </w:p>
    <w:p w14:paraId="11FF28B4">
      <w:pPr>
        <w:keepNext w:val="0"/>
        <w:keepLines w:val="0"/>
        <w:pageBreakBefore w:val="0"/>
        <w:widowControl w:val="0"/>
        <w:kinsoku/>
        <w:wordWrap/>
        <w:bidi w:val="0"/>
        <w:snapToGrid w:val="0"/>
        <w:spacing w:line="360" w:lineRule="auto"/>
        <w:ind w:firstLine="540" w:firstLineChars="225"/>
        <w:textAlignment w:val="auto"/>
        <w:outlineLvl w:val="9"/>
        <w:rPr>
          <w:rFonts w:hint="eastAsia"/>
          <w:color w:val="000000"/>
          <w:kern w:val="2"/>
          <w:sz w:val="24"/>
          <w:szCs w:val="24"/>
        </w:rPr>
      </w:pPr>
      <w:bookmarkStart w:id="53" w:name="_Toc8991"/>
      <w:bookmarkStart w:id="54" w:name="_Toc18570"/>
      <w:bookmarkStart w:id="55" w:name="_Toc975"/>
      <w:r>
        <w:rPr>
          <w:rFonts w:hint="eastAsia"/>
          <w:color w:val="000000"/>
          <w:kern w:val="2"/>
          <w:sz w:val="24"/>
          <w:szCs w:val="24"/>
        </w:rPr>
        <w:t>八、响应文件上传截止时间及磋商地点：</w:t>
      </w:r>
      <w:bookmarkEnd w:id="53"/>
      <w:bookmarkEnd w:id="54"/>
      <w:bookmarkEnd w:id="55"/>
    </w:p>
    <w:p w14:paraId="6A3EF70A">
      <w:pPr>
        <w:keepNext w:val="0"/>
        <w:keepLines w:val="0"/>
        <w:pageBreakBefore w:val="0"/>
        <w:widowControl w:val="0"/>
        <w:kinsoku/>
        <w:wordWrap/>
        <w:bidi w:val="0"/>
        <w:snapToGrid w:val="0"/>
        <w:spacing w:line="360" w:lineRule="auto"/>
        <w:ind w:firstLine="540" w:firstLineChars="225"/>
        <w:textAlignment w:val="auto"/>
        <w:outlineLvl w:val="9"/>
        <w:rPr>
          <w:rFonts w:hint="eastAsia"/>
          <w:color w:val="000000"/>
          <w:kern w:val="2"/>
          <w:sz w:val="24"/>
          <w:szCs w:val="24"/>
          <w:highlight w:val="none"/>
        </w:rPr>
      </w:pPr>
      <w:r>
        <w:rPr>
          <w:rFonts w:hint="eastAsia"/>
          <w:color w:val="000000"/>
          <w:kern w:val="2"/>
          <w:sz w:val="24"/>
          <w:szCs w:val="24"/>
        </w:rPr>
        <w:t>1、响应文件上传截止时间及磋商时间：</w:t>
      </w:r>
      <w:r>
        <w:rPr>
          <w:rFonts w:hint="eastAsia"/>
          <w:color w:val="000000"/>
          <w:kern w:val="2"/>
          <w:sz w:val="24"/>
          <w:szCs w:val="24"/>
          <w:highlight w:val="none"/>
          <w:lang w:eastAsia="zh-CN"/>
        </w:rPr>
        <w:t>2025年5月6日08时30分</w:t>
      </w:r>
    </w:p>
    <w:p w14:paraId="776EA89D">
      <w:pPr>
        <w:keepNext w:val="0"/>
        <w:keepLines w:val="0"/>
        <w:pageBreakBefore w:val="0"/>
        <w:widowControl w:val="0"/>
        <w:kinsoku/>
        <w:wordWrap/>
        <w:bidi w:val="0"/>
        <w:snapToGrid w:val="0"/>
        <w:spacing w:line="360" w:lineRule="auto"/>
        <w:ind w:firstLine="540" w:firstLineChars="225"/>
        <w:textAlignment w:val="auto"/>
        <w:outlineLvl w:val="9"/>
        <w:rPr>
          <w:rFonts w:hint="eastAsia"/>
          <w:color w:val="000000"/>
          <w:kern w:val="2"/>
          <w:sz w:val="24"/>
          <w:szCs w:val="24"/>
          <w:highlight w:val="none"/>
        </w:rPr>
      </w:pPr>
      <w:r>
        <w:rPr>
          <w:rFonts w:hint="eastAsia"/>
          <w:color w:val="000000"/>
          <w:kern w:val="2"/>
          <w:sz w:val="24"/>
          <w:szCs w:val="24"/>
          <w:highlight w:val="none"/>
        </w:rPr>
        <w:t>2、开标地点：三门峡市陕州区公共资源交易中心开标</w:t>
      </w:r>
      <w:bookmarkStart w:id="56" w:name="OLE_LINK17"/>
      <w:r>
        <w:rPr>
          <w:rFonts w:hint="eastAsia"/>
          <w:color w:val="000000"/>
          <w:kern w:val="2"/>
          <w:sz w:val="24"/>
          <w:szCs w:val="24"/>
          <w:highlight w:val="none"/>
          <w:lang w:val="en-US" w:eastAsia="zh-CN"/>
        </w:rPr>
        <w:t>二</w:t>
      </w:r>
      <w:bookmarkEnd w:id="56"/>
      <w:r>
        <w:rPr>
          <w:rFonts w:hint="eastAsia"/>
          <w:color w:val="000000"/>
          <w:kern w:val="2"/>
          <w:sz w:val="24"/>
          <w:szCs w:val="24"/>
          <w:highlight w:val="none"/>
        </w:rPr>
        <w:t>室</w:t>
      </w:r>
    </w:p>
    <w:p w14:paraId="49934449">
      <w:pPr>
        <w:keepNext w:val="0"/>
        <w:keepLines w:val="0"/>
        <w:pageBreakBefore w:val="0"/>
        <w:widowControl w:val="0"/>
        <w:kinsoku/>
        <w:wordWrap/>
        <w:bidi w:val="0"/>
        <w:snapToGrid w:val="0"/>
        <w:spacing w:line="360" w:lineRule="auto"/>
        <w:ind w:firstLine="540" w:firstLineChars="225"/>
        <w:textAlignment w:val="auto"/>
        <w:outlineLvl w:val="9"/>
        <w:rPr>
          <w:rFonts w:hint="eastAsia"/>
          <w:kern w:val="2"/>
          <w:sz w:val="24"/>
          <w:szCs w:val="24"/>
          <w:highlight w:val="none"/>
        </w:rPr>
      </w:pPr>
      <w:r>
        <w:rPr>
          <w:rFonts w:hint="eastAsia"/>
          <w:kern w:val="2"/>
          <w:sz w:val="24"/>
          <w:szCs w:val="24"/>
          <w:highlight w:val="none"/>
        </w:rPr>
        <w:t>3、评标地点：</w:t>
      </w:r>
      <w:r>
        <w:rPr>
          <w:rFonts w:hint="eastAsia"/>
          <w:color w:val="000000"/>
          <w:kern w:val="2"/>
          <w:sz w:val="24"/>
          <w:szCs w:val="24"/>
          <w:highlight w:val="none"/>
        </w:rPr>
        <w:t>三门峡市陕州区公共资源交易中心</w:t>
      </w:r>
      <w:r>
        <w:rPr>
          <w:rFonts w:hint="eastAsia"/>
          <w:color w:val="000000"/>
          <w:kern w:val="2"/>
          <w:sz w:val="24"/>
          <w:szCs w:val="24"/>
          <w:highlight w:val="none"/>
          <w:lang w:val="en-US" w:eastAsia="zh-CN"/>
        </w:rPr>
        <w:t>评</w:t>
      </w:r>
      <w:r>
        <w:rPr>
          <w:rFonts w:hint="eastAsia"/>
          <w:color w:val="000000"/>
          <w:kern w:val="2"/>
          <w:sz w:val="24"/>
          <w:szCs w:val="24"/>
          <w:highlight w:val="none"/>
        </w:rPr>
        <w:t>标</w:t>
      </w:r>
      <w:r>
        <w:rPr>
          <w:rFonts w:hint="eastAsia"/>
          <w:color w:val="000000"/>
          <w:kern w:val="2"/>
          <w:sz w:val="24"/>
          <w:szCs w:val="24"/>
          <w:highlight w:val="none"/>
          <w:lang w:val="en-US" w:eastAsia="zh-CN"/>
        </w:rPr>
        <w:t>二</w:t>
      </w:r>
      <w:r>
        <w:rPr>
          <w:rFonts w:hint="eastAsia"/>
          <w:color w:val="000000"/>
          <w:kern w:val="2"/>
          <w:sz w:val="24"/>
          <w:szCs w:val="24"/>
          <w:highlight w:val="none"/>
        </w:rPr>
        <w:t>室</w:t>
      </w:r>
    </w:p>
    <w:p w14:paraId="382DCC62">
      <w:pPr>
        <w:keepNext w:val="0"/>
        <w:keepLines w:val="0"/>
        <w:pageBreakBefore w:val="0"/>
        <w:widowControl w:val="0"/>
        <w:kinsoku/>
        <w:wordWrap/>
        <w:bidi w:val="0"/>
        <w:snapToGrid w:val="0"/>
        <w:spacing w:line="360" w:lineRule="auto"/>
        <w:ind w:firstLine="540" w:firstLineChars="225"/>
        <w:textAlignment w:val="auto"/>
        <w:outlineLvl w:val="9"/>
        <w:rPr>
          <w:rFonts w:hint="eastAsia"/>
          <w:kern w:val="2"/>
          <w:sz w:val="24"/>
          <w:szCs w:val="24"/>
        </w:rPr>
      </w:pPr>
      <w:bookmarkStart w:id="57" w:name="_Toc12481"/>
      <w:bookmarkStart w:id="58" w:name="_Toc16718"/>
      <w:bookmarkStart w:id="59" w:name="_Toc8898"/>
      <w:r>
        <w:rPr>
          <w:rFonts w:hint="eastAsia"/>
          <w:kern w:val="2"/>
          <w:sz w:val="24"/>
          <w:szCs w:val="24"/>
        </w:rPr>
        <w:t>九、其他事项</w:t>
      </w:r>
      <w:bookmarkEnd w:id="57"/>
      <w:bookmarkEnd w:id="58"/>
      <w:bookmarkEnd w:id="59"/>
    </w:p>
    <w:p w14:paraId="1B946BFA">
      <w:pPr>
        <w:keepNext w:val="0"/>
        <w:keepLines w:val="0"/>
        <w:pageBreakBefore w:val="0"/>
        <w:widowControl w:val="0"/>
        <w:kinsoku/>
        <w:wordWrap/>
        <w:bidi w:val="0"/>
        <w:snapToGrid w:val="0"/>
        <w:spacing w:line="360" w:lineRule="auto"/>
        <w:ind w:firstLine="540" w:firstLineChars="225"/>
        <w:textAlignment w:val="auto"/>
        <w:outlineLvl w:val="9"/>
        <w:rPr>
          <w:rFonts w:hint="eastAsia"/>
          <w:kern w:val="2"/>
          <w:sz w:val="24"/>
          <w:szCs w:val="24"/>
        </w:rPr>
      </w:pPr>
      <w:r>
        <w:rPr>
          <w:rFonts w:hint="eastAsia"/>
          <w:kern w:val="2"/>
          <w:sz w:val="24"/>
          <w:szCs w:val="24"/>
        </w:rPr>
        <w:t>本项目实行资格后审，根据优化营商环境的要求，评标时审查内容以响应文件为准：</w:t>
      </w:r>
    </w:p>
    <w:p w14:paraId="45DE864B">
      <w:pPr>
        <w:keepNext w:val="0"/>
        <w:keepLines w:val="0"/>
        <w:pageBreakBefore w:val="0"/>
        <w:widowControl w:val="0"/>
        <w:kinsoku/>
        <w:wordWrap/>
        <w:autoSpaceDE/>
        <w:autoSpaceDN/>
        <w:bidi w:val="0"/>
        <w:spacing w:line="360" w:lineRule="auto"/>
        <w:ind w:firstLine="364" w:firstLineChars="152"/>
        <w:jc w:val="both"/>
        <w:textAlignment w:val="auto"/>
        <w:outlineLvl w:val="9"/>
        <w:rPr>
          <w:rFonts w:hint="eastAsia"/>
          <w:color w:val="000000"/>
          <w:sz w:val="24"/>
          <w:szCs w:val="24"/>
        </w:rPr>
      </w:pPr>
      <w:r>
        <w:rPr>
          <w:rFonts w:hint="eastAsia"/>
          <w:color w:val="000000"/>
          <w:sz w:val="24"/>
          <w:szCs w:val="24"/>
        </w:rPr>
        <w:t>1、资格评（预）审部分：资格评（预）以</w:t>
      </w:r>
      <w:r>
        <w:rPr>
          <w:rFonts w:hint="eastAsia"/>
          <w:color w:val="000000"/>
          <w:sz w:val="24"/>
          <w:szCs w:val="24"/>
          <w:lang w:eastAsia="zh-CN"/>
        </w:rPr>
        <w:t>响应文件</w:t>
      </w:r>
      <w:r>
        <w:rPr>
          <w:rFonts w:hint="eastAsia"/>
          <w:color w:val="000000"/>
          <w:sz w:val="24"/>
          <w:szCs w:val="24"/>
        </w:rPr>
        <w:t>为准，其上传资料真实性由</w:t>
      </w:r>
      <w:r>
        <w:rPr>
          <w:rFonts w:hint="eastAsia"/>
          <w:color w:val="000000"/>
          <w:sz w:val="24"/>
          <w:szCs w:val="24"/>
          <w:lang w:eastAsia="zh-CN"/>
        </w:rPr>
        <w:t>响应人</w:t>
      </w:r>
      <w:r>
        <w:rPr>
          <w:rFonts w:hint="eastAsia"/>
          <w:color w:val="000000"/>
          <w:sz w:val="24"/>
          <w:szCs w:val="24"/>
        </w:rPr>
        <w:t>自行承担，同时，</w:t>
      </w:r>
      <w:r>
        <w:rPr>
          <w:rFonts w:hint="eastAsia"/>
          <w:color w:val="000000"/>
          <w:sz w:val="24"/>
          <w:szCs w:val="24"/>
          <w:lang w:eastAsia="zh-CN"/>
        </w:rPr>
        <w:t>响应人</w:t>
      </w:r>
      <w:r>
        <w:rPr>
          <w:rFonts w:hint="eastAsia"/>
          <w:color w:val="000000"/>
          <w:sz w:val="24"/>
          <w:szCs w:val="24"/>
        </w:rPr>
        <w:t>要完善主体库。</w:t>
      </w:r>
    </w:p>
    <w:p w14:paraId="48A0A71B">
      <w:pPr>
        <w:keepNext w:val="0"/>
        <w:keepLines w:val="0"/>
        <w:pageBreakBefore w:val="0"/>
        <w:widowControl w:val="0"/>
        <w:kinsoku/>
        <w:wordWrap/>
        <w:autoSpaceDE/>
        <w:autoSpaceDN/>
        <w:bidi w:val="0"/>
        <w:spacing w:line="360" w:lineRule="auto"/>
        <w:ind w:firstLine="364" w:firstLineChars="152"/>
        <w:jc w:val="both"/>
        <w:textAlignment w:val="auto"/>
        <w:outlineLvl w:val="9"/>
        <w:rPr>
          <w:rFonts w:hint="eastAsia"/>
          <w:color w:val="000000"/>
          <w:sz w:val="24"/>
          <w:szCs w:val="24"/>
        </w:rPr>
      </w:pPr>
      <w:r>
        <w:rPr>
          <w:rFonts w:hint="eastAsia"/>
          <w:color w:val="000000"/>
          <w:sz w:val="24"/>
          <w:szCs w:val="24"/>
        </w:rPr>
        <w:t>2、评标打分部分：评标打分部分仍按照100分制原则进行，涉及到资格审查、企业荣誉、人员业绩、企业业绩等计分部分时，以</w:t>
      </w:r>
      <w:r>
        <w:rPr>
          <w:rFonts w:hint="eastAsia"/>
          <w:color w:val="000000"/>
          <w:sz w:val="24"/>
          <w:szCs w:val="24"/>
          <w:lang w:eastAsia="zh-CN"/>
        </w:rPr>
        <w:t>响应单位</w:t>
      </w:r>
      <w:r>
        <w:rPr>
          <w:rFonts w:hint="eastAsia"/>
          <w:color w:val="000000"/>
          <w:sz w:val="24"/>
          <w:szCs w:val="24"/>
        </w:rPr>
        <w:t>自行上传到</w:t>
      </w:r>
      <w:r>
        <w:rPr>
          <w:rFonts w:hint="eastAsia"/>
          <w:color w:val="000000"/>
          <w:sz w:val="24"/>
          <w:szCs w:val="24"/>
          <w:lang w:eastAsia="zh-CN"/>
        </w:rPr>
        <w:t>响应文件</w:t>
      </w:r>
      <w:r>
        <w:rPr>
          <w:rFonts w:hint="eastAsia"/>
          <w:color w:val="000000"/>
          <w:sz w:val="24"/>
          <w:szCs w:val="24"/>
        </w:rPr>
        <w:t>中的相应内容为准。</w:t>
      </w:r>
    </w:p>
    <w:p w14:paraId="436B87FF">
      <w:pPr>
        <w:keepNext w:val="0"/>
        <w:keepLines w:val="0"/>
        <w:pageBreakBefore w:val="0"/>
        <w:widowControl w:val="0"/>
        <w:kinsoku/>
        <w:wordWrap/>
        <w:autoSpaceDE/>
        <w:autoSpaceDN/>
        <w:bidi w:val="0"/>
        <w:spacing w:line="360" w:lineRule="auto"/>
        <w:ind w:firstLine="364" w:firstLineChars="152"/>
        <w:jc w:val="both"/>
        <w:textAlignment w:val="auto"/>
        <w:outlineLvl w:val="9"/>
        <w:rPr>
          <w:rFonts w:hint="eastAsia"/>
          <w:color w:val="000000"/>
          <w:sz w:val="24"/>
          <w:szCs w:val="24"/>
        </w:rPr>
      </w:pPr>
      <w:r>
        <w:rPr>
          <w:rFonts w:hint="eastAsia"/>
          <w:color w:val="000000"/>
          <w:sz w:val="24"/>
          <w:szCs w:val="24"/>
        </w:rPr>
        <w:t>3、</w:t>
      </w:r>
      <w:r>
        <w:rPr>
          <w:rFonts w:hint="eastAsia"/>
          <w:color w:val="000000"/>
          <w:sz w:val="24"/>
          <w:szCs w:val="24"/>
          <w:lang w:eastAsia="zh-CN"/>
        </w:rPr>
        <w:t>响应文件</w:t>
      </w:r>
      <w:r>
        <w:rPr>
          <w:rFonts w:hint="eastAsia"/>
          <w:color w:val="000000"/>
          <w:sz w:val="24"/>
          <w:szCs w:val="24"/>
        </w:rPr>
        <w:t>编制部分：在</w:t>
      </w:r>
      <w:r>
        <w:rPr>
          <w:rFonts w:hint="eastAsia"/>
          <w:color w:val="000000"/>
          <w:sz w:val="24"/>
          <w:szCs w:val="24"/>
          <w:lang w:eastAsia="zh-CN"/>
        </w:rPr>
        <w:t>磋商文件</w:t>
      </w:r>
      <w:r>
        <w:rPr>
          <w:rFonts w:hint="eastAsia"/>
          <w:color w:val="000000"/>
          <w:sz w:val="24"/>
          <w:szCs w:val="24"/>
        </w:rPr>
        <w:t>中要求</w:t>
      </w:r>
      <w:r>
        <w:rPr>
          <w:rFonts w:hint="eastAsia"/>
          <w:color w:val="000000"/>
          <w:sz w:val="24"/>
          <w:szCs w:val="24"/>
          <w:lang w:eastAsia="zh-CN"/>
        </w:rPr>
        <w:t>响应人</w:t>
      </w:r>
      <w:r>
        <w:rPr>
          <w:rFonts w:hint="eastAsia"/>
          <w:color w:val="000000"/>
          <w:sz w:val="24"/>
          <w:szCs w:val="24"/>
        </w:rPr>
        <w:t>按照</w:t>
      </w:r>
      <w:r>
        <w:rPr>
          <w:rFonts w:hint="eastAsia"/>
          <w:color w:val="000000"/>
          <w:sz w:val="24"/>
          <w:szCs w:val="24"/>
          <w:lang w:eastAsia="zh-CN"/>
        </w:rPr>
        <w:t>响应文件</w:t>
      </w:r>
      <w:r>
        <w:rPr>
          <w:rFonts w:hint="eastAsia"/>
          <w:color w:val="000000"/>
          <w:sz w:val="24"/>
          <w:szCs w:val="24"/>
        </w:rPr>
        <w:t>格式进行</w:t>
      </w:r>
      <w:r>
        <w:rPr>
          <w:rFonts w:hint="eastAsia"/>
          <w:color w:val="000000"/>
          <w:sz w:val="24"/>
          <w:szCs w:val="24"/>
          <w:lang w:eastAsia="zh-CN"/>
        </w:rPr>
        <w:t>响应文件</w:t>
      </w:r>
      <w:r>
        <w:rPr>
          <w:rFonts w:hint="eastAsia"/>
          <w:color w:val="000000"/>
          <w:sz w:val="24"/>
          <w:szCs w:val="24"/>
        </w:rPr>
        <w:t>编制，在</w:t>
      </w:r>
      <w:r>
        <w:rPr>
          <w:rFonts w:hint="eastAsia"/>
          <w:color w:val="000000"/>
          <w:sz w:val="24"/>
          <w:szCs w:val="24"/>
          <w:lang w:eastAsia="zh-CN"/>
        </w:rPr>
        <w:t>响应文件</w:t>
      </w:r>
      <w:r>
        <w:rPr>
          <w:rFonts w:hint="eastAsia"/>
          <w:color w:val="000000"/>
          <w:sz w:val="24"/>
          <w:szCs w:val="24"/>
        </w:rPr>
        <w:t>编制时，应明确将</w:t>
      </w:r>
      <w:r>
        <w:rPr>
          <w:rFonts w:hint="eastAsia"/>
          <w:color w:val="000000"/>
          <w:sz w:val="24"/>
          <w:szCs w:val="24"/>
          <w:lang w:eastAsia="zh-CN"/>
        </w:rPr>
        <w:t>响应单位</w:t>
      </w:r>
      <w:r>
        <w:rPr>
          <w:rFonts w:hint="eastAsia"/>
          <w:color w:val="000000"/>
          <w:sz w:val="24"/>
          <w:szCs w:val="24"/>
        </w:rPr>
        <w:t>企业基本情况、资质情况、人员情况、财务情况、业绩情况编入</w:t>
      </w:r>
      <w:r>
        <w:rPr>
          <w:rFonts w:hint="eastAsia"/>
          <w:color w:val="000000"/>
          <w:sz w:val="24"/>
          <w:szCs w:val="24"/>
          <w:lang w:eastAsia="zh-CN"/>
        </w:rPr>
        <w:t>响应文件</w:t>
      </w:r>
      <w:r>
        <w:rPr>
          <w:rFonts w:hint="eastAsia"/>
          <w:color w:val="000000"/>
          <w:sz w:val="24"/>
          <w:szCs w:val="24"/>
        </w:rPr>
        <w:t>，便于进行资格审查及评标打分。</w:t>
      </w:r>
    </w:p>
    <w:p w14:paraId="51522A09">
      <w:pPr>
        <w:keepNext w:val="0"/>
        <w:keepLines w:val="0"/>
        <w:pageBreakBefore w:val="0"/>
        <w:widowControl w:val="0"/>
        <w:kinsoku/>
        <w:wordWrap/>
        <w:bidi w:val="0"/>
        <w:spacing w:line="360" w:lineRule="auto"/>
        <w:ind w:firstLine="480" w:firstLineChars="200"/>
        <w:textAlignment w:val="auto"/>
        <w:outlineLvl w:val="9"/>
        <w:rPr>
          <w:rFonts w:hint="eastAsia"/>
          <w:color w:val="000000"/>
          <w:sz w:val="24"/>
          <w:szCs w:val="24"/>
        </w:rPr>
      </w:pPr>
      <w:bookmarkStart w:id="60" w:name="_Toc20764"/>
      <w:r>
        <w:rPr>
          <w:rFonts w:hint="eastAsia"/>
          <w:color w:val="000000"/>
          <w:sz w:val="24"/>
          <w:szCs w:val="24"/>
          <w:lang w:val="en-US"/>
        </w:rPr>
        <w:t>4、</w:t>
      </w:r>
      <w:r>
        <w:rPr>
          <w:rFonts w:hint="eastAsia"/>
          <w:color w:val="000000"/>
          <w:sz w:val="24"/>
          <w:szCs w:val="24"/>
        </w:rPr>
        <w:t>本项目可使用电子营业执照。</w:t>
      </w:r>
      <w:bookmarkEnd w:id="60"/>
    </w:p>
    <w:p w14:paraId="29C4994C">
      <w:pPr>
        <w:keepNext w:val="0"/>
        <w:keepLines w:val="0"/>
        <w:pageBreakBefore w:val="0"/>
        <w:widowControl w:val="0"/>
        <w:kinsoku/>
        <w:wordWrap/>
        <w:bidi w:val="0"/>
        <w:spacing w:line="360" w:lineRule="auto"/>
        <w:ind w:firstLine="480" w:firstLineChars="200"/>
        <w:textAlignment w:val="auto"/>
        <w:outlineLvl w:val="9"/>
        <w:rPr>
          <w:rFonts w:hint="eastAsia"/>
          <w:color w:val="000000"/>
          <w:sz w:val="24"/>
          <w:szCs w:val="24"/>
        </w:rPr>
      </w:pPr>
      <w:r>
        <w:rPr>
          <w:rFonts w:hint="eastAsia"/>
          <w:color w:val="000000"/>
          <w:sz w:val="24"/>
          <w:szCs w:val="24"/>
          <w:lang w:val="en-US"/>
        </w:rPr>
        <w:t>5、</w:t>
      </w:r>
      <w:r>
        <w:rPr>
          <w:rFonts w:hint="eastAsia"/>
          <w:color w:val="000000"/>
          <w:sz w:val="24"/>
          <w:szCs w:val="24"/>
        </w:rPr>
        <w:t>我单位（采购人）严格按三财购【2021】9号文要求的时限发布</w:t>
      </w:r>
      <w:r>
        <w:rPr>
          <w:rFonts w:hint="eastAsia"/>
          <w:color w:val="000000"/>
          <w:sz w:val="24"/>
          <w:szCs w:val="24"/>
          <w:lang w:eastAsia="zh-CN"/>
        </w:rPr>
        <w:t>成交</w:t>
      </w:r>
      <w:r>
        <w:rPr>
          <w:rFonts w:hint="eastAsia"/>
          <w:color w:val="000000"/>
          <w:sz w:val="24"/>
          <w:szCs w:val="24"/>
        </w:rPr>
        <w:t>结果公告，发出</w:t>
      </w:r>
      <w:r>
        <w:rPr>
          <w:rFonts w:hint="eastAsia"/>
          <w:color w:val="000000"/>
          <w:sz w:val="24"/>
          <w:szCs w:val="24"/>
          <w:lang w:eastAsia="zh-CN"/>
        </w:rPr>
        <w:t>成交</w:t>
      </w:r>
      <w:r>
        <w:rPr>
          <w:rFonts w:hint="eastAsia"/>
          <w:color w:val="000000"/>
          <w:sz w:val="24"/>
          <w:szCs w:val="24"/>
        </w:rPr>
        <w:t>通知书，签订采购合同，上传采购合同。</w:t>
      </w:r>
    </w:p>
    <w:p w14:paraId="012BC713">
      <w:pPr>
        <w:keepNext w:val="0"/>
        <w:keepLines w:val="0"/>
        <w:pageBreakBefore w:val="0"/>
        <w:widowControl w:val="0"/>
        <w:kinsoku/>
        <w:wordWrap/>
        <w:bidi w:val="0"/>
        <w:spacing w:line="360" w:lineRule="auto"/>
        <w:ind w:firstLine="480" w:firstLineChars="200"/>
        <w:textAlignment w:val="auto"/>
        <w:outlineLvl w:val="9"/>
        <w:rPr>
          <w:rFonts w:hint="eastAsia"/>
          <w:color w:val="000000"/>
          <w:sz w:val="24"/>
          <w:szCs w:val="24"/>
        </w:rPr>
      </w:pPr>
      <w:r>
        <w:rPr>
          <w:rFonts w:hint="eastAsia"/>
          <w:color w:val="000000"/>
          <w:sz w:val="24"/>
          <w:szCs w:val="24"/>
          <w:lang w:val="en-US"/>
        </w:rPr>
        <w:t>6、</w:t>
      </w:r>
      <w:r>
        <w:rPr>
          <w:rFonts w:hint="eastAsia"/>
          <w:color w:val="000000"/>
          <w:sz w:val="24"/>
          <w:szCs w:val="24"/>
          <w:lang w:eastAsia="zh-CN"/>
        </w:rPr>
        <w:t>响应人</w:t>
      </w:r>
      <w:r>
        <w:rPr>
          <w:rFonts w:hint="eastAsia"/>
          <w:color w:val="000000"/>
          <w:sz w:val="24"/>
          <w:szCs w:val="24"/>
        </w:rPr>
        <w:t>应仔细阅读操作手册，在本公告中要求的截止时间前完成磋商文件下载等工作。因</w:t>
      </w:r>
      <w:r>
        <w:rPr>
          <w:rFonts w:hint="eastAsia"/>
          <w:color w:val="000000"/>
          <w:sz w:val="24"/>
          <w:szCs w:val="24"/>
          <w:lang w:eastAsia="zh-CN"/>
        </w:rPr>
        <w:t>响应人</w:t>
      </w:r>
      <w:r>
        <w:rPr>
          <w:rFonts w:hint="eastAsia"/>
          <w:color w:val="000000"/>
          <w:sz w:val="24"/>
          <w:szCs w:val="24"/>
        </w:rPr>
        <w:t>操作不当等问题造成的无法下载磋商文件、无法磋商等一切后果，由</w:t>
      </w:r>
      <w:r>
        <w:rPr>
          <w:rFonts w:hint="eastAsia"/>
          <w:color w:val="000000"/>
          <w:sz w:val="24"/>
          <w:szCs w:val="24"/>
          <w:lang w:eastAsia="zh-CN"/>
        </w:rPr>
        <w:t>响应人</w:t>
      </w:r>
      <w:r>
        <w:rPr>
          <w:rFonts w:hint="eastAsia"/>
          <w:color w:val="000000"/>
          <w:sz w:val="24"/>
          <w:szCs w:val="24"/>
        </w:rPr>
        <w:t>自行承担。</w:t>
      </w:r>
    </w:p>
    <w:p w14:paraId="768B7185">
      <w:pPr>
        <w:keepNext w:val="0"/>
        <w:keepLines w:val="0"/>
        <w:pageBreakBefore w:val="0"/>
        <w:widowControl w:val="0"/>
        <w:kinsoku/>
        <w:wordWrap/>
        <w:bidi w:val="0"/>
        <w:spacing w:line="360" w:lineRule="auto"/>
        <w:ind w:firstLine="480" w:firstLineChars="200"/>
        <w:textAlignment w:val="auto"/>
        <w:outlineLvl w:val="9"/>
        <w:rPr>
          <w:rFonts w:hint="eastAsia"/>
          <w:color w:val="000000"/>
          <w:sz w:val="24"/>
          <w:szCs w:val="24"/>
        </w:rPr>
      </w:pPr>
      <w:r>
        <w:rPr>
          <w:rFonts w:hint="eastAsia"/>
          <w:color w:val="000000"/>
          <w:sz w:val="24"/>
          <w:szCs w:val="24"/>
          <w:lang w:val="en-US" w:eastAsia="zh-CN"/>
        </w:rPr>
        <w:t>7</w:t>
      </w:r>
      <w:r>
        <w:rPr>
          <w:rFonts w:hint="eastAsia"/>
          <w:color w:val="000000"/>
          <w:sz w:val="24"/>
          <w:szCs w:val="24"/>
          <w:lang w:val="en-US"/>
        </w:rPr>
        <w:t>、</w:t>
      </w:r>
      <w:r>
        <w:rPr>
          <w:rFonts w:hint="eastAsia"/>
          <w:color w:val="000000"/>
          <w:sz w:val="24"/>
          <w:szCs w:val="24"/>
        </w:rPr>
        <w:t>磋商所发生一切费用由各</w:t>
      </w:r>
      <w:r>
        <w:rPr>
          <w:rFonts w:hint="eastAsia"/>
          <w:color w:val="000000"/>
          <w:sz w:val="24"/>
          <w:szCs w:val="24"/>
          <w:lang w:eastAsia="zh-CN"/>
        </w:rPr>
        <w:t>响应人</w:t>
      </w:r>
      <w:r>
        <w:rPr>
          <w:rFonts w:hint="eastAsia"/>
          <w:color w:val="000000"/>
          <w:sz w:val="24"/>
          <w:szCs w:val="24"/>
        </w:rPr>
        <w:t>自行承担，并承担相应的风险和责任。</w:t>
      </w:r>
    </w:p>
    <w:p w14:paraId="1ED1B88D">
      <w:pPr>
        <w:keepNext w:val="0"/>
        <w:keepLines w:val="0"/>
        <w:pageBreakBefore w:val="0"/>
        <w:widowControl w:val="0"/>
        <w:kinsoku/>
        <w:wordWrap/>
        <w:bidi w:val="0"/>
        <w:snapToGrid w:val="0"/>
        <w:spacing w:line="360" w:lineRule="auto"/>
        <w:ind w:firstLine="540" w:firstLineChars="225"/>
        <w:textAlignment w:val="auto"/>
        <w:outlineLvl w:val="9"/>
        <w:rPr>
          <w:rFonts w:hint="eastAsia"/>
          <w:kern w:val="2"/>
          <w:sz w:val="24"/>
          <w:szCs w:val="24"/>
        </w:rPr>
      </w:pPr>
      <w:bookmarkStart w:id="61" w:name="_Toc26783"/>
      <w:bookmarkStart w:id="62" w:name="_Toc294"/>
      <w:bookmarkStart w:id="63" w:name="_Toc21366"/>
      <w:r>
        <w:rPr>
          <w:rFonts w:hint="eastAsia"/>
          <w:kern w:val="2"/>
          <w:sz w:val="24"/>
          <w:szCs w:val="24"/>
        </w:rPr>
        <w:t>十、发布公告的媒介：</w:t>
      </w:r>
      <w:bookmarkEnd w:id="61"/>
      <w:bookmarkEnd w:id="62"/>
      <w:bookmarkEnd w:id="63"/>
    </w:p>
    <w:p w14:paraId="2AE2A085">
      <w:pPr>
        <w:keepNext w:val="0"/>
        <w:keepLines w:val="0"/>
        <w:pageBreakBefore w:val="0"/>
        <w:widowControl w:val="0"/>
        <w:kinsoku/>
        <w:wordWrap/>
        <w:bidi w:val="0"/>
        <w:snapToGrid w:val="0"/>
        <w:spacing w:line="360" w:lineRule="auto"/>
        <w:ind w:firstLine="540" w:firstLineChars="225"/>
        <w:textAlignment w:val="auto"/>
        <w:outlineLvl w:val="9"/>
        <w:rPr>
          <w:rFonts w:hint="eastAsia"/>
          <w:color w:val="000000"/>
          <w:kern w:val="2"/>
          <w:sz w:val="24"/>
          <w:szCs w:val="24"/>
        </w:rPr>
      </w:pPr>
      <w:r>
        <w:rPr>
          <w:rFonts w:hint="eastAsia"/>
          <w:color w:val="000000"/>
          <w:kern w:val="2"/>
          <w:sz w:val="24"/>
          <w:szCs w:val="24"/>
        </w:rPr>
        <w:t>本次公告同时在《中国采购与招标网》、《中国招标投标公共服务平台》、《河南省政府采购网》和《三门峡市公共资源交易中心网》发布。</w:t>
      </w:r>
    </w:p>
    <w:p w14:paraId="64BDFE8F">
      <w:pPr>
        <w:keepNext w:val="0"/>
        <w:keepLines w:val="0"/>
        <w:pageBreakBefore w:val="0"/>
        <w:widowControl w:val="0"/>
        <w:kinsoku/>
        <w:wordWrap/>
        <w:bidi w:val="0"/>
        <w:snapToGrid w:val="0"/>
        <w:spacing w:line="360" w:lineRule="auto"/>
        <w:ind w:firstLine="540" w:firstLineChars="225"/>
        <w:textAlignment w:val="auto"/>
        <w:outlineLvl w:val="9"/>
        <w:rPr>
          <w:rFonts w:hint="eastAsia"/>
          <w:color w:val="000000"/>
          <w:kern w:val="2"/>
          <w:sz w:val="24"/>
          <w:szCs w:val="24"/>
        </w:rPr>
      </w:pPr>
      <w:r>
        <w:rPr>
          <w:rFonts w:hint="eastAsia"/>
          <w:color w:val="000000"/>
          <w:kern w:val="2"/>
          <w:sz w:val="24"/>
          <w:szCs w:val="24"/>
        </w:rPr>
        <w:t>温馨提示：本项目为电子化、无纸化交易项目，开标时不再接受任何纸质资料，为保证您能投标成功，请需仔细阅读磋商文件和三门峡市公共资源交易中心官网业务办理指南。</w:t>
      </w:r>
    </w:p>
    <w:p w14:paraId="73F2C29B">
      <w:pPr>
        <w:keepNext w:val="0"/>
        <w:keepLines w:val="0"/>
        <w:pageBreakBefore w:val="0"/>
        <w:widowControl w:val="0"/>
        <w:kinsoku/>
        <w:wordWrap/>
        <w:bidi w:val="0"/>
        <w:snapToGrid w:val="0"/>
        <w:spacing w:line="360" w:lineRule="auto"/>
        <w:ind w:firstLine="540" w:firstLineChars="225"/>
        <w:textAlignment w:val="auto"/>
        <w:outlineLvl w:val="9"/>
        <w:rPr>
          <w:rFonts w:hint="eastAsia"/>
          <w:color w:val="000000"/>
          <w:kern w:val="2"/>
          <w:sz w:val="24"/>
          <w:szCs w:val="24"/>
        </w:rPr>
      </w:pPr>
      <w:bookmarkStart w:id="64" w:name="_Toc8510"/>
      <w:bookmarkStart w:id="65" w:name="_Toc26164"/>
      <w:bookmarkStart w:id="66" w:name="_Toc27049"/>
      <w:r>
        <w:rPr>
          <w:rFonts w:hint="eastAsia"/>
          <w:color w:val="000000"/>
          <w:kern w:val="2"/>
          <w:sz w:val="24"/>
          <w:szCs w:val="24"/>
        </w:rPr>
        <w:t>十一、联系方式：</w:t>
      </w:r>
      <w:bookmarkEnd w:id="64"/>
      <w:bookmarkEnd w:id="65"/>
      <w:bookmarkEnd w:id="66"/>
    </w:p>
    <w:p w14:paraId="69BF19B9">
      <w:pPr>
        <w:keepNext w:val="0"/>
        <w:keepLines w:val="0"/>
        <w:pageBreakBefore w:val="0"/>
        <w:widowControl w:val="0"/>
        <w:kinsoku/>
        <w:wordWrap/>
        <w:bidi w:val="0"/>
        <w:snapToGrid w:val="0"/>
        <w:spacing w:line="360" w:lineRule="auto"/>
        <w:ind w:firstLine="540" w:firstLineChars="225"/>
        <w:textAlignment w:val="auto"/>
        <w:outlineLvl w:val="9"/>
        <w:rPr>
          <w:rFonts w:hint="eastAsia"/>
          <w:color w:val="000000"/>
          <w:kern w:val="2"/>
          <w:sz w:val="24"/>
          <w:szCs w:val="24"/>
        </w:rPr>
      </w:pPr>
      <w:r>
        <w:rPr>
          <w:rFonts w:hint="eastAsia"/>
          <w:color w:val="000000"/>
          <w:kern w:val="2"/>
          <w:sz w:val="24"/>
          <w:szCs w:val="24"/>
          <w:lang w:val="en-US" w:eastAsia="zh-CN"/>
        </w:rPr>
        <w:t>监督人</w:t>
      </w:r>
      <w:r>
        <w:rPr>
          <w:rFonts w:hint="eastAsia"/>
          <w:color w:val="000000"/>
          <w:kern w:val="2"/>
          <w:sz w:val="24"/>
          <w:szCs w:val="24"/>
        </w:rPr>
        <w:t>：三门峡市陕州区财政局政府采购监督管理科</w:t>
      </w:r>
    </w:p>
    <w:p w14:paraId="717777F8">
      <w:pPr>
        <w:keepNext w:val="0"/>
        <w:keepLines w:val="0"/>
        <w:pageBreakBefore w:val="0"/>
        <w:widowControl w:val="0"/>
        <w:kinsoku/>
        <w:wordWrap/>
        <w:bidi w:val="0"/>
        <w:snapToGrid w:val="0"/>
        <w:spacing w:line="360" w:lineRule="auto"/>
        <w:ind w:firstLine="540" w:firstLineChars="225"/>
        <w:textAlignment w:val="auto"/>
        <w:rPr>
          <w:rFonts w:hint="eastAsia"/>
          <w:color w:val="000000"/>
          <w:kern w:val="2"/>
          <w:sz w:val="24"/>
          <w:szCs w:val="24"/>
        </w:rPr>
      </w:pPr>
      <w:r>
        <w:rPr>
          <w:rFonts w:hint="eastAsia"/>
          <w:color w:val="000000"/>
          <w:kern w:val="2"/>
          <w:sz w:val="24"/>
          <w:szCs w:val="24"/>
        </w:rPr>
        <w:t>联系方式：0398-3839210</w:t>
      </w:r>
    </w:p>
    <w:p w14:paraId="2B28FB2A">
      <w:pPr>
        <w:keepNext w:val="0"/>
        <w:keepLines w:val="0"/>
        <w:pageBreakBefore w:val="0"/>
        <w:widowControl w:val="0"/>
        <w:kinsoku/>
        <w:wordWrap/>
        <w:bidi w:val="0"/>
        <w:snapToGrid w:val="0"/>
        <w:spacing w:line="360" w:lineRule="auto"/>
        <w:ind w:firstLine="540" w:firstLineChars="225"/>
        <w:textAlignment w:val="auto"/>
        <w:rPr>
          <w:rFonts w:hint="eastAsia" w:eastAsia="宋体"/>
          <w:color w:val="000000"/>
          <w:kern w:val="2"/>
          <w:sz w:val="24"/>
          <w:szCs w:val="24"/>
          <w:lang w:eastAsia="zh-CN"/>
        </w:rPr>
      </w:pPr>
      <w:bookmarkStart w:id="67" w:name="OLE_LINK18"/>
      <w:r>
        <w:rPr>
          <w:rFonts w:hint="eastAsia"/>
          <w:color w:val="000000"/>
          <w:kern w:val="2"/>
          <w:sz w:val="24"/>
          <w:szCs w:val="24"/>
        </w:rPr>
        <w:t>采购人：</w:t>
      </w:r>
      <w:bookmarkStart w:id="68" w:name="OLE_LINK5"/>
      <w:r>
        <w:rPr>
          <w:rFonts w:hint="eastAsia"/>
          <w:color w:val="000000"/>
          <w:kern w:val="2"/>
          <w:sz w:val="24"/>
          <w:szCs w:val="24"/>
          <w:lang w:eastAsia="zh-CN"/>
        </w:rPr>
        <w:t>三门峡市陕州区文化广电和旅游局</w:t>
      </w:r>
      <w:bookmarkEnd w:id="68"/>
    </w:p>
    <w:p w14:paraId="389AB6A2">
      <w:pPr>
        <w:keepNext w:val="0"/>
        <w:keepLines w:val="0"/>
        <w:pageBreakBefore w:val="0"/>
        <w:widowControl w:val="0"/>
        <w:kinsoku/>
        <w:wordWrap/>
        <w:bidi w:val="0"/>
        <w:snapToGrid w:val="0"/>
        <w:spacing w:line="360" w:lineRule="auto"/>
        <w:ind w:firstLine="540" w:firstLineChars="225"/>
        <w:textAlignment w:val="auto"/>
        <w:rPr>
          <w:rFonts w:hint="default" w:eastAsia="宋体"/>
          <w:color w:val="000000"/>
          <w:kern w:val="2"/>
          <w:sz w:val="24"/>
          <w:szCs w:val="24"/>
          <w:lang w:val="en-US" w:eastAsia="zh-CN"/>
        </w:rPr>
      </w:pPr>
      <w:r>
        <w:rPr>
          <w:rFonts w:hint="eastAsia"/>
          <w:color w:val="000000"/>
          <w:kern w:val="2"/>
          <w:sz w:val="24"/>
          <w:szCs w:val="24"/>
        </w:rPr>
        <w:t>地址：三门峡市陕州区陕州大道中段</w:t>
      </w:r>
    </w:p>
    <w:p w14:paraId="56473CE4">
      <w:pPr>
        <w:keepNext w:val="0"/>
        <w:keepLines w:val="0"/>
        <w:pageBreakBefore w:val="0"/>
        <w:widowControl w:val="0"/>
        <w:kinsoku/>
        <w:wordWrap/>
        <w:bidi w:val="0"/>
        <w:snapToGrid w:val="0"/>
        <w:spacing w:line="360" w:lineRule="auto"/>
        <w:ind w:firstLine="540" w:firstLineChars="225"/>
        <w:textAlignment w:val="auto"/>
        <w:rPr>
          <w:rFonts w:hint="eastAsia" w:eastAsia="宋体"/>
          <w:color w:val="000000"/>
          <w:kern w:val="2"/>
          <w:sz w:val="24"/>
          <w:szCs w:val="24"/>
          <w:highlight w:val="none"/>
          <w:lang w:val="en-US" w:eastAsia="zh-CN"/>
        </w:rPr>
      </w:pPr>
      <w:r>
        <w:rPr>
          <w:rFonts w:hint="eastAsia"/>
          <w:color w:val="000000"/>
          <w:kern w:val="2"/>
          <w:sz w:val="24"/>
          <w:szCs w:val="24"/>
          <w:highlight w:val="none"/>
        </w:rPr>
        <w:t>联系人（电话）：</w:t>
      </w:r>
      <w:r>
        <w:rPr>
          <w:rFonts w:hint="eastAsia"/>
          <w:color w:val="000000"/>
          <w:kern w:val="2"/>
          <w:sz w:val="24"/>
          <w:szCs w:val="24"/>
          <w:highlight w:val="none"/>
          <w:lang w:val="en-US" w:eastAsia="zh-CN"/>
        </w:rPr>
        <w:t>刘先生（0398-3836718）</w:t>
      </w:r>
    </w:p>
    <w:bookmarkEnd w:id="67"/>
    <w:p w14:paraId="64BE3968">
      <w:pPr>
        <w:keepNext w:val="0"/>
        <w:keepLines w:val="0"/>
        <w:pageBreakBefore w:val="0"/>
        <w:widowControl w:val="0"/>
        <w:kinsoku/>
        <w:wordWrap/>
        <w:bidi w:val="0"/>
        <w:snapToGrid w:val="0"/>
        <w:spacing w:line="360" w:lineRule="auto"/>
        <w:ind w:firstLine="540" w:firstLineChars="225"/>
        <w:textAlignment w:val="auto"/>
        <w:rPr>
          <w:rFonts w:hint="eastAsia"/>
          <w:color w:val="000000"/>
          <w:kern w:val="2"/>
          <w:sz w:val="24"/>
          <w:szCs w:val="24"/>
        </w:rPr>
      </w:pPr>
      <w:r>
        <w:rPr>
          <w:rFonts w:hint="eastAsia"/>
          <w:color w:val="000000"/>
          <w:kern w:val="2"/>
          <w:sz w:val="24"/>
          <w:szCs w:val="24"/>
        </w:rPr>
        <w:t>采购代理机构：</w:t>
      </w:r>
      <w:bookmarkStart w:id="69" w:name="OLE_LINK8"/>
      <w:r>
        <w:rPr>
          <w:rFonts w:hint="eastAsia"/>
          <w:color w:val="000000"/>
          <w:kern w:val="2"/>
          <w:sz w:val="24"/>
          <w:szCs w:val="24"/>
        </w:rPr>
        <w:t>厚德（河南省）企业管理有限责任公司</w:t>
      </w:r>
      <w:bookmarkEnd w:id="69"/>
    </w:p>
    <w:p w14:paraId="07F6F9FA">
      <w:pPr>
        <w:keepNext w:val="0"/>
        <w:keepLines w:val="0"/>
        <w:pageBreakBefore w:val="0"/>
        <w:widowControl w:val="0"/>
        <w:kinsoku/>
        <w:wordWrap/>
        <w:bidi w:val="0"/>
        <w:snapToGrid w:val="0"/>
        <w:spacing w:line="360" w:lineRule="auto"/>
        <w:ind w:firstLine="540" w:firstLineChars="225"/>
        <w:textAlignment w:val="auto"/>
        <w:rPr>
          <w:rFonts w:hint="eastAsia"/>
          <w:color w:val="000000"/>
          <w:kern w:val="2"/>
          <w:sz w:val="24"/>
          <w:szCs w:val="24"/>
        </w:rPr>
      </w:pPr>
      <w:r>
        <w:rPr>
          <w:rFonts w:hint="eastAsia"/>
          <w:color w:val="000000"/>
          <w:kern w:val="2"/>
          <w:sz w:val="24"/>
          <w:szCs w:val="24"/>
        </w:rPr>
        <w:t>地 址: 河南省三门峡市商务中心区召公西路市民中心2号楼708</w:t>
      </w:r>
    </w:p>
    <w:p w14:paraId="77DF08A9">
      <w:pPr>
        <w:keepNext w:val="0"/>
        <w:keepLines w:val="0"/>
        <w:pageBreakBefore w:val="0"/>
        <w:widowControl w:val="0"/>
        <w:kinsoku/>
        <w:wordWrap/>
        <w:bidi w:val="0"/>
        <w:snapToGrid w:val="0"/>
        <w:spacing w:line="360" w:lineRule="auto"/>
        <w:ind w:firstLine="540" w:firstLineChars="225"/>
        <w:textAlignment w:val="auto"/>
        <w:rPr>
          <w:rFonts w:hint="eastAsia"/>
          <w:color w:val="000000"/>
          <w:kern w:val="2"/>
          <w:sz w:val="24"/>
          <w:szCs w:val="24"/>
        </w:rPr>
      </w:pPr>
      <w:r>
        <w:rPr>
          <w:rFonts w:hint="eastAsia"/>
          <w:color w:val="000000"/>
          <w:kern w:val="2"/>
          <w:sz w:val="24"/>
          <w:szCs w:val="24"/>
        </w:rPr>
        <w:t>联系人（电话）：朱女士（0398-3163892</w:t>
      </w:r>
      <w:r>
        <w:rPr>
          <w:rFonts w:hint="eastAsia"/>
          <w:color w:val="000000"/>
          <w:kern w:val="2"/>
          <w:sz w:val="24"/>
          <w:szCs w:val="24"/>
          <w:lang w:eastAsia="zh-CN"/>
        </w:rPr>
        <w:t>、</w:t>
      </w:r>
      <w:r>
        <w:rPr>
          <w:rFonts w:hint="eastAsia"/>
          <w:color w:val="000000"/>
          <w:kern w:val="2"/>
          <w:sz w:val="24"/>
          <w:szCs w:val="24"/>
          <w:lang w:val="en-US" w:eastAsia="zh-CN"/>
        </w:rPr>
        <w:t>2888588</w:t>
      </w:r>
      <w:r>
        <w:rPr>
          <w:rFonts w:hint="eastAsia"/>
          <w:color w:val="000000"/>
          <w:kern w:val="2"/>
          <w:sz w:val="24"/>
          <w:szCs w:val="24"/>
        </w:rPr>
        <w:t>）</w:t>
      </w:r>
    </w:p>
    <w:p w14:paraId="46FD572F">
      <w:pPr>
        <w:keepNext w:val="0"/>
        <w:keepLines w:val="0"/>
        <w:pageBreakBefore w:val="0"/>
        <w:widowControl w:val="0"/>
        <w:kinsoku/>
        <w:wordWrap/>
        <w:bidi w:val="0"/>
        <w:snapToGrid w:val="0"/>
        <w:spacing w:line="360" w:lineRule="auto"/>
        <w:ind w:firstLine="540" w:firstLineChars="225"/>
        <w:textAlignment w:val="auto"/>
        <w:rPr>
          <w:rFonts w:hint="eastAsia"/>
          <w:sz w:val="24"/>
          <w:szCs w:val="24"/>
        </w:rPr>
      </w:pPr>
      <w:r>
        <w:rPr>
          <w:rFonts w:hint="eastAsia"/>
          <w:color w:val="000000"/>
          <w:kern w:val="2"/>
          <w:sz w:val="24"/>
          <w:szCs w:val="24"/>
        </w:rPr>
        <w:t>电子邮箱:</w:t>
      </w:r>
      <w:r>
        <w:rPr>
          <w:rFonts w:hint="eastAsia" w:ascii="宋体" w:hAnsi="宋体" w:eastAsia="宋体" w:cs="宋体"/>
          <w:sz w:val="24"/>
          <w:szCs w:val="24"/>
          <w:highlight w:val="none"/>
          <w:lang w:eastAsia="zh-CN"/>
        </w:rPr>
        <w:t>HD3163892@163.com</w:t>
      </w:r>
    </w:p>
    <w:p w14:paraId="69257923">
      <w:pPr>
        <w:keepNext w:val="0"/>
        <w:keepLines w:val="0"/>
        <w:pageBreakBefore w:val="0"/>
        <w:widowControl w:val="0"/>
        <w:numPr>
          <w:ilvl w:val="0"/>
          <w:numId w:val="0"/>
        </w:numPr>
        <w:kinsoku/>
        <w:wordWrap/>
        <w:overflowPunct/>
        <w:topLinePunct w:val="0"/>
        <w:autoSpaceDE w:val="0"/>
        <w:autoSpaceDN w:val="0"/>
        <w:bidi w:val="0"/>
        <w:adjustRightInd/>
        <w:snapToGrid w:val="0"/>
        <w:spacing w:before="156" w:beforeLines="50" w:after="156" w:afterLines="50" w:line="360" w:lineRule="auto"/>
        <w:jc w:val="center"/>
        <w:textAlignment w:val="baseline"/>
        <w:outlineLvl w:val="0"/>
        <w:rPr>
          <w:rFonts w:hint="eastAsia" w:ascii="宋体" w:hAnsi="宋体" w:eastAsia="宋体" w:cs="宋体"/>
          <w:b/>
          <w:bCs/>
          <w:sz w:val="48"/>
          <w:szCs w:val="48"/>
          <w:lang w:val="en-US" w:eastAsia="zh-CN"/>
        </w:rPr>
      </w:pPr>
      <w:r>
        <w:rPr>
          <w:rFonts w:hint="eastAsia" w:eastAsia="宋体"/>
        </w:rPr>
        <w:br w:type="page"/>
      </w:r>
      <w:bookmarkStart w:id="70" w:name="_Toc30282"/>
      <w:bookmarkStart w:id="71" w:name="_Toc22165"/>
      <w:bookmarkStart w:id="72" w:name="_Toc621"/>
      <w:bookmarkStart w:id="73" w:name="_Toc3866"/>
      <w:bookmarkStart w:id="74" w:name="_Toc12135"/>
      <w:bookmarkStart w:id="75" w:name="_Toc32243"/>
      <w:bookmarkStart w:id="76" w:name="_Toc29222"/>
      <w:bookmarkStart w:id="77" w:name="_Toc9688"/>
      <w:bookmarkStart w:id="78" w:name="_Toc13010"/>
      <w:bookmarkStart w:id="79" w:name="_Toc16448"/>
      <w:r>
        <w:rPr>
          <w:rFonts w:hint="eastAsia" w:ascii="宋体" w:hAnsi="宋体" w:eastAsia="宋体" w:cs="宋体"/>
          <w:b/>
          <w:bCs/>
          <w:sz w:val="44"/>
          <w:szCs w:val="44"/>
          <w:lang w:val="en-US" w:eastAsia="zh-CN"/>
        </w:rPr>
        <w:t>第二章  响应人须知</w:t>
      </w:r>
      <w:bookmarkEnd w:id="28"/>
      <w:bookmarkEnd w:id="70"/>
      <w:bookmarkEnd w:id="71"/>
      <w:bookmarkEnd w:id="72"/>
      <w:bookmarkEnd w:id="73"/>
      <w:bookmarkEnd w:id="74"/>
      <w:bookmarkEnd w:id="75"/>
      <w:bookmarkEnd w:id="76"/>
      <w:bookmarkEnd w:id="77"/>
      <w:bookmarkEnd w:id="78"/>
      <w:bookmarkEnd w:id="79"/>
    </w:p>
    <w:p w14:paraId="4536D5B4">
      <w:pPr>
        <w:keepNext w:val="0"/>
        <w:keepLines w:val="0"/>
        <w:pageBreakBefore w:val="0"/>
        <w:widowControl w:val="0"/>
        <w:numPr>
          <w:ilvl w:val="0"/>
          <w:numId w:val="0"/>
        </w:numPr>
        <w:kinsoku/>
        <w:wordWrap/>
        <w:overflowPunct/>
        <w:topLinePunct w:val="0"/>
        <w:autoSpaceDE w:val="0"/>
        <w:autoSpaceDN w:val="0"/>
        <w:bidi w:val="0"/>
        <w:adjustRightInd/>
        <w:snapToGrid w:val="0"/>
        <w:spacing w:before="156" w:beforeLines="50" w:after="156" w:afterLines="50" w:line="360" w:lineRule="auto"/>
        <w:jc w:val="center"/>
        <w:textAlignment w:val="baseline"/>
        <w:outlineLvl w:val="9"/>
        <w:rPr>
          <w:rFonts w:hint="eastAsia"/>
          <w:b/>
          <w:color w:val="000000"/>
          <w:sz w:val="24"/>
          <w:szCs w:val="20"/>
        </w:rPr>
      </w:pPr>
      <w:bookmarkStart w:id="80" w:name="_Toc1551"/>
      <w:bookmarkStart w:id="81" w:name="_Toc19627"/>
      <w:bookmarkStart w:id="82" w:name="_Toc21515"/>
      <w:r>
        <w:rPr>
          <w:rFonts w:hint="eastAsia"/>
          <w:b/>
          <w:color w:val="000000"/>
          <w:sz w:val="24"/>
          <w:szCs w:val="20"/>
          <w:lang w:eastAsia="zh-CN"/>
        </w:rPr>
        <w:t>响应人</w:t>
      </w:r>
      <w:r>
        <w:rPr>
          <w:rFonts w:hint="eastAsia"/>
          <w:b/>
          <w:color w:val="000000"/>
          <w:sz w:val="24"/>
          <w:szCs w:val="20"/>
        </w:rPr>
        <w:t>须知前附表</w:t>
      </w:r>
      <w:bookmarkEnd w:id="80"/>
      <w:bookmarkEnd w:id="81"/>
      <w:bookmarkEnd w:id="82"/>
    </w:p>
    <w:p w14:paraId="1B3D5ED4">
      <w:pPr>
        <w:spacing w:line="360" w:lineRule="auto"/>
        <w:ind w:firstLine="480" w:firstLineChars="200"/>
        <w:rPr>
          <w:rFonts w:hint="eastAsia"/>
          <w:color w:val="000000"/>
          <w:sz w:val="24"/>
          <w:szCs w:val="20"/>
        </w:rPr>
      </w:pPr>
      <w:r>
        <w:rPr>
          <w:rFonts w:hint="eastAsia"/>
          <w:color w:val="000000"/>
          <w:sz w:val="24"/>
          <w:szCs w:val="20"/>
        </w:rPr>
        <w:t>本表是对“</w:t>
      </w:r>
      <w:r>
        <w:rPr>
          <w:rFonts w:hint="eastAsia"/>
          <w:color w:val="000000"/>
          <w:sz w:val="24"/>
          <w:szCs w:val="20"/>
          <w:lang w:eastAsia="zh-CN"/>
        </w:rPr>
        <w:t>响应人</w:t>
      </w:r>
      <w:r>
        <w:rPr>
          <w:rFonts w:hint="eastAsia"/>
          <w:color w:val="000000"/>
          <w:sz w:val="24"/>
          <w:szCs w:val="20"/>
        </w:rPr>
        <w:t>须知”的具体补充和修改，如有矛盾，应以本前附表为准。本表中没有涉及到的条款，仍以</w:t>
      </w:r>
      <w:r>
        <w:rPr>
          <w:rFonts w:hint="eastAsia"/>
          <w:color w:val="000000"/>
          <w:sz w:val="24"/>
          <w:szCs w:val="20"/>
          <w:lang w:eastAsia="zh-CN"/>
        </w:rPr>
        <w:t>响应人</w:t>
      </w:r>
      <w:r>
        <w:rPr>
          <w:rFonts w:hint="eastAsia"/>
          <w:color w:val="000000"/>
          <w:sz w:val="24"/>
          <w:szCs w:val="20"/>
        </w:rPr>
        <w:t>须知的相应条款为准。</w:t>
      </w:r>
    </w:p>
    <w:tbl>
      <w:tblPr>
        <w:tblStyle w:val="14"/>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979"/>
        <w:gridCol w:w="1973"/>
        <w:gridCol w:w="6738"/>
      </w:tblGrid>
      <w:tr w14:paraId="679E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tblHeader/>
          <w:jc w:val="center"/>
        </w:trPr>
        <w:tc>
          <w:tcPr>
            <w:tcW w:w="979" w:type="dxa"/>
            <w:noWrap w:val="0"/>
            <w:vAlign w:val="center"/>
          </w:tcPr>
          <w:p w14:paraId="46B63D18">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973" w:type="dxa"/>
            <w:noWrap w:val="0"/>
            <w:vAlign w:val="center"/>
          </w:tcPr>
          <w:p w14:paraId="41E760F4">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条 款 名 称</w:t>
            </w:r>
          </w:p>
        </w:tc>
        <w:tc>
          <w:tcPr>
            <w:tcW w:w="6738" w:type="dxa"/>
            <w:noWrap w:val="0"/>
            <w:vAlign w:val="center"/>
          </w:tcPr>
          <w:p w14:paraId="737E2CB0">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编  列  内  容</w:t>
            </w:r>
          </w:p>
        </w:tc>
      </w:tr>
      <w:tr w14:paraId="1D89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5B68E860">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4BF0FE5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采购人</w:t>
            </w:r>
          </w:p>
        </w:tc>
        <w:tc>
          <w:tcPr>
            <w:tcW w:w="6738" w:type="dxa"/>
            <w:noWrap w:val="0"/>
            <w:vAlign w:val="center"/>
          </w:tcPr>
          <w:p w14:paraId="24F839BB">
            <w:pPr>
              <w:spacing w:line="360" w:lineRule="auto"/>
              <w:rPr>
                <w:rFonts w:hint="eastAsia" w:ascii="宋体" w:hAnsi="宋体" w:eastAsia="宋体" w:cs="宋体"/>
                <w:bCs/>
                <w:color w:val="000000"/>
                <w:sz w:val="24"/>
                <w:szCs w:val="24"/>
                <w:lang w:eastAsia="zh-CN"/>
              </w:rPr>
            </w:pPr>
            <w:r>
              <w:rPr>
                <w:rFonts w:hint="eastAsia" w:eastAsia="宋体" w:cs="宋体"/>
                <w:bCs/>
                <w:color w:val="000000"/>
                <w:sz w:val="24"/>
                <w:szCs w:val="24"/>
                <w:lang w:eastAsia="zh-CN"/>
              </w:rPr>
              <w:t>三门峡市陕州区文化广电和旅游局</w:t>
            </w:r>
          </w:p>
        </w:tc>
      </w:tr>
      <w:tr w14:paraId="0B02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6D19DBB4">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31DA158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w:t>
            </w:r>
          </w:p>
        </w:tc>
        <w:tc>
          <w:tcPr>
            <w:tcW w:w="6738" w:type="dxa"/>
            <w:noWrap w:val="0"/>
            <w:vAlign w:val="center"/>
          </w:tcPr>
          <w:p w14:paraId="309A18A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厚德（河南省）企业管理有限责任公司</w:t>
            </w:r>
          </w:p>
        </w:tc>
      </w:tr>
      <w:tr w14:paraId="68D7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5DB5C756">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3EDC16C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采购项目名称</w:t>
            </w:r>
          </w:p>
        </w:tc>
        <w:tc>
          <w:tcPr>
            <w:tcW w:w="6738" w:type="dxa"/>
            <w:noWrap w:val="0"/>
            <w:vAlign w:val="center"/>
          </w:tcPr>
          <w:p w14:paraId="7456ED5E">
            <w:pPr>
              <w:spacing w:line="360" w:lineRule="auto"/>
              <w:rPr>
                <w:rFonts w:hint="eastAsia" w:ascii="宋体" w:hAnsi="宋体" w:eastAsia="宋体" w:cs="宋体"/>
                <w:color w:val="000000"/>
                <w:sz w:val="24"/>
                <w:szCs w:val="24"/>
                <w:lang w:eastAsia="zh-CN"/>
              </w:rPr>
            </w:pPr>
            <w:r>
              <w:rPr>
                <w:rFonts w:hint="eastAsia" w:cs="宋体"/>
                <w:color w:val="000000"/>
                <w:sz w:val="24"/>
                <w:szCs w:val="24"/>
                <w:lang w:eastAsia="zh-CN"/>
              </w:rPr>
              <w:t>三门峡市陕州区文化广电和旅游局第十四届“陕州地坑院杯”自行车邀请赛暨“体育赋能·文化焕彩”嘉年华项目</w:t>
            </w:r>
          </w:p>
        </w:tc>
      </w:tr>
      <w:tr w14:paraId="1E5A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0E865664">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75C56AC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服务期限</w:t>
            </w:r>
          </w:p>
        </w:tc>
        <w:tc>
          <w:tcPr>
            <w:tcW w:w="6738" w:type="dxa"/>
            <w:noWrap w:val="0"/>
            <w:vAlign w:val="center"/>
          </w:tcPr>
          <w:p w14:paraId="5ED77A72">
            <w:pPr>
              <w:spacing w:line="360" w:lineRule="auto"/>
              <w:rPr>
                <w:rFonts w:hint="default" w:ascii="宋体" w:hAnsi="宋体" w:eastAsia="宋体" w:cs="宋体"/>
                <w:color w:val="000000"/>
                <w:sz w:val="24"/>
                <w:szCs w:val="24"/>
                <w:lang w:val="en-US" w:eastAsia="zh-CN"/>
              </w:rPr>
            </w:pPr>
            <w:r>
              <w:rPr>
                <w:rFonts w:hint="eastAsia" w:eastAsia="宋体" w:cs="宋体"/>
                <w:color w:val="000000"/>
                <w:sz w:val="24"/>
                <w:szCs w:val="24"/>
                <w:highlight w:val="none"/>
                <w:lang w:val="en-US" w:eastAsia="zh-CN"/>
              </w:rPr>
              <w:t>至圆满完成本次承办赛事</w:t>
            </w:r>
          </w:p>
        </w:tc>
      </w:tr>
      <w:tr w14:paraId="6724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19106DF8">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54B02276">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采购</w:t>
            </w:r>
            <w:r>
              <w:rPr>
                <w:rFonts w:hint="eastAsia" w:eastAsia="宋体" w:cs="宋体"/>
                <w:color w:val="000000"/>
                <w:sz w:val="24"/>
                <w:szCs w:val="24"/>
                <w:lang w:val="en-US" w:eastAsia="zh-CN"/>
              </w:rPr>
              <w:t>内容</w:t>
            </w:r>
          </w:p>
        </w:tc>
        <w:tc>
          <w:tcPr>
            <w:tcW w:w="6738" w:type="dxa"/>
            <w:noWrap w:val="0"/>
            <w:vAlign w:val="center"/>
          </w:tcPr>
          <w:p w14:paraId="23EA929D">
            <w:pPr>
              <w:pStyle w:val="4"/>
              <w:spacing w:line="360" w:lineRule="auto"/>
              <w:rPr>
                <w:rFonts w:hint="eastAsia" w:ascii="宋体" w:hAnsi="宋体" w:eastAsia="宋体" w:cs="宋体"/>
                <w:sz w:val="24"/>
                <w:szCs w:val="24"/>
                <w:lang w:val="en-US"/>
              </w:rPr>
            </w:pPr>
            <w:r>
              <w:rPr>
                <w:rFonts w:hint="eastAsia"/>
                <w:color w:val="000000"/>
                <w:sz w:val="24"/>
                <w:szCs w:val="24"/>
                <w:lang w:eastAsia="zh-CN" w:bidi="ar"/>
              </w:rPr>
              <w:t>三门峡市陕州区文化广电和旅游局第十四届“陕州地坑院杯”自行车邀请赛暨“体育赋能·文化焕彩”嘉年华项目</w:t>
            </w:r>
            <w:r>
              <w:rPr>
                <w:rFonts w:hint="eastAsia"/>
                <w:color w:val="000000"/>
                <w:sz w:val="24"/>
                <w:szCs w:val="24"/>
                <w:lang w:bidi="ar"/>
              </w:rPr>
              <w:t>，服务内容主要包括:“第十四届陕州地坑院杯自行车邀请赛暨2025自行车骑游大会”及“黄河谣·陕州印象”自驾游陕州活动等内容，详细服务内容见磋商文件；</w:t>
            </w:r>
          </w:p>
        </w:tc>
      </w:tr>
      <w:tr w14:paraId="3E3C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6AADB606">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06492FF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条件</w:t>
            </w:r>
          </w:p>
        </w:tc>
        <w:tc>
          <w:tcPr>
            <w:tcW w:w="6738" w:type="dxa"/>
            <w:noWrap w:val="0"/>
            <w:vAlign w:val="center"/>
          </w:tcPr>
          <w:p w14:paraId="78A8A980">
            <w:pPr>
              <w:snapToGrid w:val="0"/>
              <w:spacing w:line="360" w:lineRule="auto"/>
              <w:ind w:firstLine="82" w:firstLineChars="34"/>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响应人参加本次政府采购活动必须符合《中华人民共和国政府采购法》第二十二条的规定并同时具备下列条件：</w:t>
            </w:r>
          </w:p>
          <w:p w14:paraId="5D3E2450">
            <w:pPr>
              <w:snapToGrid w:val="0"/>
              <w:spacing w:line="360" w:lineRule="auto"/>
              <w:ind w:firstLine="82" w:firstLineChars="34"/>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1、响应人须具有合法有效的营业执照。</w:t>
            </w:r>
          </w:p>
          <w:p w14:paraId="7550119B">
            <w:pPr>
              <w:snapToGrid w:val="0"/>
              <w:spacing w:line="360" w:lineRule="auto"/>
              <w:ind w:firstLine="82" w:firstLineChars="34"/>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2、响应人须提供本企业无商业贿赂及不正当行为承诺书。</w:t>
            </w:r>
          </w:p>
          <w:p w14:paraId="3CDFC359">
            <w:pPr>
              <w:snapToGrid w:val="0"/>
              <w:spacing w:line="360" w:lineRule="auto"/>
              <w:ind w:firstLine="82" w:firstLineChars="34"/>
              <w:rPr>
                <w:rFonts w:hint="eastAsia" w:ascii="宋体" w:hAnsi="宋体" w:eastAsia="宋体" w:cs="宋体"/>
                <w:color w:val="000000"/>
                <w:kern w:val="2"/>
                <w:sz w:val="24"/>
                <w:szCs w:val="24"/>
              </w:rPr>
            </w:pPr>
            <w:r>
              <w:rPr>
                <w:rFonts w:hint="eastAsia" w:ascii="宋体" w:hAnsi="宋体" w:eastAsia="宋体" w:cs="宋体"/>
                <w:b/>
                <w:bCs/>
                <w:color w:val="000000"/>
                <w:kern w:val="2"/>
                <w:sz w:val="24"/>
                <w:szCs w:val="24"/>
              </w:rPr>
              <w:t>3、根据《关于在政府采购活动中查询及使用信用记录有关问题的通知》(财库[2016]125号)和豫财购【2016】15号的规定，对列入失信被执行人和重大税收违法失信主体、政府采购严重违法失信行为记录名单的供应商，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提供网站的查询结</w:t>
            </w:r>
            <w:r>
              <w:rPr>
                <w:rFonts w:hint="eastAsia" w:ascii="宋体" w:hAnsi="宋体" w:eastAsia="宋体" w:cs="宋体"/>
                <w:color w:val="000000"/>
                <w:kern w:val="2"/>
                <w:sz w:val="24"/>
                <w:szCs w:val="24"/>
              </w:rPr>
              <w:t>果截图。</w:t>
            </w:r>
          </w:p>
          <w:p w14:paraId="0B015FFA">
            <w:pPr>
              <w:snapToGrid w:val="0"/>
              <w:spacing w:line="360" w:lineRule="auto"/>
              <w:ind w:firstLine="82" w:firstLineChars="34"/>
              <w:rPr>
                <w:rFonts w:hint="eastAsia" w:ascii="宋体" w:hAnsi="宋体" w:eastAsia="宋体" w:cs="宋体"/>
                <w:color w:val="000000"/>
                <w:kern w:val="2"/>
                <w:sz w:val="24"/>
                <w:szCs w:val="24"/>
              </w:rPr>
            </w:pPr>
            <w:r>
              <w:rPr>
                <w:rFonts w:hint="eastAsia" w:ascii="宋体" w:hAnsi="宋体" w:eastAsia="宋体" w:cs="宋体"/>
                <w:b/>
                <w:bCs/>
                <w:color w:val="000000"/>
                <w:kern w:val="2"/>
                <w:sz w:val="24"/>
                <w:szCs w:val="24"/>
              </w:rPr>
              <w:t>4、本项目不接受联合体磋商。</w:t>
            </w:r>
          </w:p>
        </w:tc>
      </w:tr>
      <w:tr w14:paraId="43D3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90" w:hRule="atLeast"/>
          <w:jc w:val="center"/>
        </w:trPr>
        <w:tc>
          <w:tcPr>
            <w:tcW w:w="979" w:type="dxa"/>
            <w:noWrap w:val="0"/>
            <w:vAlign w:val="center"/>
          </w:tcPr>
          <w:p w14:paraId="322A769E">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1E916B1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是否接受联合体</w:t>
            </w:r>
          </w:p>
        </w:tc>
        <w:tc>
          <w:tcPr>
            <w:tcW w:w="6738" w:type="dxa"/>
            <w:noWrap w:val="0"/>
            <w:vAlign w:val="center"/>
          </w:tcPr>
          <w:p w14:paraId="70CB620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不接受</w:t>
            </w:r>
          </w:p>
        </w:tc>
      </w:tr>
      <w:tr w14:paraId="0460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65521619">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4545C95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踏勘现场</w:t>
            </w:r>
          </w:p>
        </w:tc>
        <w:tc>
          <w:tcPr>
            <w:tcW w:w="6738" w:type="dxa"/>
            <w:noWrap w:val="0"/>
            <w:vAlign w:val="center"/>
          </w:tcPr>
          <w:p w14:paraId="6B12FC0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不组织</w:t>
            </w:r>
          </w:p>
        </w:tc>
      </w:tr>
      <w:tr w14:paraId="7A99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080FEA9D">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0CCFE34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投标预备会</w:t>
            </w:r>
          </w:p>
        </w:tc>
        <w:tc>
          <w:tcPr>
            <w:tcW w:w="6738" w:type="dxa"/>
            <w:noWrap w:val="0"/>
            <w:vAlign w:val="center"/>
          </w:tcPr>
          <w:p w14:paraId="637CD54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不召开</w:t>
            </w:r>
          </w:p>
        </w:tc>
      </w:tr>
      <w:tr w14:paraId="684D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5B140CB0">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1B5CBBD0">
            <w:pPr>
              <w:jc w:val="left"/>
              <w:rPr>
                <w:rFonts w:hint="eastAsia" w:ascii="宋体" w:hAnsi="宋体" w:eastAsia="宋体" w:cs="宋体"/>
                <w:sz w:val="24"/>
                <w:szCs w:val="24"/>
                <w:lang w:val="zh-CN" w:eastAsia="zh-CN" w:bidi="zh-CN"/>
              </w:rPr>
            </w:pPr>
            <w:r>
              <w:rPr>
                <w:rFonts w:hint="eastAsia" w:ascii="宋体" w:hAnsi="宋体" w:eastAsia="宋体" w:cs="宋体"/>
                <w:sz w:val="24"/>
                <w:szCs w:val="24"/>
                <w:lang w:eastAsia="zh-CN"/>
              </w:rPr>
              <w:t>响应人</w:t>
            </w:r>
            <w:r>
              <w:rPr>
                <w:rFonts w:hint="eastAsia" w:ascii="宋体" w:hAnsi="宋体" w:eastAsia="宋体" w:cs="宋体"/>
                <w:sz w:val="24"/>
                <w:szCs w:val="24"/>
              </w:rPr>
              <w:t>提出问题的截止时间</w:t>
            </w:r>
          </w:p>
        </w:tc>
        <w:tc>
          <w:tcPr>
            <w:tcW w:w="6738" w:type="dxa"/>
            <w:noWrap w:val="0"/>
            <w:vAlign w:val="center"/>
          </w:tcPr>
          <w:p w14:paraId="1303D18B">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响应人应仔细阅读和检查磋商文件的全部内容，若有异议请在文件</w:t>
            </w:r>
            <w:r>
              <w:rPr>
                <w:rFonts w:hint="eastAsia" w:ascii="宋体" w:hAnsi="宋体" w:eastAsia="宋体" w:cs="宋体"/>
                <w:color w:val="000000"/>
                <w:sz w:val="24"/>
                <w:szCs w:val="24"/>
                <w:lang w:val="en-US" w:eastAsia="zh-CN"/>
              </w:rPr>
              <w:t>获取</w:t>
            </w:r>
            <w:r>
              <w:rPr>
                <w:rFonts w:hint="eastAsia" w:ascii="宋体" w:hAnsi="宋体" w:eastAsia="宋体" w:cs="宋体"/>
                <w:color w:val="000000"/>
                <w:sz w:val="24"/>
                <w:szCs w:val="24"/>
              </w:rPr>
              <w:t>截止</w:t>
            </w:r>
            <w:r>
              <w:rPr>
                <w:rFonts w:hint="eastAsia" w:eastAsia="宋体" w:cs="宋体"/>
                <w:color w:val="000000"/>
                <w:sz w:val="24"/>
                <w:szCs w:val="24"/>
                <w:lang w:val="en-US" w:eastAsia="zh-CN"/>
              </w:rPr>
              <w:t>5</w:t>
            </w:r>
            <w:r>
              <w:rPr>
                <w:rFonts w:hint="eastAsia" w:ascii="宋体" w:hAnsi="宋体" w:eastAsia="宋体" w:cs="宋体"/>
                <w:color w:val="000000"/>
                <w:sz w:val="24"/>
                <w:szCs w:val="24"/>
              </w:rPr>
              <w:t>日前向采购代理机构提出书面质疑函（须加盖单位公章且由法定代表人签字，注明联系方式，并附经办被授权人授权书及加盖公章的法定代表人和被授权人身份证复印件）、送达采购代理机构及采购单位（邮寄、传真件不予受理）</w:t>
            </w:r>
            <w:r>
              <w:rPr>
                <w:rFonts w:hint="eastAsia" w:eastAsia="宋体" w:cs="宋体"/>
                <w:color w:val="000000"/>
                <w:sz w:val="24"/>
                <w:szCs w:val="24"/>
                <w:lang w:val="en-US" w:eastAsia="zh-CN"/>
              </w:rPr>
              <w:t>或上传交易系统并告知代理机构</w:t>
            </w:r>
            <w:r>
              <w:rPr>
                <w:rFonts w:hint="eastAsia" w:ascii="宋体" w:hAnsi="宋体" w:eastAsia="宋体" w:cs="宋体"/>
                <w:color w:val="000000"/>
                <w:sz w:val="24"/>
                <w:szCs w:val="24"/>
              </w:rPr>
              <w:t>。依据法规规定，质疑函中应当有明确的请求和必要的证明材料。</w:t>
            </w:r>
          </w:p>
        </w:tc>
      </w:tr>
      <w:tr w14:paraId="0277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388F9931">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0529C34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采购人澄清、答疑的截止时间</w:t>
            </w:r>
          </w:p>
        </w:tc>
        <w:tc>
          <w:tcPr>
            <w:tcW w:w="6738" w:type="dxa"/>
            <w:noWrap w:val="0"/>
            <w:vAlign w:val="center"/>
          </w:tcPr>
          <w:p w14:paraId="1AE1B46A">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采购人将在收到质疑函第二个工作日以书面形式回复</w:t>
            </w:r>
          </w:p>
        </w:tc>
      </w:tr>
      <w:tr w14:paraId="6C15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057BA97C">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5D1CEA9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6738" w:type="dxa"/>
            <w:noWrap w:val="0"/>
            <w:vAlign w:val="center"/>
          </w:tcPr>
          <w:p w14:paraId="107176C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9</w:t>
            </w:r>
            <w:r>
              <w:rPr>
                <w:rFonts w:hint="eastAsia" w:ascii="宋体" w:hAnsi="宋体" w:eastAsia="宋体" w:cs="宋体"/>
                <w:color w:val="000000"/>
                <w:sz w:val="24"/>
                <w:szCs w:val="24"/>
              </w:rPr>
              <w:t>0日历天（投标截止之日起）</w:t>
            </w:r>
          </w:p>
        </w:tc>
      </w:tr>
      <w:tr w14:paraId="2498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0AD58334">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4CDB24C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签字和（或）盖章要求</w:t>
            </w:r>
          </w:p>
        </w:tc>
        <w:tc>
          <w:tcPr>
            <w:tcW w:w="6738" w:type="dxa"/>
            <w:noWrap w:val="0"/>
            <w:vAlign w:val="center"/>
          </w:tcPr>
          <w:p w14:paraId="05CB31F7">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的签章：</w:t>
            </w:r>
          </w:p>
          <w:p w14:paraId="1449D5B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在生成电子化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后，应对电子化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进行签章，未进行签章的视为无效投标。</w:t>
            </w:r>
          </w:p>
          <w:p w14:paraId="00B2621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中要求法定代表人或授权委托人签字或盖章的，</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在进行电子化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签章时，以签盖法定代表人签章为准。</w:t>
            </w:r>
          </w:p>
          <w:p w14:paraId="1DAD3FC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工具请点击：</w:t>
            </w:r>
          </w:p>
          <w:p w14:paraId="71D6882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https://download.bqpoint.com/download/downloaddetail.html?SourceFrom=Ztb&amp;ZtbSoftXiaQuCode=1506&amp;ZtbSoftType=tballinclusive进行下载。</w:t>
            </w:r>
          </w:p>
        </w:tc>
      </w:tr>
      <w:tr w14:paraId="54EC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5DFB2B27">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021872D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响应文件上传的截止时间</w:t>
            </w:r>
          </w:p>
        </w:tc>
        <w:tc>
          <w:tcPr>
            <w:tcW w:w="6738" w:type="dxa"/>
            <w:noWrap w:val="0"/>
            <w:vAlign w:val="center"/>
          </w:tcPr>
          <w:p w14:paraId="515043A9">
            <w:pPr>
              <w:spacing w:line="360" w:lineRule="auto"/>
              <w:rPr>
                <w:rFonts w:hint="eastAsia" w:ascii="宋体" w:hAnsi="宋体" w:eastAsia="宋体" w:cs="宋体"/>
                <w:b/>
                <w:color w:val="000000"/>
                <w:sz w:val="24"/>
                <w:szCs w:val="24"/>
                <w:highlight w:val="none"/>
              </w:rPr>
            </w:pPr>
            <w:r>
              <w:rPr>
                <w:rFonts w:hint="eastAsia" w:cs="宋体"/>
                <w:iCs/>
                <w:color w:val="000000"/>
                <w:sz w:val="24"/>
                <w:szCs w:val="24"/>
                <w:highlight w:val="none"/>
                <w:lang w:eastAsia="zh-CN" w:bidi="ar"/>
              </w:rPr>
              <w:t>2025年5月6日08时30分</w:t>
            </w:r>
          </w:p>
        </w:tc>
      </w:tr>
      <w:tr w14:paraId="5338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7338BA5E">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4C4C9AF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递交响应文件的地点</w:t>
            </w:r>
          </w:p>
        </w:tc>
        <w:tc>
          <w:tcPr>
            <w:tcW w:w="6738" w:type="dxa"/>
            <w:noWrap w:val="0"/>
            <w:vAlign w:val="center"/>
          </w:tcPr>
          <w:p w14:paraId="0275220D">
            <w:pPr>
              <w:spacing w:line="360" w:lineRule="auto"/>
              <w:rPr>
                <w:rFonts w:hint="eastAsia" w:ascii="宋体" w:hAnsi="宋体" w:eastAsia="宋体" w:cs="宋体"/>
                <w:b/>
                <w:color w:val="000000"/>
                <w:sz w:val="24"/>
                <w:szCs w:val="24"/>
                <w:u w:val="single"/>
              </w:rPr>
            </w:pPr>
            <w:r>
              <w:rPr>
                <w:rFonts w:hint="eastAsia" w:ascii="宋体" w:hAnsi="宋体" w:eastAsia="宋体" w:cs="宋体"/>
                <w:color w:val="000000"/>
                <w:sz w:val="24"/>
                <w:szCs w:val="24"/>
              </w:rPr>
              <w:t>于三门峡市公共资源交易平台网上上传递交、并由</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在规定时间远程解密。</w:t>
            </w:r>
          </w:p>
        </w:tc>
      </w:tr>
      <w:tr w14:paraId="10A2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7692084C">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5DD0531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是否退还响应文件</w:t>
            </w:r>
          </w:p>
        </w:tc>
        <w:tc>
          <w:tcPr>
            <w:tcW w:w="6738" w:type="dxa"/>
            <w:noWrap w:val="0"/>
            <w:vAlign w:val="center"/>
          </w:tcPr>
          <w:p w14:paraId="07F34CF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r>
      <w:tr w14:paraId="41D7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3EEBB60D">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0023210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磋商小组人数</w:t>
            </w:r>
          </w:p>
        </w:tc>
        <w:tc>
          <w:tcPr>
            <w:tcW w:w="6738" w:type="dxa"/>
            <w:noWrap w:val="0"/>
            <w:vAlign w:val="center"/>
          </w:tcPr>
          <w:p w14:paraId="3BBCBAE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磋商小组构成：由</w:t>
            </w:r>
            <w:r>
              <w:rPr>
                <w:rFonts w:hint="eastAsia" w:ascii="宋体" w:hAnsi="宋体" w:eastAsia="宋体" w:cs="宋体"/>
                <w:color w:val="000000"/>
                <w:sz w:val="24"/>
                <w:szCs w:val="24"/>
                <w:lang w:val="en-US"/>
              </w:rPr>
              <w:t>采购人代表1人，</w:t>
            </w:r>
            <w:r>
              <w:rPr>
                <w:rFonts w:hint="eastAsia" w:ascii="宋体" w:hAnsi="宋体" w:eastAsia="宋体" w:cs="宋体"/>
                <w:color w:val="000000"/>
                <w:sz w:val="24"/>
                <w:szCs w:val="24"/>
              </w:rPr>
              <w:t>经济、技术评审专家</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rPr>
              <w:t>人，</w:t>
            </w:r>
            <w:r>
              <w:rPr>
                <w:rFonts w:hint="eastAsia" w:ascii="宋体" w:hAnsi="宋体" w:eastAsia="宋体" w:cs="宋体"/>
                <w:color w:val="000000"/>
                <w:sz w:val="24"/>
                <w:szCs w:val="24"/>
                <w:lang w:val="en-US"/>
              </w:rPr>
              <w:t>共3人</w:t>
            </w:r>
            <w:r>
              <w:rPr>
                <w:rFonts w:hint="eastAsia" w:ascii="宋体" w:hAnsi="宋体" w:eastAsia="宋体" w:cs="宋体"/>
                <w:color w:val="000000"/>
                <w:sz w:val="24"/>
                <w:szCs w:val="24"/>
              </w:rPr>
              <w:t>组成。根据省政府关于评标专家的有关管理规定，业主评委不能获取评标劳务费。</w:t>
            </w:r>
          </w:p>
        </w:tc>
      </w:tr>
      <w:tr w14:paraId="6767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2495FF59">
            <w:pPr>
              <w:numPr>
                <w:ilvl w:val="0"/>
                <w:numId w:val="1"/>
              </w:numPr>
              <w:spacing w:line="360" w:lineRule="auto"/>
              <w:jc w:val="center"/>
              <w:rPr>
                <w:rFonts w:hint="eastAsia" w:ascii="宋体" w:hAnsi="宋体" w:eastAsia="宋体" w:cs="宋体"/>
                <w:color w:val="000000"/>
                <w:sz w:val="24"/>
                <w:szCs w:val="24"/>
              </w:rPr>
            </w:pPr>
          </w:p>
        </w:tc>
        <w:tc>
          <w:tcPr>
            <w:tcW w:w="1973" w:type="dxa"/>
            <w:noWrap w:val="0"/>
            <w:vAlign w:val="center"/>
          </w:tcPr>
          <w:p w14:paraId="0EA75A2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是否授权磋商小组确定成交人</w:t>
            </w:r>
          </w:p>
        </w:tc>
        <w:tc>
          <w:tcPr>
            <w:tcW w:w="6738" w:type="dxa"/>
            <w:noWrap w:val="0"/>
            <w:vAlign w:val="center"/>
          </w:tcPr>
          <w:p w14:paraId="30EA9B7A">
            <w:pPr>
              <w:adjustRightInd w:val="0"/>
              <w:snapToGrid w:val="0"/>
              <w:spacing w:before="156" w:beforeLines="50" w:line="360" w:lineRule="auto"/>
              <w:rPr>
                <w:rFonts w:hint="eastAsia" w:ascii="宋体" w:hAnsi="宋体" w:eastAsia="宋体" w:cs="宋体"/>
                <w:color w:val="000000"/>
                <w:sz w:val="24"/>
                <w:szCs w:val="20"/>
              </w:rPr>
            </w:pPr>
            <w:r>
              <w:rPr>
                <w:rFonts w:hint="eastAsia" w:ascii="宋体" w:hAnsi="宋体" w:eastAsia="宋体" w:cs="宋体"/>
                <w:color w:val="000000"/>
                <w:sz w:val="24"/>
                <w:szCs w:val="20"/>
              </w:rPr>
              <w:t>否，磋商小组推荐3名成交候选人。</w:t>
            </w:r>
          </w:p>
        </w:tc>
      </w:tr>
      <w:tr w14:paraId="19B4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7CC9E32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1973" w:type="dxa"/>
            <w:noWrap w:val="0"/>
            <w:vAlign w:val="center"/>
          </w:tcPr>
          <w:p w14:paraId="773363A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采购人预算价</w:t>
            </w:r>
          </w:p>
        </w:tc>
        <w:tc>
          <w:tcPr>
            <w:tcW w:w="6738" w:type="dxa"/>
            <w:noWrap w:val="0"/>
            <w:vAlign w:val="center"/>
          </w:tcPr>
          <w:p w14:paraId="4E42947D">
            <w:pPr>
              <w:spacing w:line="360" w:lineRule="auto"/>
              <w:rPr>
                <w:rFonts w:hint="eastAsia" w:ascii="宋体" w:hAnsi="宋体" w:eastAsia="宋体" w:cs="宋体"/>
                <w:color w:val="000000"/>
                <w:sz w:val="24"/>
                <w:szCs w:val="24"/>
                <w:lang w:val="en-US" w:eastAsia="zh-CN"/>
              </w:rPr>
            </w:pPr>
            <w:r>
              <w:rPr>
                <w:rFonts w:hint="eastAsia" w:cs="宋体"/>
                <w:color w:val="000000"/>
                <w:sz w:val="24"/>
                <w:szCs w:val="24"/>
                <w:highlight w:val="none"/>
                <w:lang w:val="en-US" w:eastAsia="zh-CN"/>
              </w:rPr>
              <w:t>627460.00元</w:t>
            </w:r>
          </w:p>
        </w:tc>
      </w:tr>
      <w:tr w14:paraId="4268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7473296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973" w:type="dxa"/>
            <w:noWrap w:val="0"/>
            <w:vAlign w:val="center"/>
          </w:tcPr>
          <w:p w14:paraId="418306E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付款方式</w:t>
            </w:r>
          </w:p>
        </w:tc>
        <w:tc>
          <w:tcPr>
            <w:tcW w:w="6738" w:type="dxa"/>
            <w:noWrap w:val="0"/>
            <w:vAlign w:val="center"/>
          </w:tcPr>
          <w:p w14:paraId="4F7882D7">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合同签订时，</w:t>
            </w:r>
            <w:r>
              <w:rPr>
                <w:rFonts w:hint="eastAsia" w:ascii="宋体" w:hAnsi="宋体" w:eastAsia="宋体" w:cs="宋体"/>
                <w:color w:val="000000"/>
                <w:sz w:val="24"/>
                <w:szCs w:val="24"/>
              </w:rPr>
              <w:t>双方另行协商</w:t>
            </w:r>
          </w:p>
        </w:tc>
      </w:tr>
      <w:tr w14:paraId="5E51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457316F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1973" w:type="dxa"/>
            <w:noWrap w:val="0"/>
            <w:vAlign w:val="center"/>
          </w:tcPr>
          <w:p w14:paraId="44F9844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履约保证金</w:t>
            </w:r>
          </w:p>
        </w:tc>
        <w:tc>
          <w:tcPr>
            <w:tcW w:w="6738" w:type="dxa"/>
            <w:noWrap w:val="0"/>
            <w:vAlign w:val="center"/>
          </w:tcPr>
          <w:p w14:paraId="63792F6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无</w:t>
            </w:r>
          </w:p>
        </w:tc>
      </w:tr>
      <w:tr w14:paraId="6BD3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615544C5">
            <w:pPr>
              <w:spacing w:line="360" w:lineRule="auto"/>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22</w:t>
            </w:r>
          </w:p>
        </w:tc>
        <w:tc>
          <w:tcPr>
            <w:tcW w:w="1973" w:type="dxa"/>
            <w:noWrap w:val="0"/>
            <w:vAlign w:val="center"/>
          </w:tcPr>
          <w:p w14:paraId="70439757">
            <w:pPr>
              <w:spacing w:line="360" w:lineRule="auto"/>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合同签订特别说明</w:t>
            </w:r>
          </w:p>
        </w:tc>
        <w:tc>
          <w:tcPr>
            <w:tcW w:w="6738" w:type="dxa"/>
            <w:noWrap w:val="0"/>
            <w:vAlign w:val="center"/>
          </w:tcPr>
          <w:p w14:paraId="60574173">
            <w:pPr>
              <w:spacing w:line="360" w:lineRule="auto"/>
              <w:rPr>
                <w:rFonts w:hint="eastAsia" w:ascii="宋体" w:hAnsi="宋体" w:eastAsia="宋体" w:cs="宋体"/>
                <w:color w:val="000000"/>
                <w:sz w:val="24"/>
                <w:szCs w:val="24"/>
                <w:lang w:val="en-US"/>
              </w:rPr>
            </w:pPr>
            <w:r>
              <w:rPr>
                <w:rFonts w:hint="eastAsia" w:ascii="宋体" w:hAnsi="宋体" w:eastAsia="宋体" w:cs="宋体"/>
                <w:color w:val="000000"/>
                <w:sz w:val="24"/>
                <w:szCs w:val="24"/>
              </w:rPr>
              <w:t>按《三门峡市财政局关于市本级政府采购合同备案管理工作的通知》（三财购[2021]9号）文要求，集中采购目录以外政府采购项目，原则上自</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通知书发出之日起2个工作日内与</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w:t>
            </w:r>
            <w:r>
              <w:rPr>
                <w:rFonts w:hint="eastAsia" w:eastAsia="宋体" w:cs="宋体"/>
                <w:color w:val="000000"/>
                <w:sz w:val="24"/>
                <w:szCs w:val="24"/>
                <w:lang w:val="en-US" w:eastAsia="zh-CN"/>
              </w:rPr>
              <w:t>中标</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按照采购文件确定的事项与</w:t>
            </w:r>
            <w:r>
              <w:rPr>
                <w:rFonts w:hint="eastAsia" w:eastAsia="宋体" w:cs="宋体"/>
                <w:color w:val="000000"/>
                <w:sz w:val="24"/>
                <w:szCs w:val="24"/>
                <w:lang w:val="en-US" w:eastAsia="zh-CN"/>
              </w:rPr>
              <w:t>采购</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签订政府采购合同。</w:t>
            </w:r>
          </w:p>
        </w:tc>
      </w:tr>
      <w:tr w14:paraId="59DB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64C701B4">
            <w:pPr>
              <w:spacing w:line="360" w:lineRule="auto"/>
              <w:jc w:val="center"/>
              <w:rPr>
                <w:rFonts w:hint="default" w:ascii="宋体" w:hAnsi="宋体" w:eastAsia="宋体" w:cs="宋体"/>
                <w:color w:val="000000"/>
                <w:sz w:val="24"/>
                <w:szCs w:val="24"/>
                <w:lang w:val="en-US" w:eastAsia="zh-CN"/>
              </w:rPr>
            </w:pPr>
            <w:r>
              <w:rPr>
                <w:rFonts w:hint="eastAsia" w:eastAsia="宋体" w:cs="宋体"/>
                <w:color w:val="000000"/>
                <w:sz w:val="24"/>
                <w:szCs w:val="24"/>
                <w:lang w:val="en-US" w:eastAsia="zh-CN"/>
              </w:rPr>
              <w:t>23</w:t>
            </w:r>
          </w:p>
        </w:tc>
        <w:tc>
          <w:tcPr>
            <w:tcW w:w="1973" w:type="dxa"/>
            <w:noWrap w:val="0"/>
            <w:vAlign w:val="center"/>
          </w:tcPr>
          <w:p w14:paraId="0FACD22A">
            <w:pPr>
              <w:spacing w:line="360" w:lineRule="auto"/>
              <w:jc w:val="center"/>
              <w:rPr>
                <w:rFonts w:hint="eastAsia" w:ascii="宋体" w:hAnsi="宋体" w:eastAsia="宋体" w:cs="宋体"/>
                <w:color w:val="000000"/>
                <w:sz w:val="24"/>
                <w:szCs w:val="24"/>
                <w:lang w:val="en-US" w:eastAsia="zh-CN"/>
              </w:rPr>
            </w:pPr>
            <w:r>
              <w:rPr>
                <w:rFonts w:hint="eastAsia" w:eastAsia="宋体" w:cs="宋体"/>
                <w:color w:val="000000"/>
                <w:sz w:val="24"/>
                <w:szCs w:val="24"/>
                <w:lang w:val="en-US" w:eastAsia="zh-CN"/>
              </w:rPr>
              <w:t>所属行业</w:t>
            </w:r>
          </w:p>
        </w:tc>
        <w:tc>
          <w:tcPr>
            <w:tcW w:w="6738" w:type="dxa"/>
            <w:noWrap w:val="0"/>
            <w:vAlign w:val="center"/>
          </w:tcPr>
          <w:p w14:paraId="50ECCA73">
            <w:pPr>
              <w:spacing w:line="360" w:lineRule="auto"/>
              <w:rPr>
                <w:rFonts w:hint="default" w:ascii="宋体" w:hAnsi="宋体" w:eastAsia="宋体" w:cs="宋体"/>
                <w:b/>
                <w:color w:val="000000"/>
                <w:sz w:val="24"/>
                <w:szCs w:val="24"/>
                <w:lang w:val="en-US"/>
              </w:rPr>
            </w:pPr>
            <w:r>
              <w:rPr>
                <w:rFonts w:hint="default" w:ascii="宋体" w:hAnsi="宋体" w:eastAsia="宋体" w:cs="宋体"/>
                <w:b w:val="0"/>
                <w:bCs/>
                <w:color w:val="000000"/>
                <w:sz w:val="24"/>
                <w:szCs w:val="24"/>
                <w:lang w:val="en-US"/>
              </w:rPr>
              <w:t>其他未列明行业</w:t>
            </w:r>
          </w:p>
        </w:tc>
      </w:tr>
      <w:tr w14:paraId="1D42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63B3AFE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eastAsia="宋体" w:cs="宋体"/>
                <w:color w:val="000000"/>
                <w:sz w:val="24"/>
                <w:szCs w:val="24"/>
                <w:lang w:val="en-US" w:eastAsia="zh-CN"/>
              </w:rPr>
              <w:t>4</w:t>
            </w:r>
          </w:p>
        </w:tc>
        <w:tc>
          <w:tcPr>
            <w:tcW w:w="1973" w:type="dxa"/>
            <w:noWrap w:val="0"/>
            <w:vAlign w:val="center"/>
          </w:tcPr>
          <w:p w14:paraId="670EA024">
            <w:pPr>
              <w:spacing w:line="360" w:lineRule="auto"/>
              <w:jc w:val="center"/>
              <w:rPr>
                <w:rFonts w:hint="eastAsia" w:ascii="宋体" w:hAnsi="宋体" w:eastAsia="宋体" w:cs="宋体"/>
                <w:color w:val="000000"/>
                <w:sz w:val="24"/>
                <w:szCs w:val="24"/>
                <w:lang w:val="en-US" w:eastAsia="zh-CN"/>
              </w:rPr>
            </w:pPr>
            <w:r>
              <w:rPr>
                <w:rFonts w:hint="eastAsia" w:eastAsia="宋体" w:cs="宋体"/>
                <w:color w:val="000000"/>
                <w:sz w:val="24"/>
                <w:szCs w:val="24"/>
                <w:lang w:val="en-US" w:eastAsia="zh-CN"/>
              </w:rPr>
              <w:t>代理服务费</w:t>
            </w:r>
          </w:p>
        </w:tc>
        <w:tc>
          <w:tcPr>
            <w:tcW w:w="6738" w:type="dxa"/>
            <w:noWrap w:val="0"/>
            <w:vAlign w:val="center"/>
          </w:tcPr>
          <w:p w14:paraId="2F1FABFF">
            <w:pPr>
              <w:spacing w:line="360" w:lineRule="auto"/>
              <w:rPr>
                <w:rFonts w:hint="eastAsia" w:ascii="宋体" w:hAnsi="宋体" w:eastAsia="宋体" w:cs="宋体"/>
                <w:b/>
                <w:color w:val="000000"/>
                <w:sz w:val="24"/>
                <w:szCs w:val="24"/>
              </w:rPr>
            </w:pPr>
            <w:r>
              <w:rPr>
                <w:rFonts w:hint="eastAsia" w:ascii="宋体" w:hAnsi="宋体" w:eastAsia="宋体" w:cs="宋体"/>
                <w:b w:val="0"/>
                <w:bCs/>
                <w:color w:val="000000"/>
                <w:sz w:val="24"/>
                <w:szCs w:val="24"/>
              </w:rPr>
              <w:t>代理服务费</w:t>
            </w:r>
            <w:r>
              <w:rPr>
                <w:rFonts w:hint="eastAsia" w:eastAsia="宋体" w:cs="宋体"/>
                <w:b w:val="0"/>
                <w:bCs/>
                <w:color w:val="000000"/>
                <w:sz w:val="24"/>
                <w:szCs w:val="24"/>
                <w:lang w:val="en-US" w:eastAsia="zh-CN"/>
              </w:rPr>
              <w:t>按</w:t>
            </w:r>
            <w:r>
              <w:rPr>
                <w:rFonts w:hint="eastAsia" w:ascii="宋体" w:hAnsi="宋体" w:eastAsia="宋体" w:cs="宋体"/>
                <w:b w:val="0"/>
                <w:bCs/>
                <w:color w:val="000000"/>
                <w:sz w:val="24"/>
                <w:szCs w:val="24"/>
              </w:rPr>
              <w:t>照《河南省招标代理服务收费指导意见》（豫招协【2023】002号）计取，由</w:t>
            </w:r>
            <w:r>
              <w:rPr>
                <w:rFonts w:hint="eastAsia" w:eastAsia="宋体" w:cs="宋体"/>
                <w:b w:val="0"/>
                <w:bCs/>
                <w:color w:val="000000"/>
                <w:sz w:val="24"/>
                <w:szCs w:val="24"/>
                <w:lang w:val="en-US" w:eastAsia="zh-CN"/>
              </w:rPr>
              <w:t>成交</w:t>
            </w:r>
            <w:r>
              <w:rPr>
                <w:rFonts w:hint="eastAsia" w:ascii="宋体" w:hAnsi="宋体" w:eastAsia="宋体" w:cs="宋体"/>
                <w:b w:val="0"/>
                <w:bCs/>
                <w:color w:val="000000"/>
                <w:sz w:val="24"/>
                <w:szCs w:val="24"/>
              </w:rPr>
              <w:t>人支付。</w:t>
            </w:r>
          </w:p>
        </w:tc>
      </w:tr>
      <w:tr w14:paraId="6822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54" w:hRule="atLeast"/>
          <w:jc w:val="center"/>
        </w:trPr>
        <w:tc>
          <w:tcPr>
            <w:tcW w:w="979" w:type="dxa"/>
            <w:noWrap w:val="0"/>
            <w:vAlign w:val="center"/>
          </w:tcPr>
          <w:p w14:paraId="49D23958">
            <w:pPr>
              <w:spacing w:line="360" w:lineRule="auto"/>
              <w:jc w:val="center"/>
              <w:rPr>
                <w:rFonts w:hint="default" w:ascii="宋体" w:hAnsi="宋体" w:eastAsia="宋体" w:cs="宋体"/>
                <w:color w:val="000000"/>
                <w:sz w:val="24"/>
                <w:szCs w:val="24"/>
                <w:lang w:val="en-US" w:eastAsia="zh-CN"/>
              </w:rPr>
            </w:pPr>
            <w:r>
              <w:rPr>
                <w:rFonts w:hint="eastAsia" w:eastAsia="宋体" w:cs="宋体"/>
                <w:color w:val="000000"/>
                <w:sz w:val="24"/>
                <w:szCs w:val="24"/>
                <w:lang w:val="en-US" w:eastAsia="zh-CN"/>
              </w:rPr>
              <w:t>25</w:t>
            </w:r>
          </w:p>
        </w:tc>
        <w:tc>
          <w:tcPr>
            <w:tcW w:w="1973" w:type="dxa"/>
            <w:noWrap w:val="0"/>
            <w:vAlign w:val="center"/>
          </w:tcPr>
          <w:p w14:paraId="03AEE42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电子化投标</w:t>
            </w:r>
          </w:p>
          <w:p w14:paraId="3C1E3E0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注意事项</w:t>
            </w:r>
          </w:p>
        </w:tc>
        <w:tc>
          <w:tcPr>
            <w:tcW w:w="6738" w:type="dxa"/>
            <w:noWrap w:val="0"/>
            <w:vAlign w:val="center"/>
          </w:tcPr>
          <w:p w14:paraId="1C74E0BF">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电子化交易注意事项</w:t>
            </w:r>
          </w:p>
          <w:p w14:paraId="6D4D2245">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具体要求：本项目为电子化、无纸化交易项目，</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是</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（以下简称“</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”）通过中心</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制作系统制作，并经过签章和加密后生成的电子版</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p>
          <w:p w14:paraId="527697CE">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具体制作文件请点击 https://download.bqpoint.com/download/downloaddetail.html?SourceFrom=Ztb&amp;ZtbSoftXiaQuCode=1506&amp;ZtbSoftType=tballinclusive进行下载。</w:t>
            </w:r>
          </w:p>
          <w:p w14:paraId="4C56F86D">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温馨提示：本项目为电子化、无纸化交易项目，为保证您能投标成功，请需仔细阅读以下条款。</w:t>
            </w:r>
          </w:p>
          <w:p w14:paraId="40A8D9DB">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电子化投标</w:t>
            </w:r>
          </w:p>
          <w:p w14:paraId="453ACE2A">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（一）电子化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的签章</w:t>
            </w:r>
          </w:p>
          <w:p w14:paraId="06D0B415">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在生成电子化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后，应对电子化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进行签章，未进行签章的视为无效投标。</w:t>
            </w:r>
          </w:p>
          <w:p w14:paraId="3F962C28">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中要求法定代表人或授权委托人签字或盖章的，</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在进行电子化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签章时，以签盖法定代表人签章为准。</w:t>
            </w:r>
          </w:p>
          <w:p w14:paraId="5DFD2BDB">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（二）电子化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的格式及上传投标</w:t>
            </w:r>
          </w:p>
          <w:p w14:paraId="2E4A32E7">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所上传的电子化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，应是通过中心</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制作系统制作的（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制作工具下载地址：https://download.bqpoint.com/download/downloaddetail.html?SourceFrom=Ztb&amp;ZtbSoftXiaQuCode=1506&amp;ZtbSoftType=tballinclusive），经过签章和加密后生成的电子版</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其中包含用于</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上传的主文件（后缀为.smxtf）和用于应急补救的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备份文件（后缀为.nsmxtf）。备份文件主要用于电子化开标出现技术问题后的补救，请</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随身携带。</w:t>
            </w:r>
          </w:p>
          <w:p w14:paraId="181AABD1">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注：</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投报多个标段的，需要每个标段单独制作电子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p>
          <w:p w14:paraId="7BD82775">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2、电子化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应在投标截止时间前成功上传至三门峡市公共资源电子化交易系统。至投标截止时间止，仍未上传成功的电子化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将不予接收。</w:t>
            </w:r>
          </w:p>
          <w:p w14:paraId="5EE84602">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注：如按照电子化投标操作教材制作完成的电子化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无法上传的，</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应在投标截止时间前尽早的联系中心技术人员，以便有充分的时间进行处理。</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应充分考虑到处理技术问题和上传数据等工作所需的时间问题，</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未在投标截止时间前成功上传的，其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不予接收。</w:t>
            </w:r>
          </w:p>
          <w:p w14:paraId="11E3FBEE">
            <w:pPr>
              <w:autoSpaceDE/>
              <w:autoSpaceDN/>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技术联系电话:400-998-0000</w:t>
            </w:r>
          </w:p>
          <w:p w14:paraId="4580A63C">
            <w:pPr>
              <w:autoSpaceDE/>
              <w:autoSpaceDN/>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主体库咨询电话:0398-3117815</w:t>
            </w:r>
          </w:p>
          <w:p w14:paraId="629E9500">
            <w:pPr>
              <w:autoSpaceDE/>
              <w:autoSpaceDN/>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CA证书制发:0398-2181635</w:t>
            </w:r>
          </w:p>
          <w:p w14:paraId="0B4CC201">
            <w:pPr>
              <w:autoSpaceDE/>
              <w:autoSpaceDN/>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科技信息科:0398-3117095</w:t>
            </w:r>
          </w:p>
          <w:p w14:paraId="016B0340">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（三）电子化项目开标、解密、唱标、评标</w:t>
            </w:r>
          </w:p>
          <w:p w14:paraId="286E8715">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1、本项目采用电子化、无纸化进行招标，开标当日，</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无需到开标现场参加开标会议，</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应当在投标截止时间前，登陆不见面开标大厅选择登陆三门峡市公共资源电子招投标系统进行登陆（网址为 http://120.194.249.36:10094/BidOpening/bidopeninghallaction/hall/login）,在线准时参加开标活动并进行</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解密等</w:t>
            </w:r>
          </w:p>
          <w:p w14:paraId="01ED3F18">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2、电子化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采用一次加密方式。开标时，由</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使用CA 证书，在规定时间内对其电子化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进行解密。每位</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的解密时间为开标时间起30分钟内，如在规定时间内未完成解密的，其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不予开标、唱标。</w:t>
            </w:r>
          </w:p>
          <w:p w14:paraId="43A17106">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3、电子化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解密异常的处理</w:t>
            </w:r>
          </w:p>
          <w:p w14:paraId="065A86E7">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如出现</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的电子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无法解密等异常情况，</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应及时致电中介服务机构说明。</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异常，按以下步骤进行处理：</w:t>
            </w:r>
          </w:p>
          <w:p w14:paraId="33EFD561">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首先由技术人员进行问题排查。</w:t>
            </w:r>
          </w:p>
          <w:p w14:paraId="396962AB">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经技术人员排查后，是</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文件自身问题导致</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无法解密的，该</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将不予接收、解密和唱标。开标会议继续进行。</w:t>
            </w:r>
          </w:p>
          <w:p w14:paraId="3FA9A94E">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经技术人员排查后，如果是电子化交易系统问题造成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无法解密的，将由技术人员对问题进行处理。如短时间内问题无法解决的，将由中介服务机构向监督部门申请经监督部门同意后，暂停开标会议，待问题解决后继续开标。</w:t>
            </w:r>
          </w:p>
          <w:p w14:paraId="45547F19">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4、待所有</w:t>
            </w:r>
            <w:r>
              <w:rPr>
                <w:rFonts w:hint="eastAsia" w:ascii="宋体" w:hAnsi="宋体" w:eastAsia="宋体" w:cs="宋体"/>
                <w:color w:val="000000"/>
                <w:sz w:val="24"/>
                <w:szCs w:val="24"/>
                <w:lang w:eastAsia="zh-CN"/>
              </w:rPr>
              <w:t>响应人响应文件</w:t>
            </w:r>
            <w:r>
              <w:rPr>
                <w:rFonts w:hint="eastAsia" w:ascii="宋体" w:hAnsi="宋体" w:eastAsia="宋体" w:cs="宋体"/>
                <w:color w:val="000000"/>
                <w:sz w:val="24"/>
                <w:szCs w:val="24"/>
              </w:rPr>
              <w:t>解密完成后，由中介服务机构操作，对所有已解密</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进行唱标。</w:t>
            </w:r>
          </w:p>
          <w:p w14:paraId="1931A434">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应保证在开标期间电话、电脑、网络能够正常工作，</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因停电、电脑病毒网络堵塞等原因，未在规定的解密时间内对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进行解密的，其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不予接收、唱标。</w:t>
            </w:r>
          </w:p>
          <w:p w14:paraId="532DD8FF">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5、开标时</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可登录到交易系统中在开标解密栏中点击报价一览表查看自己的投标报价。如对自己的唱标内容有异议的，应在</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解密成功后10分钟内向中介服务机构电话质疑。中介服务机构应在监督人员的监督下进行免提通话接受</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的质疑并做好书面记录。</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未在规定时间内提出质疑的，视为认可唱标内容。</w:t>
            </w:r>
          </w:p>
          <w:p w14:paraId="31F181C8">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6、评标时，</w:t>
            </w:r>
            <w:r>
              <w:rPr>
                <w:rFonts w:hint="eastAsia" w:eastAsia="宋体" w:cs="宋体"/>
                <w:color w:val="000000"/>
                <w:sz w:val="24"/>
                <w:szCs w:val="24"/>
                <w:lang w:eastAsia="zh-CN"/>
              </w:rPr>
              <w:t>磋商小组</w:t>
            </w:r>
            <w:r>
              <w:rPr>
                <w:rFonts w:hint="eastAsia" w:ascii="宋体" w:hAnsi="宋体" w:eastAsia="宋体" w:cs="宋体"/>
                <w:color w:val="000000"/>
                <w:sz w:val="24"/>
                <w:szCs w:val="24"/>
              </w:rPr>
              <w:t>对电子化</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有质疑的，将通过电子化交易系统对</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发起质疑，并在监督人员的监督下，用免提模式致电需要答复的</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对质疑进行回复。</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的回复文件必须以经过</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和其法定代表人签章的PDF格式文件为准，并通过电子化交易系统提交至</w:t>
            </w:r>
            <w:r>
              <w:rPr>
                <w:rFonts w:hint="eastAsia" w:eastAsia="宋体" w:cs="宋体"/>
                <w:color w:val="000000"/>
                <w:sz w:val="24"/>
                <w:szCs w:val="24"/>
                <w:lang w:eastAsia="zh-CN"/>
              </w:rPr>
              <w:t>磋商小组</w:t>
            </w:r>
            <w:r>
              <w:rPr>
                <w:rFonts w:hint="eastAsia" w:ascii="宋体" w:hAnsi="宋体" w:eastAsia="宋体" w:cs="宋体"/>
                <w:color w:val="000000"/>
                <w:sz w:val="24"/>
                <w:szCs w:val="24"/>
              </w:rPr>
              <w:t>。</w:t>
            </w:r>
          </w:p>
          <w:p w14:paraId="17CA5BB9">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7、如</w:t>
            </w:r>
            <w:r>
              <w:rPr>
                <w:rFonts w:hint="eastAsia" w:eastAsia="宋体" w:cs="宋体"/>
                <w:color w:val="000000"/>
                <w:sz w:val="24"/>
                <w:szCs w:val="24"/>
                <w:lang w:eastAsia="zh-CN"/>
              </w:rPr>
              <w:t>磋商小组</w:t>
            </w:r>
            <w:r>
              <w:rPr>
                <w:rFonts w:hint="eastAsia" w:ascii="宋体" w:hAnsi="宋体" w:eastAsia="宋体" w:cs="宋体"/>
                <w:color w:val="000000"/>
                <w:sz w:val="24"/>
                <w:szCs w:val="24"/>
              </w:rPr>
              <w:t>对需要回复的</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连续三次致电未接通的，视为</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放弃回复，</w:t>
            </w:r>
            <w:r>
              <w:rPr>
                <w:rFonts w:hint="eastAsia" w:eastAsia="宋体" w:cs="宋体"/>
                <w:color w:val="000000"/>
                <w:sz w:val="24"/>
                <w:szCs w:val="24"/>
                <w:lang w:eastAsia="zh-CN"/>
              </w:rPr>
              <w:t>磋商小组</w:t>
            </w:r>
            <w:r>
              <w:rPr>
                <w:rFonts w:hint="eastAsia" w:ascii="宋体" w:hAnsi="宋体" w:eastAsia="宋体" w:cs="宋体"/>
                <w:color w:val="000000"/>
                <w:sz w:val="24"/>
                <w:szCs w:val="24"/>
              </w:rPr>
              <w:t>将自行对需要回复的内容进行认定。</w:t>
            </w:r>
          </w:p>
          <w:p w14:paraId="79D3CE80">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二、相关证书原件的提交</w:t>
            </w:r>
          </w:p>
          <w:p w14:paraId="55E46641">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本项目实行资格后审，</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中要求</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提交相关资料原件的，根据优化营商环境的要求，评标时以</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为准：</w:t>
            </w:r>
          </w:p>
          <w:p w14:paraId="5FE7646C">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1、资格评（预）审部分：资格评（预）以</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为准，其上传资料真实性由</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自行承担，同时，</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要完善主体库。</w:t>
            </w:r>
          </w:p>
          <w:p w14:paraId="099BD632">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2、评标打分部分：评标打分部分仍按照100分制原则进行，涉及到资格审查、企业荣誉、人员业绩、企业业绩等计分部分时，以</w:t>
            </w:r>
            <w:r>
              <w:rPr>
                <w:rFonts w:hint="eastAsia" w:ascii="宋体" w:hAnsi="宋体" w:eastAsia="宋体" w:cs="宋体"/>
                <w:color w:val="000000"/>
                <w:sz w:val="24"/>
                <w:szCs w:val="24"/>
                <w:lang w:eastAsia="zh-CN"/>
              </w:rPr>
              <w:t>响应单位</w:t>
            </w:r>
            <w:r>
              <w:rPr>
                <w:rFonts w:hint="eastAsia" w:ascii="宋体" w:hAnsi="宋体" w:eastAsia="宋体" w:cs="宋体"/>
                <w:color w:val="000000"/>
                <w:sz w:val="24"/>
                <w:szCs w:val="24"/>
              </w:rPr>
              <w:t>自行上传到</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中的相应内容为准。</w:t>
            </w:r>
          </w:p>
          <w:p w14:paraId="11A398B3">
            <w:pPr>
              <w:autoSpaceDE/>
              <w:autoSpaceDN/>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编制部分：在</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中要求</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按照</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格式进行</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编制，在</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编制时，应明确将</w:t>
            </w:r>
            <w:r>
              <w:rPr>
                <w:rFonts w:hint="eastAsia" w:ascii="宋体" w:hAnsi="宋体" w:eastAsia="宋体" w:cs="宋体"/>
                <w:color w:val="000000"/>
                <w:sz w:val="24"/>
                <w:szCs w:val="24"/>
                <w:lang w:eastAsia="zh-CN"/>
              </w:rPr>
              <w:t>响应单位</w:t>
            </w:r>
            <w:r>
              <w:rPr>
                <w:rFonts w:hint="eastAsia" w:ascii="宋体" w:hAnsi="宋体" w:eastAsia="宋体" w:cs="宋体"/>
                <w:color w:val="000000"/>
                <w:sz w:val="24"/>
                <w:szCs w:val="24"/>
              </w:rPr>
              <w:t>企业基本情况、资质情况、人员情况、财务情况、业绩情况编入</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，便于进行资格审查及评标打分。</w:t>
            </w:r>
          </w:p>
          <w:p w14:paraId="6C0DCD3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4、</w:t>
            </w:r>
            <w:r>
              <w:rPr>
                <w:rFonts w:hint="eastAsia" w:ascii="宋体" w:hAnsi="宋体" w:eastAsia="宋体" w:cs="宋体"/>
                <w:color w:val="000000"/>
                <w:sz w:val="24"/>
                <w:szCs w:val="24"/>
              </w:rPr>
              <w:t>本项目可使用电子营业执照。</w:t>
            </w:r>
          </w:p>
          <w:p w14:paraId="5A3F0CA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5、</w:t>
            </w:r>
            <w:r>
              <w:rPr>
                <w:rFonts w:hint="eastAsia" w:ascii="宋体" w:hAnsi="宋体" w:eastAsia="宋体" w:cs="宋体"/>
                <w:color w:val="000000"/>
                <w:sz w:val="24"/>
                <w:szCs w:val="24"/>
              </w:rPr>
              <w:t>我单位（采购人）严格按三财购【2021】9号文要求的时限发布</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结果公告，发出</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通知书，签订采购合同，上传采购合同。</w:t>
            </w:r>
          </w:p>
          <w:p w14:paraId="6D97EA8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6、</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应仔细阅读操作手册，在本公告中要求的截止时间前完成磋商文件下载等工作。因</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操作不当等问题造成的无法下载磋商文件、无法磋商等一切后果，由</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自行承担。</w:t>
            </w:r>
          </w:p>
          <w:p w14:paraId="425392D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7、</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递交的响应文件不论</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与否均不予退还。</w:t>
            </w:r>
          </w:p>
          <w:p w14:paraId="5378621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8、</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应仔细阅读操作手册，在本公告中要求的截止时间前完成竞争性磋商文件下载等工作。因</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操作不当造成无法下载竞争性磋商文件、无法磋商等一切后果，由</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自行承担。</w:t>
            </w:r>
          </w:p>
          <w:p w14:paraId="7BD711C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9、</w:t>
            </w:r>
            <w:r>
              <w:rPr>
                <w:rFonts w:hint="eastAsia" w:ascii="宋体" w:hAnsi="宋体" w:eastAsia="宋体" w:cs="宋体"/>
                <w:color w:val="000000"/>
                <w:sz w:val="24"/>
                <w:szCs w:val="24"/>
              </w:rPr>
              <w:t>磋商所发生一切费用由各</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自行承担，并承担相应的风险和责任。</w:t>
            </w:r>
          </w:p>
          <w:p w14:paraId="1B839DE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10、</w:t>
            </w:r>
            <w:r>
              <w:rPr>
                <w:rFonts w:hint="eastAsia" w:ascii="宋体" w:hAnsi="宋体" w:eastAsia="宋体" w:cs="宋体"/>
                <w:color w:val="000000"/>
                <w:sz w:val="24"/>
                <w:szCs w:val="24"/>
                <w:lang w:eastAsia="zh-CN"/>
              </w:rPr>
              <w:t>响应人</w:t>
            </w:r>
            <w:r>
              <w:rPr>
                <w:rFonts w:hint="eastAsia" w:ascii="宋体" w:hAnsi="宋体" w:eastAsia="宋体" w:cs="宋体"/>
                <w:color w:val="000000"/>
                <w:sz w:val="24"/>
                <w:szCs w:val="24"/>
              </w:rPr>
              <w:t>递交的资料和响应文件不论</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与否均不予退还。</w:t>
            </w:r>
          </w:p>
          <w:p w14:paraId="4D9A98DA">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提示：本项目为电子化、无纸化交易项目，为保证您能投标成功，请需仔细阅读以上条款。</w:t>
            </w:r>
          </w:p>
        </w:tc>
      </w:tr>
    </w:tbl>
    <w:p w14:paraId="263244D5">
      <w:pPr>
        <w:autoSpaceDE/>
        <w:autoSpaceDN/>
        <w:spacing w:line="360" w:lineRule="auto"/>
        <w:ind w:firstLine="427" w:firstLineChars="152"/>
        <w:jc w:val="both"/>
        <w:rPr>
          <w:rFonts w:hint="eastAsia"/>
          <w:b/>
          <w:color w:val="000000"/>
          <w:kern w:val="2"/>
          <w:sz w:val="28"/>
          <w:szCs w:val="28"/>
          <w:lang w:val="en-US" w:bidi="ar-SA"/>
        </w:rPr>
      </w:pPr>
    </w:p>
    <w:p w14:paraId="2F481BD9">
      <w:pPr>
        <w:spacing w:line="360" w:lineRule="auto"/>
        <w:ind w:left="40"/>
        <w:rPr>
          <w:rFonts w:hint="eastAsia"/>
          <w:color w:val="000000"/>
          <w:sz w:val="28"/>
          <w:szCs w:val="28"/>
          <w:lang w:val="en-US"/>
        </w:rPr>
      </w:pPr>
    </w:p>
    <w:p w14:paraId="0355B785">
      <w:pPr>
        <w:spacing w:line="360" w:lineRule="auto"/>
        <w:jc w:val="center"/>
        <w:outlineLvl w:val="1"/>
        <w:rPr>
          <w:rFonts w:hint="eastAsia"/>
          <w:b/>
          <w:bCs/>
          <w:snapToGrid w:val="0"/>
          <w:color w:val="000000"/>
          <w:sz w:val="24"/>
          <w:szCs w:val="24"/>
        </w:rPr>
      </w:pPr>
      <w:r>
        <w:rPr>
          <w:rFonts w:hint="eastAsia"/>
          <w:color w:val="000000"/>
          <w:sz w:val="28"/>
          <w:szCs w:val="21"/>
        </w:rPr>
        <w:br w:type="page"/>
      </w:r>
      <w:bookmarkStart w:id="83" w:name="_Toc32363"/>
      <w:bookmarkStart w:id="84" w:name="_Toc18044"/>
      <w:bookmarkStart w:id="85" w:name="_Toc17256"/>
      <w:bookmarkStart w:id="86" w:name="_Toc10753"/>
      <w:bookmarkStart w:id="87" w:name="_Toc6303"/>
      <w:bookmarkStart w:id="88" w:name="_Toc19966"/>
      <w:bookmarkStart w:id="89" w:name="_Toc28256"/>
      <w:r>
        <w:rPr>
          <w:rFonts w:hint="eastAsia"/>
          <w:color w:val="000000"/>
          <w:sz w:val="24"/>
          <w:szCs w:val="24"/>
        </w:rPr>
        <mc:AlternateContent>
          <mc:Choice Requires="wps">
            <w:drawing>
              <wp:anchor distT="0" distB="0" distL="114300" distR="114300" simplePos="0" relativeHeight="251659264" behindDoc="1" locked="0" layoutInCell="0" allowOverlap="1">
                <wp:simplePos x="0" y="0"/>
                <wp:positionH relativeFrom="column">
                  <wp:posOffset>1007110</wp:posOffset>
                </wp:positionH>
                <wp:positionV relativeFrom="paragraph">
                  <wp:posOffset>-7227570</wp:posOffset>
                </wp:positionV>
                <wp:extent cx="889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524">
                          <a:solidFill>
                            <a:srgbClr val="000000"/>
                          </a:solidFill>
                          <a:round/>
                        </a:ln>
                        <a:effectLst/>
                      </wps:spPr>
                      <wps:bodyPr/>
                    </wps:wsp>
                  </a:graphicData>
                </a:graphic>
              </wp:anchor>
            </w:drawing>
          </mc:Choice>
          <mc:Fallback>
            <w:pict>
              <v:line id="_x0000_s1026" o:spid="_x0000_s1026" o:spt="20" style="position:absolute;left:0pt;margin-left:79.3pt;margin-top:-569.1pt;height:0pt;width:0.7pt;z-index:-251657216;mso-width-relative:page;mso-height-relative:page;" filled="f" stroked="t" coordsize="21600,21600" o:allowincell="f" o:gfxdata="UEsDBAoAAAAAAIdO4kAAAAAAAAAAAAAAAAAEAAAAZHJzL1BLAwQUAAAACACHTuJAR2PDftgAAAAP&#10;AQAADwAAAGRycy9kb3ducmV2LnhtbE2PzU7DMBCE70i8g7VI3Fo7LY1CiFOJSogLl7ZcuG1jNwm1&#10;1yF2f3h7thfgOLOfZmeq5cU7cbJj7ANpyKYKhKUmmJ5aDe/bl0kBIiYkgy6Q1fBtIyzr25sKSxPO&#10;tLanTWoFh1AsUUOX0lBKGZvOeozTMFji2z6MHhPLsZVmxDOHeydnSuXSY0/8ocPBrjrbHDZHr+GR&#10;Vs/uYXv4+Fq87T+HhPNsXbxqfX+XqScQyV7SHwzX+lwdau60C0cyUTjWiyJnVMMky+bFDMSVyRXv&#10;2/16sq7k/x31D1BLAwQUAAAACACHTuJA4VS5PeUBAAC1AwAADgAAAGRycy9lMm9Eb2MueG1srVOx&#10;jhMxEO2R+AfLPdkkAhRW2VyR6GgOiHTHBzheb9bC9lgeJ7v5CX4AiQ4qSnr+huMzGDvZcNw1V9wW&#10;lscz82bem9n5RW8N26uAGlzFJ6MxZ8pJqLXbVvzjzeWLGWcYhauFAacqflDILxbPn807X6optGBq&#10;FRiBOCw7X/E2Rl8WBcpWWYEj8MqRs4FgRSQzbIs6iI7QrSmm4/HrooNQ+wBSIdLr6ujkJ8TwGEBo&#10;Gi3VCuTOKhePqEEZEYkSttojX+Rum0bJ+KFpUEVmKk5MYz6pCN036SwWc1Fug/CtlqcWxGNauMfJ&#10;Cu2o6BlqJaJgu6AfQFktAyA0cSTBFkciWRFiMRnf0+a6FV5lLiQ1+rPo+HSw8v1+HZiuK05jd8LS&#10;wG+//Pz9+dufX1/pvP3xnc2SSJ3HkmKXbh0STdm7a38F8hMyB8tWuK3Kzd4cPCFMUkbxX0oy0FOp&#10;TfcOaooRuwhZsb4JNkGSFqzPgzmcB6P6yCQ9zmZvaGBycBSiHLJ8wPhWgWXpUnGjXRJMlGJ/hTF1&#10;IcohJD07uNTG5KEbxzpq9dX0ZU5AMLpOzhSGYbtZmsD2Iq1N/jIl8twNC7Bz9bGIcSlP5Y07VR4o&#10;H8XbQH1Yh0EXmmbu7bR5aV3u2lm9f3/b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Y8N+2AAA&#10;AA8BAAAPAAAAAAAAAAEAIAAAACIAAABkcnMvZG93bnJldi54bWxQSwECFAAUAAAACACHTuJA4VS5&#10;PeUBAAC1AwAADgAAAAAAAAABACAAAAAnAQAAZHJzL2Uyb0RvYy54bWxQSwUGAAAAAAYABgBZAQAA&#10;fgUAAAAA&#10;">
                <v:fill on="f" focussize="0,0"/>
                <v:stroke weight="0.12pt" color="#000000" joinstyle="round"/>
                <v:imagedata o:title=""/>
                <o:lock v:ext="edit" aspectratio="f"/>
              </v:line>
            </w:pict>
          </mc:Fallback>
        </mc:AlternateContent>
      </w:r>
      <w:bookmarkStart w:id="90" w:name="page7"/>
      <w:bookmarkEnd w:id="90"/>
      <w:bookmarkStart w:id="91" w:name="page6"/>
      <w:bookmarkEnd w:id="91"/>
      <w:bookmarkStart w:id="92" w:name="page8"/>
      <w:bookmarkEnd w:id="92"/>
      <w:bookmarkStart w:id="93" w:name="_Toc510994106"/>
      <w:r>
        <w:rPr>
          <w:rFonts w:hint="eastAsia"/>
          <w:b/>
          <w:bCs/>
          <w:snapToGrid w:val="0"/>
          <w:color w:val="000000"/>
          <w:sz w:val="24"/>
          <w:szCs w:val="24"/>
        </w:rPr>
        <w:t>一、总则</w:t>
      </w:r>
      <w:bookmarkEnd w:id="83"/>
      <w:bookmarkEnd w:id="84"/>
      <w:bookmarkEnd w:id="85"/>
      <w:bookmarkEnd w:id="86"/>
      <w:bookmarkEnd w:id="87"/>
      <w:bookmarkEnd w:id="88"/>
      <w:bookmarkEnd w:id="89"/>
      <w:bookmarkEnd w:id="93"/>
    </w:p>
    <w:p w14:paraId="42F4718D">
      <w:pPr>
        <w:tabs>
          <w:tab w:val="left" w:pos="737"/>
        </w:tabs>
        <w:overflowPunct w:val="0"/>
        <w:topLinePunct/>
        <w:adjustRightInd w:val="0"/>
        <w:snapToGrid w:val="0"/>
        <w:spacing w:line="360" w:lineRule="auto"/>
        <w:ind w:firstLine="482" w:firstLineChars="200"/>
        <w:outlineLvl w:val="9"/>
        <w:rPr>
          <w:rFonts w:hint="eastAsia"/>
          <w:b/>
          <w:snapToGrid w:val="0"/>
          <w:color w:val="000000"/>
          <w:position w:val="1"/>
          <w:sz w:val="24"/>
          <w:szCs w:val="24"/>
        </w:rPr>
      </w:pPr>
      <w:bookmarkStart w:id="94" w:name="_Toc26262"/>
      <w:bookmarkStart w:id="95" w:name="_Toc5084"/>
      <w:bookmarkStart w:id="96" w:name="_Toc4304"/>
      <w:r>
        <w:rPr>
          <w:rFonts w:hint="eastAsia"/>
          <w:b/>
          <w:snapToGrid w:val="0"/>
          <w:color w:val="000000"/>
          <w:sz w:val="24"/>
          <w:szCs w:val="24"/>
        </w:rPr>
        <w:t>1.</w:t>
      </w:r>
      <w:r>
        <w:rPr>
          <w:rFonts w:hint="eastAsia"/>
          <w:b/>
          <w:snapToGrid w:val="0"/>
          <w:color w:val="000000"/>
          <w:position w:val="1"/>
          <w:sz w:val="24"/>
          <w:szCs w:val="24"/>
        </w:rPr>
        <w:t>适用范围</w:t>
      </w:r>
      <w:bookmarkEnd w:id="94"/>
      <w:bookmarkEnd w:id="95"/>
      <w:bookmarkEnd w:id="96"/>
    </w:p>
    <w:p w14:paraId="2259BC2B">
      <w:pPr>
        <w:overflowPunct w:val="0"/>
        <w:topLinePunct/>
        <w:adjustRightInd w:val="0"/>
        <w:snapToGrid w:val="0"/>
        <w:spacing w:line="360" w:lineRule="auto"/>
        <w:ind w:firstLine="482" w:firstLineChars="200"/>
        <w:outlineLvl w:val="9"/>
        <w:rPr>
          <w:rFonts w:hint="eastAsia"/>
          <w:b/>
          <w:snapToGrid w:val="0"/>
          <w:color w:val="000000"/>
          <w:position w:val="1"/>
          <w:sz w:val="24"/>
          <w:szCs w:val="24"/>
        </w:rPr>
      </w:pPr>
      <w:bookmarkStart w:id="97" w:name="_Toc32557"/>
      <w:r>
        <w:rPr>
          <w:rFonts w:hint="eastAsia"/>
          <w:b/>
          <w:snapToGrid w:val="0"/>
          <w:color w:val="000000"/>
          <w:position w:val="1"/>
          <w:sz w:val="24"/>
          <w:szCs w:val="24"/>
        </w:rPr>
        <w:t>1.1本磋商文件适用于本次采购活动的全过程。</w:t>
      </w:r>
      <w:bookmarkEnd w:id="97"/>
    </w:p>
    <w:p w14:paraId="3C4CD156">
      <w:pPr>
        <w:tabs>
          <w:tab w:val="left" w:pos="0"/>
        </w:tabs>
        <w:topLinePunct/>
        <w:adjustRightInd w:val="0"/>
        <w:snapToGrid w:val="0"/>
        <w:spacing w:line="360" w:lineRule="auto"/>
        <w:ind w:firstLine="482" w:firstLineChars="200"/>
        <w:outlineLvl w:val="9"/>
        <w:rPr>
          <w:rFonts w:hint="eastAsia"/>
          <w:b/>
          <w:snapToGrid w:val="0"/>
          <w:color w:val="000000"/>
          <w:position w:val="1"/>
          <w:sz w:val="24"/>
          <w:szCs w:val="24"/>
        </w:rPr>
      </w:pPr>
      <w:bookmarkStart w:id="98" w:name="_Toc32167"/>
      <w:bookmarkStart w:id="99" w:name="_Toc11783"/>
      <w:bookmarkStart w:id="100" w:name="_Toc14423"/>
      <w:r>
        <w:rPr>
          <w:rFonts w:hint="eastAsia"/>
          <w:b/>
          <w:snapToGrid w:val="0"/>
          <w:color w:val="000000"/>
          <w:position w:val="1"/>
          <w:sz w:val="24"/>
          <w:szCs w:val="24"/>
        </w:rPr>
        <w:t>2.定义</w:t>
      </w:r>
      <w:bookmarkEnd w:id="98"/>
      <w:bookmarkEnd w:id="99"/>
      <w:bookmarkEnd w:id="100"/>
    </w:p>
    <w:p w14:paraId="72104EB8">
      <w:pPr>
        <w:overflowPunct w:val="0"/>
        <w:topLinePunct/>
        <w:adjustRightInd w:val="0"/>
        <w:spacing w:line="360" w:lineRule="auto"/>
        <w:ind w:firstLine="479" w:firstLineChars="199"/>
        <w:outlineLvl w:val="9"/>
        <w:rPr>
          <w:rFonts w:hint="eastAsia"/>
          <w:b/>
          <w:snapToGrid w:val="0"/>
          <w:color w:val="000000"/>
          <w:position w:val="1"/>
          <w:sz w:val="24"/>
          <w:szCs w:val="24"/>
        </w:rPr>
      </w:pPr>
      <w:bookmarkStart w:id="101" w:name="_Toc6229"/>
      <w:r>
        <w:rPr>
          <w:rFonts w:hint="eastAsia"/>
          <w:b/>
          <w:snapToGrid w:val="0"/>
          <w:color w:val="000000"/>
          <w:position w:val="1"/>
          <w:sz w:val="24"/>
          <w:szCs w:val="24"/>
        </w:rPr>
        <w:t>2.1“服务”指本磋商文件所述</w:t>
      </w:r>
      <w:r>
        <w:rPr>
          <w:rFonts w:hint="eastAsia"/>
          <w:b/>
          <w:snapToGrid w:val="0"/>
          <w:color w:val="000000"/>
          <w:position w:val="1"/>
          <w:sz w:val="24"/>
          <w:szCs w:val="24"/>
          <w:lang w:eastAsia="zh-CN"/>
        </w:rPr>
        <w:t>响应人</w:t>
      </w:r>
      <w:r>
        <w:rPr>
          <w:rFonts w:hint="eastAsia"/>
          <w:b/>
          <w:snapToGrid w:val="0"/>
          <w:color w:val="000000"/>
          <w:position w:val="1"/>
          <w:sz w:val="24"/>
          <w:szCs w:val="24"/>
        </w:rPr>
        <w:t>应该履行的承诺和义务。</w:t>
      </w:r>
      <w:bookmarkEnd w:id="101"/>
    </w:p>
    <w:p w14:paraId="59B69DD0">
      <w:pPr>
        <w:tabs>
          <w:tab w:val="left" w:pos="0"/>
        </w:tabs>
        <w:topLinePunct/>
        <w:adjustRightInd w:val="0"/>
        <w:snapToGrid w:val="0"/>
        <w:spacing w:line="360" w:lineRule="auto"/>
        <w:ind w:firstLine="482" w:firstLineChars="200"/>
        <w:outlineLvl w:val="9"/>
        <w:rPr>
          <w:rFonts w:hint="eastAsia"/>
          <w:b/>
          <w:snapToGrid w:val="0"/>
          <w:color w:val="000000"/>
          <w:position w:val="1"/>
          <w:sz w:val="24"/>
          <w:szCs w:val="24"/>
        </w:rPr>
      </w:pPr>
      <w:bookmarkStart w:id="102" w:name="_Toc27220"/>
      <w:bookmarkStart w:id="103" w:name="_Toc19063"/>
      <w:bookmarkStart w:id="104" w:name="_Toc1738"/>
      <w:r>
        <w:rPr>
          <w:rFonts w:hint="eastAsia"/>
          <w:b/>
          <w:snapToGrid w:val="0"/>
          <w:color w:val="000000"/>
          <w:position w:val="1"/>
          <w:sz w:val="24"/>
          <w:szCs w:val="24"/>
        </w:rPr>
        <w:t>3.合格</w:t>
      </w:r>
      <w:r>
        <w:rPr>
          <w:rFonts w:hint="eastAsia"/>
          <w:b/>
          <w:snapToGrid w:val="0"/>
          <w:color w:val="000000"/>
          <w:position w:val="1"/>
          <w:sz w:val="24"/>
          <w:szCs w:val="24"/>
          <w:lang w:eastAsia="zh-CN"/>
        </w:rPr>
        <w:t>响应人</w:t>
      </w:r>
      <w:r>
        <w:rPr>
          <w:rFonts w:hint="eastAsia"/>
          <w:b/>
          <w:snapToGrid w:val="0"/>
          <w:color w:val="000000"/>
          <w:position w:val="1"/>
          <w:sz w:val="24"/>
          <w:szCs w:val="24"/>
        </w:rPr>
        <w:t>的条件</w:t>
      </w:r>
      <w:bookmarkEnd w:id="102"/>
      <w:bookmarkEnd w:id="103"/>
      <w:bookmarkEnd w:id="104"/>
    </w:p>
    <w:p w14:paraId="45A258A9">
      <w:pPr>
        <w:overflowPunct w:val="0"/>
        <w:topLinePunct/>
        <w:adjustRightInd w:val="0"/>
        <w:snapToGrid w:val="0"/>
        <w:spacing w:line="360" w:lineRule="auto"/>
        <w:ind w:firstLine="482" w:firstLineChars="200"/>
        <w:outlineLvl w:val="9"/>
        <w:rPr>
          <w:rFonts w:hint="eastAsia"/>
          <w:b/>
          <w:snapToGrid w:val="0"/>
          <w:color w:val="000000"/>
          <w:position w:val="1"/>
          <w:sz w:val="24"/>
          <w:szCs w:val="24"/>
        </w:rPr>
      </w:pPr>
      <w:bookmarkStart w:id="105" w:name="_Toc15748"/>
      <w:r>
        <w:rPr>
          <w:rFonts w:hint="eastAsia"/>
          <w:b/>
          <w:snapToGrid w:val="0"/>
          <w:color w:val="000000"/>
          <w:position w:val="1"/>
          <w:sz w:val="24"/>
          <w:szCs w:val="24"/>
        </w:rPr>
        <w:t>3.1合格的</w:t>
      </w:r>
      <w:r>
        <w:rPr>
          <w:rFonts w:hint="eastAsia"/>
          <w:b/>
          <w:snapToGrid w:val="0"/>
          <w:color w:val="000000"/>
          <w:position w:val="1"/>
          <w:sz w:val="24"/>
          <w:szCs w:val="24"/>
          <w:lang w:eastAsia="zh-CN"/>
        </w:rPr>
        <w:t>响应人</w:t>
      </w:r>
      <w:r>
        <w:rPr>
          <w:rFonts w:hint="eastAsia"/>
          <w:b/>
          <w:snapToGrid w:val="0"/>
          <w:color w:val="000000"/>
          <w:position w:val="1"/>
          <w:sz w:val="24"/>
          <w:szCs w:val="24"/>
        </w:rPr>
        <w:t>应满足条件详见“前附表”。</w:t>
      </w:r>
      <w:bookmarkEnd w:id="105"/>
    </w:p>
    <w:p w14:paraId="116CFB9D">
      <w:pPr>
        <w:tabs>
          <w:tab w:val="left" w:pos="0"/>
        </w:tabs>
        <w:topLinePunct/>
        <w:adjustRightInd w:val="0"/>
        <w:snapToGrid w:val="0"/>
        <w:spacing w:line="360" w:lineRule="auto"/>
        <w:ind w:firstLine="482" w:firstLineChars="200"/>
        <w:outlineLvl w:val="9"/>
        <w:rPr>
          <w:rFonts w:hint="eastAsia"/>
          <w:b/>
          <w:snapToGrid w:val="0"/>
          <w:color w:val="000000"/>
          <w:sz w:val="24"/>
          <w:szCs w:val="24"/>
        </w:rPr>
      </w:pPr>
      <w:bookmarkStart w:id="106" w:name="_Toc12128"/>
      <w:bookmarkStart w:id="107" w:name="_Toc13432"/>
      <w:bookmarkStart w:id="108" w:name="_Toc26195"/>
      <w:r>
        <w:rPr>
          <w:rFonts w:hint="eastAsia"/>
          <w:b/>
          <w:snapToGrid w:val="0"/>
          <w:color w:val="000000"/>
          <w:sz w:val="24"/>
          <w:szCs w:val="24"/>
          <w:lang w:val="en-US"/>
        </w:rPr>
        <w:t>4.</w:t>
      </w:r>
      <w:r>
        <w:rPr>
          <w:rFonts w:hint="eastAsia"/>
          <w:b/>
          <w:snapToGrid w:val="0"/>
          <w:color w:val="000000"/>
          <w:sz w:val="24"/>
          <w:szCs w:val="24"/>
        </w:rPr>
        <w:t>磋商报价组成</w:t>
      </w:r>
      <w:bookmarkEnd w:id="106"/>
      <w:bookmarkEnd w:id="107"/>
      <w:bookmarkEnd w:id="108"/>
    </w:p>
    <w:p w14:paraId="15C6FB0D">
      <w:pPr>
        <w:tabs>
          <w:tab w:val="left" w:pos="0"/>
        </w:tabs>
        <w:topLinePunct/>
        <w:adjustRightInd w:val="0"/>
        <w:snapToGrid w:val="0"/>
        <w:spacing w:line="360" w:lineRule="auto"/>
        <w:ind w:firstLine="480" w:firstLineChars="200"/>
        <w:outlineLvl w:val="9"/>
        <w:rPr>
          <w:rFonts w:hint="eastAsia"/>
          <w:bCs/>
          <w:snapToGrid w:val="0"/>
          <w:color w:val="000000"/>
          <w:sz w:val="24"/>
          <w:szCs w:val="24"/>
        </w:rPr>
      </w:pPr>
      <w:r>
        <w:rPr>
          <w:rFonts w:hint="eastAsia"/>
          <w:bCs/>
          <w:snapToGrid w:val="0"/>
          <w:color w:val="000000"/>
          <w:sz w:val="24"/>
          <w:szCs w:val="24"/>
        </w:rPr>
        <w:t>4.1</w:t>
      </w:r>
      <w:r>
        <w:rPr>
          <w:rFonts w:hint="eastAsia"/>
          <w:bCs/>
          <w:snapToGrid w:val="0"/>
          <w:color w:val="000000"/>
          <w:sz w:val="24"/>
          <w:szCs w:val="24"/>
          <w:lang w:eastAsia="zh-CN"/>
        </w:rPr>
        <w:t>响应人</w:t>
      </w:r>
      <w:r>
        <w:rPr>
          <w:rFonts w:hint="eastAsia"/>
          <w:bCs/>
          <w:snapToGrid w:val="0"/>
          <w:color w:val="000000"/>
          <w:sz w:val="24"/>
          <w:szCs w:val="24"/>
        </w:rPr>
        <w:t>应根据自身情况进行合理报价，报价应包括人工费、设备费、材料费、交通费、技术服务费、上级部门评审验收费、相关税款等与招标项目相关的、必须的款项及费用（包括未列明而完成交验所必须的所有设备、材料、工具、费用）。</w:t>
      </w:r>
    </w:p>
    <w:p w14:paraId="5879927B">
      <w:pPr>
        <w:tabs>
          <w:tab w:val="left" w:pos="0"/>
        </w:tabs>
        <w:topLinePunct/>
        <w:adjustRightInd w:val="0"/>
        <w:snapToGrid w:val="0"/>
        <w:spacing w:line="360" w:lineRule="auto"/>
        <w:ind w:firstLine="482" w:firstLineChars="200"/>
        <w:outlineLvl w:val="9"/>
        <w:rPr>
          <w:rFonts w:hint="eastAsia"/>
          <w:b/>
          <w:snapToGrid w:val="0"/>
          <w:color w:val="000000"/>
          <w:sz w:val="24"/>
          <w:szCs w:val="24"/>
        </w:rPr>
      </w:pPr>
      <w:bookmarkStart w:id="109" w:name="_Toc8389"/>
      <w:bookmarkStart w:id="110" w:name="_Toc25956"/>
      <w:bookmarkStart w:id="111" w:name="_Toc23009"/>
      <w:r>
        <w:rPr>
          <w:rFonts w:hint="eastAsia"/>
          <w:b/>
          <w:snapToGrid w:val="0"/>
          <w:color w:val="000000"/>
          <w:sz w:val="24"/>
          <w:szCs w:val="24"/>
        </w:rPr>
        <w:t>5.投标费用</w:t>
      </w:r>
      <w:bookmarkEnd w:id="109"/>
      <w:bookmarkEnd w:id="110"/>
      <w:bookmarkEnd w:id="111"/>
    </w:p>
    <w:p w14:paraId="2CCF45A6">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5.1</w:t>
      </w:r>
      <w:r>
        <w:rPr>
          <w:rFonts w:hint="eastAsia"/>
          <w:snapToGrid w:val="0"/>
          <w:color w:val="000000"/>
          <w:sz w:val="24"/>
          <w:szCs w:val="24"/>
          <w:lang w:eastAsia="zh-CN"/>
        </w:rPr>
        <w:t>响应人</w:t>
      </w:r>
      <w:r>
        <w:rPr>
          <w:rFonts w:hint="eastAsia"/>
          <w:snapToGrid w:val="0"/>
          <w:color w:val="000000"/>
          <w:sz w:val="24"/>
          <w:szCs w:val="24"/>
        </w:rPr>
        <w:t>应承担所有与准备和参加投标有关的费用，采购代理机构（或采购人）在任何情况下均无义务和责任承担这些费用。</w:t>
      </w:r>
    </w:p>
    <w:p w14:paraId="751AE633">
      <w:pPr>
        <w:spacing w:line="360" w:lineRule="auto"/>
        <w:jc w:val="center"/>
        <w:outlineLvl w:val="1"/>
        <w:rPr>
          <w:rFonts w:hint="eastAsia"/>
          <w:b/>
          <w:bCs/>
          <w:snapToGrid w:val="0"/>
          <w:color w:val="000000"/>
          <w:sz w:val="24"/>
          <w:szCs w:val="24"/>
        </w:rPr>
      </w:pPr>
      <w:bookmarkStart w:id="112" w:name="_Toc24376"/>
      <w:bookmarkStart w:id="113" w:name="_Toc5871"/>
      <w:bookmarkStart w:id="114" w:name="_Toc30659"/>
      <w:bookmarkStart w:id="115" w:name="_Toc6227"/>
      <w:bookmarkStart w:id="116" w:name="_Toc23408"/>
      <w:bookmarkStart w:id="117" w:name="_Toc510994107"/>
      <w:bookmarkStart w:id="118" w:name="_Toc2025"/>
      <w:bookmarkStart w:id="119" w:name="_Toc175644017"/>
      <w:bookmarkStart w:id="120" w:name="_Toc9640"/>
      <w:bookmarkStart w:id="121" w:name="_Toc4569"/>
      <w:bookmarkStart w:id="122" w:name="_Toc5458"/>
      <w:r>
        <w:rPr>
          <w:rFonts w:hint="eastAsia"/>
          <w:b/>
          <w:bCs/>
          <w:snapToGrid w:val="0"/>
          <w:color w:val="000000"/>
          <w:sz w:val="24"/>
          <w:szCs w:val="24"/>
        </w:rPr>
        <w:t>二、磋商文件</w:t>
      </w:r>
      <w:bookmarkEnd w:id="112"/>
      <w:bookmarkEnd w:id="113"/>
      <w:bookmarkEnd w:id="114"/>
      <w:bookmarkEnd w:id="115"/>
      <w:bookmarkEnd w:id="116"/>
      <w:bookmarkEnd w:id="117"/>
      <w:bookmarkEnd w:id="118"/>
      <w:bookmarkEnd w:id="119"/>
      <w:bookmarkEnd w:id="120"/>
      <w:bookmarkEnd w:id="121"/>
      <w:bookmarkEnd w:id="122"/>
    </w:p>
    <w:p w14:paraId="3A23BFA7">
      <w:pPr>
        <w:tabs>
          <w:tab w:val="left" w:pos="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123" w:name="_Toc11512"/>
      <w:bookmarkStart w:id="124" w:name="_Toc21555"/>
      <w:bookmarkStart w:id="125" w:name="_Toc8060"/>
      <w:r>
        <w:rPr>
          <w:rFonts w:hint="eastAsia"/>
          <w:b/>
          <w:snapToGrid w:val="0"/>
          <w:color w:val="000000"/>
          <w:sz w:val="24"/>
          <w:szCs w:val="24"/>
        </w:rPr>
        <w:t>5.磋商文件的构成</w:t>
      </w:r>
      <w:bookmarkEnd w:id="123"/>
      <w:bookmarkEnd w:id="124"/>
      <w:bookmarkEnd w:id="125"/>
    </w:p>
    <w:p w14:paraId="6870A52F">
      <w:pPr>
        <w:overflowPunct w:val="0"/>
        <w:topLinePunct/>
        <w:adjustRightInd w:val="0"/>
        <w:snapToGrid w:val="0"/>
        <w:spacing w:line="360" w:lineRule="auto"/>
        <w:ind w:firstLine="480" w:firstLineChars="200"/>
        <w:outlineLvl w:val="9"/>
        <w:rPr>
          <w:rFonts w:hint="eastAsia"/>
          <w:snapToGrid w:val="0"/>
          <w:color w:val="000000"/>
          <w:sz w:val="24"/>
          <w:szCs w:val="24"/>
        </w:rPr>
      </w:pPr>
      <w:bookmarkStart w:id="126" w:name="_Toc30011"/>
      <w:r>
        <w:rPr>
          <w:rFonts w:hint="eastAsia"/>
          <w:snapToGrid w:val="0"/>
          <w:color w:val="000000"/>
          <w:sz w:val="24"/>
          <w:szCs w:val="24"/>
        </w:rPr>
        <w:t>5.1磋商文件由下列六章内容组成：</w:t>
      </w:r>
      <w:bookmarkEnd w:id="126"/>
    </w:p>
    <w:p w14:paraId="73A3CEE7">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第一章 竞争性磋商公告；</w:t>
      </w:r>
    </w:p>
    <w:p w14:paraId="155EC6D7">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 xml:space="preserve">第二章 </w:t>
      </w:r>
      <w:r>
        <w:rPr>
          <w:rFonts w:hint="eastAsia"/>
          <w:snapToGrid w:val="0"/>
          <w:color w:val="000000"/>
          <w:sz w:val="24"/>
          <w:szCs w:val="24"/>
          <w:lang w:eastAsia="zh-CN"/>
        </w:rPr>
        <w:t>响应人</w:t>
      </w:r>
      <w:r>
        <w:rPr>
          <w:rFonts w:hint="eastAsia"/>
          <w:snapToGrid w:val="0"/>
          <w:color w:val="000000"/>
          <w:sz w:val="24"/>
          <w:szCs w:val="24"/>
        </w:rPr>
        <w:t>须知；</w:t>
      </w:r>
    </w:p>
    <w:p w14:paraId="1944455C">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第三章 服务</w:t>
      </w:r>
      <w:r>
        <w:rPr>
          <w:rFonts w:hint="eastAsia"/>
          <w:snapToGrid w:val="0"/>
          <w:color w:val="000000"/>
          <w:sz w:val="24"/>
          <w:szCs w:val="24"/>
          <w:lang w:val="en-US" w:eastAsia="zh-CN"/>
        </w:rPr>
        <w:t>方案</w:t>
      </w:r>
      <w:r>
        <w:rPr>
          <w:rFonts w:hint="eastAsia"/>
          <w:snapToGrid w:val="0"/>
          <w:color w:val="000000"/>
          <w:sz w:val="24"/>
          <w:szCs w:val="24"/>
        </w:rPr>
        <w:t>；</w:t>
      </w:r>
    </w:p>
    <w:p w14:paraId="662F109A">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 xml:space="preserve">第四章 </w:t>
      </w:r>
      <w:r>
        <w:rPr>
          <w:rFonts w:hint="eastAsia"/>
          <w:snapToGrid w:val="0"/>
          <w:color w:val="000000"/>
          <w:sz w:val="24"/>
          <w:szCs w:val="24"/>
          <w:lang w:val="en-US"/>
        </w:rPr>
        <w:t>评审办法</w:t>
      </w:r>
      <w:r>
        <w:rPr>
          <w:rFonts w:hint="eastAsia"/>
          <w:snapToGrid w:val="0"/>
          <w:color w:val="000000"/>
          <w:sz w:val="24"/>
          <w:szCs w:val="24"/>
        </w:rPr>
        <w:t>；</w:t>
      </w:r>
    </w:p>
    <w:p w14:paraId="1D5E9FBE">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第五章 合同格式；</w:t>
      </w:r>
    </w:p>
    <w:p w14:paraId="6CD61C0B">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第六章 响应文件格式。</w:t>
      </w:r>
    </w:p>
    <w:p w14:paraId="02591616">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5.2磋商文件以中文文字编写。电子介质磋商文件具有同等法律效力。</w:t>
      </w:r>
    </w:p>
    <w:p w14:paraId="3F8D8475">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 xml:space="preserve">5.3 </w:t>
      </w:r>
      <w:r>
        <w:rPr>
          <w:rFonts w:hint="eastAsia"/>
          <w:snapToGrid w:val="0"/>
          <w:color w:val="000000"/>
          <w:sz w:val="24"/>
          <w:szCs w:val="24"/>
          <w:lang w:eastAsia="zh-CN"/>
        </w:rPr>
        <w:t>响应人</w:t>
      </w:r>
      <w:r>
        <w:rPr>
          <w:rFonts w:hint="eastAsia"/>
          <w:snapToGrid w:val="0"/>
          <w:color w:val="000000"/>
          <w:sz w:val="24"/>
          <w:szCs w:val="24"/>
        </w:rPr>
        <w:t>应认真阅读磋商文件中所有的事项、格式、条款和磋商内容及要求等，并按照磋商文件的要求编制响应文件。若</w:t>
      </w:r>
      <w:r>
        <w:rPr>
          <w:rFonts w:hint="eastAsia"/>
          <w:snapToGrid w:val="0"/>
          <w:color w:val="000000"/>
          <w:sz w:val="24"/>
          <w:szCs w:val="24"/>
          <w:lang w:eastAsia="zh-CN"/>
        </w:rPr>
        <w:t>响应人</w:t>
      </w:r>
      <w:r>
        <w:rPr>
          <w:rFonts w:hint="eastAsia"/>
          <w:snapToGrid w:val="0"/>
          <w:color w:val="000000"/>
          <w:sz w:val="24"/>
          <w:szCs w:val="24"/>
        </w:rPr>
        <w:t>不按照磋商文件要求编制响应文件，由此产生的风险和责任将由</w:t>
      </w:r>
      <w:r>
        <w:rPr>
          <w:rFonts w:hint="eastAsia"/>
          <w:snapToGrid w:val="0"/>
          <w:color w:val="000000"/>
          <w:sz w:val="24"/>
          <w:szCs w:val="24"/>
          <w:lang w:eastAsia="zh-CN"/>
        </w:rPr>
        <w:t>响应人</w:t>
      </w:r>
      <w:r>
        <w:rPr>
          <w:rFonts w:hint="eastAsia"/>
          <w:snapToGrid w:val="0"/>
          <w:color w:val="000000"/>
          <w:sz w:val="24"/>
          <w:szCs w:val="24"/>
        </w:rPr>
        <w:t>自己承担。</w:t>
      </w:r>
    </w:p>
    <w:p w14:paraId="54C5992F">
      <w:pPr>
        <w:tabs>
          <w:tab w:val="left" w:pos="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127" w:name="_Toc7545"/>
      <w:bookmarkStart w:id="128" w:name="_Toc26496"/>
      <w:bookmarkStart w:id="129" w:name="_Toc13363"/>
      <w:r>
        <w:rPr>
          <w:rFonts w:hint="eastAsia"/>
          <w:b/>
          <w:snapToGrid w:val="0"/>
          <w:color w:val="000000"/>
          <w:sz w:val="24"/>
          <w:szCs w:val="24"/>
        </w:rPr>
        <w:t>6.竞争性磋商文件的澄清</w:t>
      </w:r>
      <w:bookmarkEnd w:id="127"/>
      <w:bookmarkEnd w:id="128"/>
      <w:bookmarkEnd w:id="129"/>
    </w:p>
    <w:p w14:paraId="2A90F05C">
      <w:pPr>
        <w:tabs>
          <w:tab w:val="left" w:pos="567"/>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rPr>
        <w:t>6.1 无论是采购人根据需要主动对竞争性磋商文件进行必要的澄清，或是根据</w:t>
      </w:r>
      <w:r>
        <w:rPr>
          <w:rFonts w:hint="eastAsia"/>
          <w:color w:val="000000"/>
          <w:sz w:val="24"/>
          <w:szCs w:val="24"/>
          <w:lang w:eastAsia="zh-CN"/>
        </w:rPr>
        <w:t>响应人</w:t>
      </w:r>
      <w:r>
        <w:rPr>
          <w:rFonts w:hint="eastAsia"/>
          <w:color w:val="000000"/>
          <w:sz w:val="24"/>
          <w:szCs w:val="24"/>
        </w:rPr>
        <w:t>的要求对竞争性磋商文件做出澄清，采购人都将于投标截止时间5日前以书面形式予以澄清，同时将书面澄清文件向所有</w:t>
      </w:r>
      <w:r>
        <w:rPr>
          <w:rFonts w:hint="eastAsia"/>
          <w:color w:val="000000"/>
          <w:sz w:val="24"/>
          <w:szCs w:val="24"/>
          <w:lang w:eastAsia="zh-CN"/>
        </w:rPr>
        <w:t>响应人</w:t>
      </w:r>
      <w:r>
        <w:rPr>
          <w:rFonts w:hint="eastAsia"/>
          <w:color w:val="000000"/>
          <w:sz w:val="24"/>
          <w:szCs w:val="24"/>
        </w:rPr>
        <w:t>发送。</w:t>
      </w:r>
      <w:r>
        <w:rPr>
          <w:rFonts w:hint="eastAsia"/>
          <w:color w:val="000000"/>
          <w:sz w:val="24"/>
          <w:szCs w:val="24"/>
          <w:lang w:eastAsia="zh-CN"/>
        </w:rPr>
        <w:t>响应人</w:t>
      </w:r>
      <w:r>
        <w:rPr>
          <w:rFonts w:hint="eastAsia"/>
          <w:color w:val="000000"/>
          <w:sz w:val="24"/>
          <w:szCs w:val="24"/>
        </w:rPr>
        <w:t>在收到该澄清文件后应以书面形式给予确认，该澄清作为竞争性磋商文件的组成部分，具有约束作用。</w:t>
      </w:r>
    </w:p>
    <w:p w14:paraId="2C545481">
      <w:pPr>
        <w:tabs>
          <w:tab w:val="left" w:pos="567"/>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rPr>
        <w:t>6.2 竞争性磋商文件的澄清将以书面形式发给所有潜在竞争性</w:t>
      </w:r>
      <w:r>
        <w:rPr>
          <w:rFonts w:hint="eastAsia"/>
          <w:color w:val="000000"/>
          <w:sz w:val="24"/>
          <w:szCs w:val="24"/>
          <w:lang w:eastAsia="zh-CN"/>
        </w:rPr>
        <w:t>响应人</w:t>
      </w:r>
      <w:r>
        <w:rPr>
          <w:rFonts w:hint="eastAsia"/>
          <w:color w:val="000000"/>
          <w:sz w:val="24"/>
          <w:szCs w:val="24"/>
        </w:rPr>
        <w:t>，但不指明澄清问题的来源。</w:t>
      </w:r>
    </w:p>
    <w:p w14:paraId="6EA83ACA">
      <w:pPr>
        <w:tabs>
          <w:tab w:val="left" w:pos="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130" w:name="_Toc26488"/>
      <w:bookmarkStart w:id="131" w:name="_Toc32158"/>
      <w:bookmarkStart w:id="132" w:name="_Toc4675"/>
      <w:r>
        <w:rPr>
          <w:rFonts w:hint="eastAsia"/>
          <w:b/>
          <w:snapToGrid w:val="0"/>
          <w:color w:val="000000"/>
          <w:sz w:val="24"/>
          <w:szCs w:val="24"/>
        </w:rPr>
        <w:t>7.竞争性磋商文件的修改</w:t>
      </w:r>
      <w:bookmarkEnd w:id="130"/>
      <w:bookmarkEnd w:id="131"/>
      <w:bookmarkEnd w:id="132"/>
    </w:p>
    <w:p w14:paraId="4777E943">
      <w:pPr>
        <w:tabs>
          <w:tab w:val="left" w:pos="567"/>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rPr>
        <w:t>7.1提交首次响应文件截止之日前，采购人可以对已发出的磋商文件进行必要的澄清或者修改，澄清或者修改的内容作为磋商文件的组成部分</w:t>
      </w:r>
      <w:r>
        <w:rPr>
          <w:rFonts w:hint="eastAsia"/>
          <w:color w:val="000000"/>
          <w:sz w:val="24"/>
          <w:szCs w:val="24"/>
          <w:lang w:eastAsia="zh-CN"/>
        </w:rPr>
        <w:t>，</w:t>
      </w:r>
      <w:r>
        <w:rPr>
          <w:rFonts w:hint="eastAsia"/>
          <w:color w:val="000000"/>
          <w:sz w:val="24"/>
          <w:szCs w:val="24"/>
        </w:rPr>
        <w:t>详见前附表。</w:t>
      </w:r>
    </w:p>
    <w:p w14:paraId="3A8212BD">
      <w:pPr>
        <w:tabs>
          <w:tab w:val="left" w:pos="567"/>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rPr>
        <w:t>7.2竞争性磋商文件的修改将以网站发布形式通知所有</w:t>
      </w:r>
      <w:r>
        <w:rPr>
          <w:rFonts w:hint="eastAsia"/>
          <w:color w:val="000000"/>
          <w:sz w:val="24"/>
          <w:szCs w:val="24"/>
          <w:lang w:eastAsia="zh-CN"/>
        </w:rPr>
        <w:t>响应人</w:t>
      </w:r>
      <w:r>
        <w:rPr>
          <w:rFonts w:hint="eastAsia"/>
          <w:color w:val="000000"/>
          <w:sz w:val="24"/>
          <w:szCs w:val="24"/>
        </w:rPr>
        <w:t>，竞争性磋商文件的修改作为竞争性磋商文件的组成部分并具有约束力。</w:t>
      </w:r>
    </w:p>
    <w:p w14:paraId="2A4AB3A6">
      <w:pPr>
        <w:tabs>
          <w:tab w:val="left" w:pos="567"/>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rPr>
        <w:t>7.3竞争性磋商文件、竞争性磋商文件澄清(答疑)、纪要、竞争性磋商文件修改补充通知内容均以书面明确的内容为准。当竞争性磋商文件、修改补充通知、澄清（答疑）纪要内容相互矛盾时，以最后发出的通知（或纪要）或修改文件为准。</w:t>
      </w:r>
    </w:p>
    <w:p w14:paraId="748CFF7D">
      <w:pPr>
        <w:tabs>
          <w:tab w:val="left" w:pos="567"/>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rPr>
        <w:t>7.4如遇特殊情况时，采购人可以改变递交响应文件的截止日期和开评标地点等不影响</w:t>
      </w:r>
      <w:r>
        <w:rPr>
          <w:rFonts w:hint="eastAsia"/>
          <w:color w:val="000000"/>
          <w:sz w:val="24"/>
          <w:szCs w:val="24"/>
          <w:lang w:eastAsia="zh-CN"/>
        </w:rPr>
        <w:t>响应人</w:t>
      </w:r>
      <w:r>
        <w:rPr>
          <w:rFonts w:hint="eastAsia"/>
          <w:color w:val="000000"/>
          <w:sz w:val="24"/>
          <w:szCs w:val="24"/>
        </w:rPr>
        <w:t>实质性利益的内容，并以网站发布形式通知所有</w:t>
      </w:r>
      <w:r>
        <w:rPr>
          <w:rFonts w:hint="eastAsia"/>
          <w:color w:val="000000"/>
          <w:sz w:val="24"/>
          <w:szCs w:val="24"/>
          <w:lang w:eastAsia="zh-CN"/>
        </w:rPr>
        <w:t>响应人</w:t>
      </w:r>
      <w:r>
        <w:rPr>
          <w:rFonts w:hint="eastAsia"/>
          <w:color w:val="000000"/>
          <w:sz w:val="24"/>
          <w:szCs w:val="24"/>
        </w:rPr>
        <w:t>。</w:t>
      </w:r>
    </w:p>
    <w:p w14:paraId="70A4E63B">
      <w:pPr>
        <w:spacing w:line="360" w:lineRule="auto"/>
        <w:jc w:val="center"/>
        <w:outlineLvl w:val="1"/>
        <w:rPr>
          <w:rFonts w:hint="eastAsia"/>
          <w:b/>
          <w:bCs/>
          <w:snapToGrid w:val="0"/>
          <w:color w:val="000000"/>
          <w:sz w:val="24"/>
          <w:szCs w:val="24"/>
        </w:rPr>
      </w:pPr>
      <w:bookmarkStart w:id="133" w:name="_Toc175644018"/>
      <w:bookmarkStart w:id="134" w:name="_Toc510994108"/>
      <w:bookmarkStart w:id="135" w:name="_Toc8557"/>
      <w:bookmarkStart w:id="136" w:name="_Toc28574"/>
      <w:bookmarkStart w:id="137" w:name="_Toc21914"/>
      <w:bookmarkStart w:id="138" w:name="_Toc608"/>
      <w:bookmarkStart w:id="139" w:name="_Toc6644"/>
      <w:bookmarkStart w:id="140" w:name="_Toc6862"/>
      <w:bookmarkStart w:id="141" w:name="_Toc31592"/>
      <w:bookmarkStart w:id="142" w:name="_Toc5139"/>
      <w:bookmarkStart w:id="143" w:name="_Toc27236"/>
      <w:r>
        <w:rPr>
          <w:rFonts w:hint="eastAsia"/>
          <w:b/>
          <w:bCs/>
          <w:snapToGrid w:val="0"/>
          <w:color w:val="000000"/>
          <w:sz w:val="24"/>
          <w:szCs w:val="24"/>
        </w:rPr>
        <w:t>三、响应文件</w:t>
      </w:r>
      <w:bookmarkEnd w:id="133"/>
      <w:bookmarkEnd w:id="134"/>
      <w:bookmarkEnd w:id="135"/>
      <w:bookmarkEnd w:id="136"/>
      <w:bookmarkEnd w:id="137"/>
      <w:bookmarkEnd w:id="138"/>
      <w:bookmarkEnd w:id="139"/>
      <w:bookmarkEnd w:id="140"/>
      <w:bookmarkEnd w:id="141"/>
      <w:bookmarkEnd w:id="142"/>
      <w:bookmarkEnd w:id="143"/>
    </w:p>
    <w:p w14:paraId="093CC776">
      <w:pPr>
        <w:numPr>
          <w:ilvl w:val="0"/>
          <w:numId w:val="0"/>
        </w:numPr>
        <w:tabs>
          <w:tab w:val="left" w:pos="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144" w:name="_Toc22793"/>
      <w:bookmarkStart w:id="145" w:name="_Toc10440"/>
      <w:bookmarkStart w:id="146" w:name="_Toc31617"/>
      <w:r>
        <w:rPr>
          <w:rFonts w:hint="eastAsia" w:ascii="宋体" w:hAnsi="宋体" w:cs="Times New Roman"/>
          <w:b/>
          <w:snapToGrid w:val="0"/>
          <w:color w:val="000000"/>
          <w:sz w:val="24"/>
          <w:szCs w:val="24"/>
          <w:lang w:val="zh-CN" w:eastAsia="zh-CN" w:bidi="zh-CN"/>
        </w:rPr>
        <w:t>8.</w:t>
      </w:r>
      <w:r>
        <w:rPr>
          <w:rFonts w:hint="eastAsia"/>
          <w:b/>
          <w:snapToGrid w:val="0"/>
          <w:color w:val="000000"/>
          <w:sz w:val="24"/>
          <w:szCs w:val="24"/>
        </w:rPr>
        <w:t>语言及计量单位</w:t>
      </w:r>
      <w:bookmarkEnd w:id="144"/>
      <w:bookmarkEnd w:id="145"/>
      <w:bookmarkEnd w:id="146"/>
    </w:p>
    <w:p w14:paraId="0B59AD2A">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 xml:space="preserve">8.1 </w:t>
      </w:r>
      <w:r>
        <w:rPr>
          <w:rFonts w:hint="eastAsia"/>
          <w:snapToGrid w:val="0"/>
          <w:color w:val="000000"/>
          <w:sz w:val="24"/>
          <w:szCs w:val="24"/>
          <w:lang w:eastAsia="zh-CN"/>
        </w:rPr>
        <w:t>响应人</w:t>
      </w:r>
      <w:r>
        <w:rPr>
          <w:rFonts w:hint="eastAsia"/>
          <w:snapToGrid w:val="0"/>
          <w:color w:val="000000"/>
          <w:sz w:val="24"/>
          <w:szCs w:val="24"/>
        </w:rPr>
        <w:t>递交的响应文件以及</w:t>
      </w:r>
      <w:r>
        <w:rPr>
          <w:rFonts w:hint="eastAsia"/>
          <w:snapToGrid w:val="0"/>
          <w:color w:val="000000"/>
          <w:sz w:val="24"/>
          <w:szCs w:val="24"/>
          <w:lang w:eastAsia="zh-CN"/>
        </w:rPr>
        <w:t>响应人</w:t>
      </w:r>
      <w:r>
        <w:rPr>
          <w:rFonts w:hint="eastAsia"/>
          <w:snapToGrid w:val="0"/>
          <w:color w:val="000000"/>
          <w:sz w:val="24"/>
          <w:szCs w:val="24"/>
        </w:rPr>
        <w:t>与采购代理机构就有关投标的所有来往函电均应使用中文书写。</w:t>
      </w:r>
    </w:p>
    <w:p w14:paraId="219C8415">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8.2 除在竞争性磋商文件的技术规范中另有规定外，计量单位应使用中华人民共和国法</w:t>
      </w:r>
      <w:bookmarkStart w:id="147" w:name="page11"/>
      <w:bookmarkEnd w:id="147"/>
      <w:r>
        <w:rPr>
          <w:rFonts w:hint="eastAsia"/>
          <w:snapToGrid w:val="0"/>
          <w:color w:val="000000"/>
          <w:sz w:val="24"/>
          <w:szCs w:val="24"/>
        </w:rPr>
        <w:t>定计量单位。</w:t>
      </w:r>
    </w:p>
    <w:p w14:paraId="5FE55308">
      <w:pPr>
        <w:tabs>
          <w:tab w:val="left" w:pos="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148" w:name="_Toc8488"/>
      <w:bookmarkStart w:id="149" w:name="_Toc1012"/>
      <w:bookmarkStart w:id="150" w:name="_Toc11311"/>
      <w:r>
        <w:rPr>
          <w:rFonts w:hint="eastAsia"/>
          <w:b/>
          <w:snapToGrid w:val="0"/>
          <w:color w:val="000000"/>
          <w:sz w:val="24"/>
          <w:szCs w:val="24"/>
        </w:rPr>
        <w:t>9.响应文件的组成</w:t>
      </w:r>
      <w:bookmarkEnd w:id="148"/>
      <w:bookmarkEnd w:id="149"/>
      <w:bookmarkEnd w:id="150"/>
    </w:p>
    <w:p w14:paraId="2FAF5E7F">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详见响应文件格式。</w:t>
      </w:r>
    </w:p>
    <w:p w14:paraId="60269C72">
      <w:pPr>
        <w:tabs>
          <w:tab w:val="left" w:pos="567"/>
        </w:tabs>
        <w:overflowPunct w:val="0"/>
        <w:topLinePunct/>
        <w:adjustRightInd w:val="0"/>
        <w:snapToGrid w:val="0"/>
        <w:spacing w:line="360" w:lineRule="auto"/>
        <w:ind w:firstLine="482" w:firstLineChars="200"/>
        <w:outlineLvl w:val="9"/>
        <w:rPr>
          <w:rFonts w:hint="eastAsia"/>
          <w:b/>
          <w:bCs/>
          <w:snapToGrid w:val="0"/>
          <w:color w:val="000000"/>
          <w:sz w:val="24"/>
          <w:szCs w:val="24"/>
        </w:rPr>
      </w:pPr>
      <w:bookmarkStart w:id="151" w:name="_Toc24346"/>
      <w:bookmarkStart w:id="152" w:name="_Toc28056"/>
      <w:bookmarkStart w:id="153" w:name="_Toc29011"/>
      <w:r>
        <w:rPr>
          <w:rFonts w:hint="eastAsia"/>
          <w:b/>
          <w:bCs/>
          <w:snapToGrid w:val="0"/>
          <w:color w:val="000000"/>
          <w:sz w:val="24"/>
          <w:szCs w:val="24"/>
        </w:rPr>
        <w:t>10.磋商有效期</w:t>
      </w:r>
      <w:bookmarkEnd w:id="151"/>
      <w:bookmarkEnd w:id="152"/>
      <w:bookmarkEnd w:id="153"/>
    </w:p>
    <w:p w14:paraId="45E972F2">
      <w:pPr>
        <w:overflowPunct w:val="0"/>
        <w:topLinePunct/>
        <w:adjustRightInd w:val="0"/>
        <w:snapToGrid w:val="0"/>
        <w:spacing w:line="360" w:lineRule="auto"/>
        <w:ind w:firstLine="480" w:firstLineChars="200"/>
        <w:outlineLvl w:val="9"/>
        <w:rPr>
          <w:rFonts w:hint="eastAsia"/>
          <w:bCs/>
          <w:snapToGrid w:val="0"/>
          <w:color w:val="000000"/>
          <w:sz w:val="24"/>
          <w:szCs w:val="24"/>
        </w:rPr>
      </w:pPr>
      <w:r>
        <w:rPr>
          <w:rFonts w:hint="eastAsia"/>
          <w:bCs/>
          <w:snapToGrid w:val="0"/>
          <w:color w:val="000000"/>
          <w:sz w:val="24"/>
          <w:szCs w:val="24"/>
        </w:rPr>
        <w:t>10.1响应文件应自</w:t>
      </w:r>
      <w:r>
        <w:rPr>
          <w:rFonts w:hint="eastAsia"/>
          <w:bCs/>
          <w:snapToGrid w:val="0"/>
          <w:color w:val="000000"/>
          <w:sz w:val="24"/>
          <w:szCs w:val="24"/>
          <w:lang w:eastAsia="zh-CN"/>
        </w:rPr>
        <w:t>响应人</w:t>
      </w:r>
      <w:r>
        <w:rPr>
          <w:rFonts w:hint="eastAsia"/>
          <w:bCs/>
          <w:snapToGrid w:val="0"/>
          <w:color w:val="000000"/>
          <w:sz w:val="24"/>
          <w:szCs w:val="24"/>
        </w:rPr>
        <w:t>须知前附表中规定的提交响应文件的截止之日起，并在</w:t>
      </w:r>
      <w:r>
        <w:rPr>
          <w:rFonts w:hint="eastAsia"/>
          <w:bCs/>
          <w:snapToGrid w:val="0"/>
          <w:color w:val="000000"/>
          <w:sz w:val="24"/>
          <w:szCs w:val="24"/>
          <w:lang w:eastAsia="zh-CN"/>
        </w:rPr>
        <w:t>响应人</w:t>
      </w:r>
      <w:r>
        <w:rPr>
          <w:rFonts w:hint="eastAsia"/>
          <w:bCs/>
          <w:snapToGrid w:val="0"/>
          <w:color w:val="000000"/>
          <w:sz w:val="24"/>
          <w:szCs w:val="24"/>
        </w:rPr>
        <w:t xml:space="preserve">须知前附表中所述期限内保持有效。磋商有效期不足的响应文件将被视为非实质性响应，其响应将被拒绝。 </w:t>
      </w:r>
    </w:p>
    <w:p w14:paraId="79737EB5">
      <w:pPr>
        <w:overflowPunct w:val="0"/>
        <w:topLinePunct/>
        <w:adjustRightInd w:val="0"/>
        <w:snapToGrid w:val="0"/>
        <w:spacing w:line="360" w:lineRule="auto"/>
        <w:ind w:firstLine="480" w:firstLineChars="200"/>
        <w:outlineLvl w:val="9"/>
        <w:rPr>
          <w:rFonts w:hint="eastAsia"/>
          <w:bCs/>
          <w:snapToGrid w:val="0"/>
          <w:color w:val="000000"/>
          <w:sz w:val="24"/>
          <w:szCs w:val="24"/>
        </w:rPr>
      </w:pPr>
      <w:r>
        <w:rPr>
          <w:rFonts w:hint="eastAsia"/>
          <w:bCs/>
          <w:snapToGrid w:val="0"/>
          <w:color w:val="000000"/>
          <w:sz w:val="24"/>
          <w:szCs w:val="24"/>
        </w:rPr>
        <w:t>10.2特殊情况下，在原磋商有效期截止之前，采购人可要求</w:t>
      </w:r>
      <w:r>
        <w:rPr>
          <w:rFonts w:hint="eastAsia"/>
          <w:bCs/>
          <w:snapToGrid w:val="0"/>
          <w:color w:val="000000"/>
          <w:sz w:val="24"/>
          <w:szCs w:val="24"/>
          <w:lang w:eastAsia="zh-CN"/>
        </w:rPr>
        <w:t>响应人</w:t>
      </w:r>
      <w:r>
        <w:rPr>
          <w:rFonts w:hint="eastAsia"/>
          <w:bCs/>
          <w:snapToGrid w:val="0"/>
          <w:color w:val="000000"/>
          <w:sz w:val="24"/>
          <w:szCs w:val="24"/>
        </w:rPr>
        <w:t>延长磋商有效期。这种要求与答复均应以书面形式提交。</w:t>
      </w:r>
      <w:r>
        <w:rPr>
          <w:rFonts w:hint="eastAsia"/>
          <w:bCs/>
          <w:snapToGrid w:val="0"/>
          <w:color w:val="000000"/>
          <w:sz w:val="24"/>
          <w:szCs w:val="24"/>
          <w:lang w:eastAsia="zh-CN"/>
        </w:rPr>
        <w:t>响应人</w:t>
      </w:r>
      <w:r>
        <w:rPr>
          <w:rFonts w:hint="eastAsia"/>
          <w:bCs/>
          <w:snapToGrid w:val="0"/>
          <w:color w:val="000000"/>
          <w:sz w:val="24"/>
          <w:szCs w:val="24"/>
        </w:rPr>
        <w:t>可以拒绝采购人的这种要求，但其响应文件在原磋商有效期期满后将不再有效。同意延长磋商有效期的</w:t>
      </w:r>
      <w:r>
        <w:rPr>
          <w:rFonts w:hint="eastAsia"/>
          <w:bCs/>
          <w:snapToGrid w:val="0"/>
          <w:color w:val="000000"/>
          <w:sz w:val="24"/>
          <w:szCs w:val="24"/>
          <w:lang w:eastAsia="zh-CN"/>
        </w:rPr>
        <w:t>响应人</w:t>
      </w:r>
      <w:r>
        <w:rPr>
          <w:rFonts w:hint="eastAsia"/>
          <w:bCs/>
          <w:snapToGrid w:val="0"/>
          <w:color w:val="000000"/>
          <w:sz w:val="24"/>
          <w:szCs w:val="24"/>
        </w:rPr>
        <w:t>将不会被要求和允许修正其磋商响应。</w:t>
      </w:r>
    </w:p>
    <w:p w14:paraId="31D6DFFB">
      <w:pPr>
        <w:spacing w:line="360" w:lineRule="auto"/>
        <w:jc w:val="center"/>
        <w:outlineLvl w:val="1"/>
        <w:rPr>
          <w:rFonts w:hint="eastAsia"/>
          <w:b/>
          <w:bCs/>
          <w:snapToGrid w:val="0"/>
          <w:color w:val="000000"/>
          <w:sz w:val="24"/>
          <w:szCs w:val="24"/>
        </w:rPr>
      </w:pPr>
      <w:bookmarkStart w:id="154" w:name="_Toc175644019"/>
      <w:bookmarkStart w:id="155" w:name="_Toc28415"/>
      <w:bookmarkStart w:id="156" w:name="_Toc32716"/>
      <w:bookmarkStart w:id="157" w:name="_Toc3053"/>
      <w:bookmarkStart w:id="158" w:name="_Toc25180"/>
      <w:bookmarkStart w:id="159" w:name="_Toc5816"/>
      <w:bookmarkStart w:id="160" w:name="_Toc23842"/>
      <w:bookmarkStart w:id="161" w:name="_Toc22005"/>
      <w:bookmarkStart w:id="162" w:name="_Toc510994109"/>
      <w:bookmarkStart w:id="163" w:name="_Toc25760"/>
      <w:bookmarkStart w:id="164" w:name="_Toc8971"/>
      <w:r>
        <w:rPr>
          <w:rFonts w:hint="eastAsia"/>
          <w:b/>
          <w:bCs/>
          <w:snapToGrid w:val="0"/>
          <w:color w:val="000000"/>
          <w:sz w:val="24"/>
          <w:szCs w:val="24"/>
        </w:rPr>
        <w:t>四、响应文件的递交</w:t>
      </w:r>
      <w:bookmarkEnd w:id="154"/>
      <w:bookmarkEnd w:id="155"/>
      <w:bookmarkEnd w:id="156"/>
      <w:bookmarkEnd w:id="157"/>
      <w:bookmarkEnd w:id="158"/>
      <w:bookmarkEnd w:id="159"/>
      <w:bookmarkEnd w:id="160"/>
      <w:bookmarkEnd w:id="161"/>
      <w:bookmarkEnd w:id="162"/>
      <w:bookmarkEnd w:id="163"/>
      <w:bookmarkEnd w:id="164"/>
    </w:p>
    <w:p w14:paraId="790909E2">
      <w:pPr>
        <w:tabs>
          <w:tab w:val="left" w:pos="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165" w:name="_Toc10681"/>
      <w:bookmarkStart w:id="166" w:name="_Toc16295"/>
      <w:bookmarkStart w:id="167" w:name="_Toc10435"/>
      <w:r>
        <w:rPr>
          <w:rFonts w:hint="eastAsia"/>
          <w:b/>
          <w:snapToGrid w:val="0"/>
          <w:color w:val="000000"/>
          <w:sz w:val="24"/>
          <w:szCs w:val="24"/>
        </w:rPr>
        <w:t>11.响应文件的递交</w:t>
      </w:r>
      <w:bookmarkEnd w:id="165"/>
      <w:bookmarkEnd w:id="166"/>
      <w:bookmarkEnd w:id="167"/>
    </w:p>
    <w:p w14:paraId="5ABB225F">
      <w:pPr>
        <w:tabs>
          <w:tab w:val="left" w:pos="0"/>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 xml:space="preserve">11.1 </w:t>
      </w:r>
      <w:r>
        <w:rPr>
          <w:rFonts w:hint="eastAsia"/>
          <w:snapToGrid w:val="0"/>
          <w:color w:val="000000"/>
          <w:sz w:val="24"/>
          <w:szCs w:val="24"/>
          <w:lang w:eastAsia="zh-CN"/>
        </w:rPr>
        <w:t>响应人</w:t>
      </w:r>
      <w:r>
        <w:rPr>
          <w:rFonts w:hint="eastAsia"/>
          <w:snapToGrid w:val="0"/>
          <w:color w:val="000000"/>
          <w:sz w:val="24"/>
          <w:szCs w:val="24"/>
        </w:rPr>
        <w:t>须在响应文件递交截止时间前制作并提交加密电子响应文件。加密的电子响应文件,应在响应文件递交截止时间前通过三门峡市公共资源交易中心（投标方）电子交易平台上传，</w:t>
      </w:r>
      <w:r>
        <w:rPr>
          <w:rFonts w:hint="eastAsia"/>
          <w:snapToGrid w:val="0"/>
          <w:color w:val="000000"/>
          <w:sz w:val="24"/>
          <w:szCs w:val="24"/>
          <w:lang w:eastAsia="zh-CN"/>
        </w:rPr>
        <w:t>响应人</w:t>
      </w:r>
      <w:r>
        <w:rPr>
          <w:rFonts w:hint="eastAsia"/>
          <w:snapToGrid w:val="0"/>
          <w:color w:val="000000"/>
          <w:sz w:val="24"/>
          <w:szCs w:val="24"/>
        </w:rPr>
        <w:t>应在上传时认真检查上传响应文件是否完整、正确。</w:t>
      </w:r>
    </w:p>
    <w:p w14:paraId="2F5AA2FD">
      <w:pPr>
        <w:tabs>
          <w:tab w:val="left" w:pos="0"/>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11.2 提交响应文件截止时间后，电子响应文件将无法通过网上投标系统进行上传，采购代理机构将无法接受</w:t>
      </w:r>
      <w:r>
        <w:rPr>
          <w:rFonts w:hint="eastAsia"/>
          <w:snapToGrid w:val="0"/>
          <w:color w:val="000000"/>
          <w:sz w:val="24"/>
          <w:szCs w:val="24"/>
          <w:lang w:eastAsia="zh-CN"/>
        </w:rPr>
        <w:t>响应人</w:t>
      </w:r>
      <w:r>
        <w:rPr>
          <w:rFonts w:hint="eastAsia"/>
          <w:snapToGrid w:val="0"/>
          <w:color w:val="000000"/>
          <w:sz w:val="24"/>
          <w:szCs w:val="24"/>
        </w:rPr>
        <w:t>提交响应文件。</w:t>
      </w:r>
    </w:p>
    <w:p w14:paraId="2963D2D8">
      <w:pPr>
        <w:tabs>
          <w:tab w:val="left" w:pos="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168" w:name="_Toc24092"/>
      <w:bookmarkStart w:id="169" w:name="_Toc6040"/>
      <w:bookmarkStart w:id="170" w:name="_Toc30452"/>
      <w:r>
        <w:rPr>
          <w:rFonts w:hint="eastAsia"/>
          <w:b/>
          <w:snapToGrid w:val="0"/>
          <w:color w:val="000000"/>
          <w:sz w:val="24"/>
          <w:szCs w:val="24"/>
        </w:rPr>
        <w:t>12.递交响应文件的截止日期和地点</w:t>
      </w:r>
      <w:bookmarkEnd w:id="168"/>
      <w:bookmarkEnd w:id="169"/>
      <w:bookmarkEnd w:id="170"/>
    </w:p>
    <w:p w14:paraId="6C5C96E3">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12.1所有响应文件都必须按采购代理机构在竞争性磋商公告中规定的投标截止时间之前上传至投标系统。</w:t>
      </w:r>
    </w:p>
    <w:p w14:paraId="2A55A09E">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12.2据网上电子交易系统设定，响应文件提交截止时间后，系统将自动锁定已经提交的电子响应文件，拒绝再次提交。</w:t>
      </w:r>
      <w:r>
        <w:rPr>
          <w:rFonts w:hint="eastAsia"/>
          <w:snapToGrid w:val="0"/>
          <w:color w:val="000000"/>
          <w:sz w:val="24"/>
          <w:szCs w:val="24"/>
          <w:lang w:eastAsia="zh-CN"/>
        </w:rPr>
        <w:t>响应人</w:t>
      </w:r>
      <w:r>
        <w:rPr>
          <w:rFonts w:hint="eastAsia"/>
          <w:snapToGrid w:val="0"/>
          <w:color w:val="000000"/>
          <w:sz w:val="24"/>
          <w:szCs w:val="24"/>
        </w:rPr>
        <w:t>将无法通过网上电子交易系统进行上传，采购代理机构将无法接受并拒绝接受投标截止时间以后提交的响应文件。</w:t>
      </w:r>
    </w:p>
    <w:p w14:paraId="3BA5DD17">
      <w:pPr>
        <w:tabs>
          <w:tab w:val="left" w:pos="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171" w:name="_Toc31075"/>
      <w:bookmarkStart w:id="172" w:name="_Toc21463"/>
      <w:bookmarkStart w:id="173" w:name="_Toc13455"/>
      <w:r>
        <w:rPr>
          <w:rFonts w:hint="eastAsia"/>
          <w:b/>
          <w:snapToGrid w:val="0"/>
          <w:color w:val="000000"/>
          <w:sz w:val="24"/>
          <w:szCs w:val="24"/>
        </w:rPr>
        <w:t>13.响应文件的补充、修改和撤回</w:t>
      </w:r>
      <w:bookmarkEnd w:id="171"/>
      <w:bookmarkEnd w:id="172"/>
      <w:bookmarkEnd w:id="173"/>
    </w:p>
    <w:p w14:paraId="780D1A9B">
      <w:pPr>
        <w:tabs>
          <w:tab w:val="left" w:pos="1086"/>
        </w:tabs>
        <w:spacing w:line="360" w:lineRule="auto"/>
        <w:ind w:right="240" w:firstLine="480" w:firstLineChars="200"/>
        <w:outlineLvl w:val="9"/>
        <w:rPr>
          <w:rFonts w:hint="eastAsia"/>
          <w:color w:val="000000"/>
          <w:sz w:val="24"/>
          <w:szCs w:val="24"/>
        </w:rPr>
      </w:pPr>
      <w:r>
        <w:rPr>
          <w:rFonts w:hint="eastAsia"/>
          <w:color w:val="000000"/>
          <w:sz w:val="24"/>
          <w:szCs w:val="24"/>
        </w:rPr>
        <w:t>13.1</w:t>
      </w:r>
      <w:r>
        <w:rPr>
          <w:rFonts w:hint="eastAsia"/>
          <w:color w:val="000000"/>
          <w:sz w:val="24"/>
          <w:szCs w:val="24"/>
          <w:lang w:eastAsia="zh-CN"/>
        </w:rPr>
        <w:t>响应人</w:t>
      </w:r>
      <w:r>
        <w:rPr>
          <w:rFonts w:hint="eastAsia"/>
          <w:color w:val="000000"/>
          <w:sz w:val="24"/>
          <w:szCs w:val="24"/>
        </w:rPr>
        <w:t>于提交响应文件截止时间前如对响应文件进行补充、修改，可以上传新的响应文件进行覆盖。</w:t>
      </w:r>
    </w:p>
    <w:p w14:paraId="030EB32E">
      <w:pPr>
        <w:tabs>
          <w:tab w:val="left" w:pos="1086"/>
        </w:tabs>
        <w:spacing w:line="360" w:lineRule="auto"/>
        <w:ind w:right="240" w:firstLine="480" w:firstLineChars="200"/>
        <w:outlineLvl w:val="9"/>
        <w:rPr>
          <w:rFonts w:hint="eastAsia"/>
          <w:color w:val="000000"/>
          <w:sz w:val="24"/>
          <w:szCs w:val="24"/>
        </w:rPr>
      </w:pPr>
      <w:r>
        <w:rPr>
          <w:rFonts w:hint="eastAsia"/>
          <w:color w:val="000000"/>
          <w:sz w:val="24"/>
          <w:szCs w:val="24"/>
        </w:rPr>
        <w:t>13.1.2</w:t>
      </w:r>
      <w:r>
        <w:rPr>
          <w:rFonts w:hint="eastAsia"/>
          <w:color w:val="000000"/>
          <w:sz w:val="24"/>
          <w:szCs w:val="24"/>
          <w:lang w:eastAsia="zh-CN"/>
        </w:rPr>
        <w:t>响应人</w:t>
      </w:r>
      <w:r>
        <w:rPr>
          <w:rFonts w:hint="eastAsia"/>
          <w:color w:val="000000"/>
          <w:sz w:val="24"/>
          <w:szCs w:val="24"/>
        </w:rPr>
        <w:t>在响应文件提交截止时间后不得自行修改或撤回其投标，否则其需承担相应的法律责任。</w:t>
      </w:r>
    </w:p>
    <w:p w14:paraId="0958E8AB">
      <w:pPr>
        <w:spacing w:line="360" w:lineRule="auto"/>
        <w:jc w:val="center"/>
        <w:outlineLvl w:val="1"/>
        <w:rPr>
          <w:rFonts w:hint="eastAsia"/>
          <w:b/>
          <w:bCs/>
          <w:snapToGrid w:val="0"/>
          <w:color w:val="000000"/>
          <w:sz w:val="24"/>
          <w:szCs w:val="24"/>
        </w:rPr>
      </w:pPr>
      <w:bookmarkStart w:id="174" w:name="_Toc175644020"/>
      <w:bookmarkStart w:id="175" w:name="_Toc29898"/>
      <w:bookmarkStart w:id="176" w:name="_Toc16095"/>
      <w:bookmarkStart w:id="177" w:name="_Toc11695"/>
      <w:bookmarkStart w:id="178" w:name="_Toc3172"/>
      <w:bookmarkStart w:id="179" w:name="_Toc8235"/>
      <w:bookmarkStart w:id="180" w:name="_Toc951"/>
      <w:bookmarkStart w:id="181" w:name="_Toc510994110"/>
      <w:bookmarkStart w:id="182" w:name="_Toc2480"/>
      <w:bookmarkStart w:id="183" w:name="_Toc30105"/>
      <w:bookmarkStart w:id="184" w:name="_Toc3097"/>
      <w:r>
        <w:rPr>
          <w:rFonts w:hint="eastAsia"/>
          <w:b/>
          <w:bCs/>
          <w:snapToGrid w:val="0"/>
          <w:color w:val="000000"/>
          <w:sz w:val="24"/>
          <w:szCs w:val="24"/>
        </w:rPr>
        <w:t>五、</w:t>
      </w:r>
      <w:bookmarkEnd w:id="174"/>
      <w:r>
        <w:rPr>
          <w:rFonts w:hint="eastAsia"/>
          <w:b/>
          <w:bCs/>
          <w:snapToGrid w:val="0"/>
          <w:color w:val="000000"/>
          <w:sz w:val="24"/>
          <w:szCs w:val="24"/>
        </w:rPr>
        <w:t>磋商开启仪式</w:t>
      </w:r>
      <w:bookmarkEnd w:id="175"/>
      <w:bookmarkEnd w:id="176"/>
      <w:bookmarkEnd w:id="177"/>
      <w:bookmarkEnd w:id="178"/>
      <w:bookmarkEnd w:id="179"/>
      <w:bookmarkEnd w:id="180"/>
      <w:bookmarkEnd w:id="181"/>
      <w:bookmarkEnd w:id="182"/>
      <w:bookmarkEnd w:id="183"/>
      <w:bookmarkEnd w:id="184"/>
    </w:p>
    <w:p w14:paraId="439CF067">
      <w:pPr>
        <w:adjustRightInd w:val="0"/>
        <w:snapToGrid w:val="0"/>
        <w:spacing w:before="156" w:beforeLines="50" w:line="360" w:lineRule="auto"/>
        <w:ind w:firstLine="539"/>
        <w:outlineLvl w:val="9"/>
        <w:rPr>
          <w:rFonts w:hint="eastAsia"/>
          <w:b/>
          <w:color w:val="000000"/>
          <w:sz w:val="24"/>
          <w:szCs w:val="24"/>
        </w:rPr>
      </w:pPr>
      <w:bookmarkStart w:id="185" w:name="_Toc16402"/>
      <w:bookmarkStart w:id="186" w:name="_Toc8064"/>
      <w:bookmarkStart w:id="187" w:name="_Toc511036351"/>
      <w:bookmarkStart w:id="188" w:name="_Toc515882128"/>
      <w:bookmarkStart w:id="189" w:name="_Toc15556"/>
      <w:bookmarkStart w:id="190" w:name="_Toc513045029"/>
      <w:bookmarkStart w:id="191" w:name="_Toc504125554"/>
      <w:bookmarkStart w:id="192" w:name="_Toc175644021"/>
      <w:bookmarkStart w:id="193" w:name="_Toc14432"/>
      <w:bookmarkStart w:id="194" w:name="_Toc510994111"/>
      <w:bookmarkStart w:id="195" w:name="_Toc29428"/>
      <w:bookmarkStart w:id="196" w:name="_Toc30841"/>
      <w:r>
        <w:rPr>
          <w:rFonts w:hint="eastAsia"/>
          <w:b/>
          <w:bCs/>
          <w:color w:val="000000"/>
          <w:sz w:val="24"/>
          <w:szCs w:val="24"/>
        </w:rPr>
        <w:t>14.开标（响应文件的开启）</w:t>
      </w:r>
      <w:bookmarkEnd w:id="185"/>
      <w:bookmarkEnd w:id="186"/>
      <w:bookmarkEnd w:id="187"/>
      <w:bookmarkEnd w:id="188"/>
      <w:bookmarkEnd w:id="189"/>
      <w:bookmarkEnd w:id="190"/>
      <w:bookmarkEnd w:id="191"/>
    </w:p>
    <w:p w14:paraId="1090AD41">
      <w:pPr>
        <w:adjustRightInd w:val="0"/>
        <w:snapToGrid w:val="0"/>
        <w:spacing w:before="156" w:beforeLines="50" w:line="360" w:lineRule="auto"/>
        <w:ind w:firstLine="539"/>
        <w:outlineLvl w:val="9"/>
        <w:rPr>
          <w:rFonts w:hint="eastAsia"/>
          <w:b/>
          <w:color w:val="000000"/>
          <w:sz w:val="24"/>
          <w:szCs w:val="24"/>
        </w:rPr>
      </w:pPr>
      <w:bookmarkStart w:id="197" w:name="_Toc26982"/>
      <w:r>
        <w:rPr>
          <w:rFonts w:hint="eastAsia"/>
          <w:b/>
          <w:color w:val="000000"/>
          <w:sz w:val="24"/>
          <w:szCs w:val="24"/>
        </w:rPr>
        <w:t>14.1 开标时间和地点</w:t>
      </w:r>
      <w:bookmarkEnd w:id="197"/>
    </w:p>
    <w:p w14:paraId="3781FEC8">
      <w:pPr>
        <w:adjustRightInd w:val="0"/>
        <w:snapToGrid w:val="0"/>
        <w:spacing w:before="156" w:beforeLines="50" w:line="360" w:lineRule="auto"/>
        <w:ind w:firstLine="539"/>
        <w:outlineLvl w:val="9"/>
        <w:rPr>
          <w:rFonts w:hint="eastAsia"/>
          <w:color w:val="000000"/>
          <w:sz w:val="24"/>
          <w:szCs w:val="24"/>
        </w:rPr>
      </w:pPr>
      <w:r>
        <w:rPr>
          <w:rFonts w:hint="eastAsia"/>
          <w:color w:val="000000"/>
          <w:sz w:val="24"/>
          <w:szCs w:val="24"/>
        </w:rPr>
        <w:t>14.1.1 采购单位和采购代理机构按磋商公告规定的时间和地点磋商。</w:t>
      </w:r>
    </w:p>
    <w:p w14:paraId="321A2965">
      <w:pPr>
        <w:adjustRightInd w:val="0"/>
        <w:snapToGrid w:val="0"/>
        <w:spacing w:before="156" w:beforeLines="50" w:line="360" w:lineRule="auto"/>
        <w:ind w:firstLine="539"/>
        <w:outlineLvl w:val="9"/>
        <w:rPr>
          <w:rFonts w:hint="eastAsia"/>
          <w:color w:val="000000"/>
          <w:sz w:val="24"/>
          <w:szCs w:val="24"/>
        </w:rPr>
      </w:pPr>
      <w:r>
        <w:rPr>
          <w:rFonts w:hint="eastAsia"/>
          <w:color w:val="000000"/>
          <w:sz w:val="24"/>
          <w:szCs w:val="24"/>
        </w:rPr>
        <w:t>14.1.2</w:t>
      </w:r>
      <w:r>
        <w:rPr>
          <w:rFonts w:hint="eastAsia"/>
          <w:color w:val="000000"/>
          <w:sz w:val="24"/>
          <w:szCs w:val="24"/>
          <w:lang w:eastAsia="zh-CN"/>
        </w:rPr>
        <w:t>响应人</w:t>
      </w:r>
      <w:r>
        <w:rPr>
          <w:rFonts w:hint="eastAsia"/>
          <w:color w:val="000000"/>
          <w:sz w:val="24"/>
          <w:szCs w:val="24"/>
        </w:rPr>
        <w:t>需在开标前打开三门峡市公共资源交易中心网站，凭企业数字证书登录投标用户政府采购系统，并进入本项目相匹配的网上开标室。</w:t>
      </w:r>
    </w:p>
    <w:p w14:paraId="2F8EEA6A">
      <w:pPr>
        <w:adjustRightInd w:val="0"/>
        <w:snapToGrid w:val="0"/>
        <w:spacing w:before="156" w:beforeLines="50" w:line="360" w:lineRule="auto"/>
        <w:ind w:firstLine="539"/>
        <w:outlineLvl w:val="9"/>
        <w:rPr>
          <w:rFonts w:hint="eastAsia"/>
          <w:b/>
          <w:color w:val="000000"/>
          <w:sz w:val="24"/>
          <w:szCs w:val="24"/>
        </w:rPr>
      </w:pPr>
      <w:bookmarkStart w:id="198" w:name="_Toc19263"/>
      <w:r>
        <w:rPr>
          <w:rFonts w:hint="eastAsia"/>
          <w:b/>
          <w:color w:val="000000"/>
          <w:sz w:val="24"/>
          <w:szCs w:val="24"/>
        </w:rPr>
        <w:t>14.2 开标程序</w:t>
      </w:r>
      <w:bookmarkEnd w:id="198"/>
    </w:p>
    <w:p w14:paraId="457C253A">
      <w:pPr>
        <w:adjustRightInd w:val="0"/>
        <w:snapToGrid w:val="0"/>
        <w:spacing w:before="156" w:beforeLines="50" w:line="360" w:lineRule="auto"/>
        <w:ind w:firstLine="539"/>
        <w:outlineLvl w:val="9"/>
        <w:rPr>
          <w:rFonts w:hint="eastAsia"/>
          <w:color w:val="000000"/>
          <w:sz w:val="24"/>
          <w:szCs w:val="24"/>
        </w:rPr>
      </w:pPr>
      <w:r>
        <w:rPr>
          <w:rFonts w:hint="eastAsia"/>
          <w:color w:val="000000"/>
          <w:sz w:val="24"/>
          <w:szCs w:val="24"/>
        </w:rPr>
        <w:t>14.2.1</w:t>
      </w:r>
      <w:r>
        <w:rPr>
          <w:rFonts w:hint="eastAsia"/>
          <w:color w:val="000000"/>
          <w:sz w:val="24"/>
          <w:szCs w:val="24"/>
          <w:lang w:eastAsia="zh-CN"/>
        </w:rPr>
        <w:t>响应人</w:t>
      </w:r>
      <w:r>
        <w:rPr>
          <w:rFonts w:hint="eastAsia"/>
          <w:color w:val="000000"/>
          <w:sz w:val="24"/>
          <w:szCs w:val="24"/>
        </w:rPr>
        <w:t>应在规定时限内完成对本单位的加密响应文件解密。由于</w:t>
      </w:r>
      <w:r>
        <w:rPr>
          <w:rFonts w:hint="eastAsia"/>
          <w:color w:val="000000"/>
          <w:sz w:val="24"/>
          <w:szCs w:val="24"/>
          <w:lang w:eastAsia="zh-CN"/>
        </w:rPr>
        <w:t>响应人</w:t>
      </w:r>
      <w:r>
        <w:rPr>
          <w:rFonts w:hint="eastAsia"/>
          <w:color w:val="000000"/>
          <w:sz w:val="24"/>
          <w:szCs w:val="24"/>
        </w:rPr>
        <w:t>的自身原因，在规定时间内解密不成功的，作为无效处理。解密完成后，</w:t>
      </w:r>
      <w:r>
        <w:rPr>
          <w:rFonts w:hint="eastAsia"/>
          <w:color w:val="000000"/>
          <w:sz w:val="24"/>
          <w:szCs w:val="24"/>
          <w:lang w:eastAsia="zh-CN"/>
        </w:rPr>
        <w:t>响应人</w:t>
      </w:r>
      <w:r>
        <w:rPr>
          <w:rFonts w:hint="eastAsia"/>
          <w:color w:val="000000"/>
          <w:sz w:val="24"/>
          <w:szCs w:val="24"/>
        </w:rPr>
        <w:t>的</w:t>
      </w:r>
      <w:r>
        <w:rPr>
          <w:rFonts w:hint="eastAsia"/>
          <w:color w:val="000000"/>
          <w:sz w:val="24"/>
          <w:szCs w:val="24"/>
          <w:lang w:val="en-US" w:eastAsia="zh-CN"/>
        </w:rPr>
        <w:t>名称</w:t>
      </w:r>
      <w:r>
        <w:rPr>
          <w:rFonts w:hint="eastAsia"/>
          <w:color w:val="000000"/>
          <w:sz w:val="24"/>
          <w:szCs w:val="24"/>
        </w:rPr>
        <w:t>将在系统界面上显示。</w:t>
      </w:r>
    </w:p>
    <w:p w14:paraId="1C2A2B0C">
      <w:pPr>
        <w:adjustRightInd w:val="0"/>
        <w:snapToGrid w:val="0"/>
        <w:spacing w:before="156" w:beforeLines="50" w:line="360" w:lineRule="auto"/>
        <w:ind w:firstLine="539"/>
        <w:outlineLvl w:val="9"/>
        <w:rPr>
          <w:rFonts w:hint="eastAsia"/>
          <w:color w:val="000000"/>
          <w:sz w:val="24"/>
          <w:szCs w:val="24"/>
        </w:rPr>
      </w:pPr>
      <w:r>
        <w:rPr>
          <w:rFonts w:hint="eastAsia"/>
          <w:color w:val="000000"/>
          <w:sz w:val="24"/>
          <w:szCs w:val="24"/>
        </w:rPr>
        <w:t>14.2.2</w:t>
      </w:r>
      <w:r>
        <w:rPr>
          <w:rFonts w:hint="eastAsia"/>
          <w:color w:val="000000"/>
          <w:sz w:val="24"/>
          <w:szCs w:val="24"/>
          <w:lang w:eastAsia="zh-CN"/>
        </w:rPr>
        <w:t>响应人</w:t>
      </w:r>
      <w:r>
        <w:rPr>
          <w:rFonts w:hint="eastAsia"/>
          <w:color w:val="000000"/>
          <w:sz w:val="24"/>
          <w:szCs w:val="24"/>
        </w:rPr>
        <w:t>代表对开标过程和开标记录有疑义，以及认为采购单位、采购代理机构相关工作人员有需要回避的情形的，应在系统中提出询问或者回避申请，否则，视为对开标无异议</w:t>
      </w:r>
    </w:p>
    <w:p w14:paraId="39E3A099">
      <w:pPr>
        <w:adjustRightInd w:val="0"/>
        <w:snapToGrid w:val="0"/>
        <w:spacing w:before="156" w:beforeLines="50" w:line="360" w:lineRule="auto"/>
        <w:ind w:firstLine="539"/>
        <w:outlineLvl w:val="9"/>
        <w:rPr>
          <w:rFonts w:hint="eastAsia"/>
          <w:color w:val="000000"/>
          <w:sz w:val="24"/>
          <w:szCs w:val="24"/>
        </w:rPr>
      </w:pPr>
      <w:r>
        <w:rPr>
          <w:rFonts w:hint="eastAsia"/>
          <w:color w:val="000000"/>
          <w:sz w:val="24"/>
          <w:szCs w:val="24"/>
        </w:rPr>
        <w:t>14.2.3 在开标过程中，有效投标应在三家以上（包括三家）；有效投标不足三家的应予终止（废标）。</w:t>
      </w:r>
    </w:p>
    <w:p w14:paraId="72B32C81">
      <w:pPr>
        <w:spacing w:line="360" w:lineRule="auto"/>
        <w:jc w:val="center"/>
        <w:outlineLvl w:val="1"/>
        <w:rPr>
          <w:rFonts w:hint="eastAsia"/>
          <w:b/>
          <w:bCs/>
          <w:snapToGrid w:val="0"/>
          <w:color w:val="000000"/>
          <w:sz w:val="24"/>
          <w:szCs w:val="24"/>
        </w:rPr>
      </w:pPr>
      <w:bookmarkStart w:id="199" w:name="_Toc1663"/>
      <w:bookmarkStart w:id="200" w:name="_Toc29080"/>
      <w:bookmarkStart w:id="201" w:name="_Toc30490"/>
      <w:bookmarkStart w:id="202" w:name="_Toc31803"/>
      <w:bookmarkStart w:id="203" w:name="_Toc21669"/>
      <w:bookmarkStart w:id="204" w:name="_Toc24936"/>
      <w:bookmarkStart w:id="205" w:name="_Toc5120"/>
      <w:r>
        <w:rPr>
          <w:rFonts w:hint="eastAsia"/>
          <w:b/>
          <w:bCs/>
          <w:snapToGrid w:val="0"/>
          <w:color w:val="000000"/>
          <w:sz w:val="24"/>
          <w:szCs w:val="24"/>
        </w:rPr>
        <w:t>六、评标程序和要求</w:t>
      </w:r>
      <w:bookmarkEnd w:id="192"/>
      <w:bookmarkEnd w:id="193"/>
      <w:bookmarkEnd w:id="194"/>
      <w:bookmarkEnd w:id="195"/>
      <w:bookmarkEnd w:id="196"/>
      <w:bookmarkEnd w:id="199"/>
      <w:bookmarkEnd w:id="200"/>
      <w:bookmarkEnd w:id="201"/>
      <w:bookmarkEnd w:id="202"/>
      <w:bookmarkEnd w:id="203"/>
      <w:bookmarkEnd w:id="204"/>
      <w:bookmarkEnd w:id="205"/>
    </w:p>
    <w:p w14:paraId="342B3177">
      <w:pPr>
        <w:tabs>
          <w:tab w:val="left" w:pos="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206" w:name="_Toc2038"/>
      <w:bookmarkStart w:id="207" w:name="_Toc25943"/>
      <w:bookmarkStart w:id="208" w:name="_Toc11324"/>
      <w:r>
        <w:rPr>
          <w:rFonts w:hint="eastAsia"/>
          <w:b/>
          <w:snapToGrid w:val="0"/>
          <w:color w:val="000000"/>
          <w:sz w:val="24"/>
          <w:szCs w:val="24"/>
        </w:rPr>
        <w:t>15.磋商小组和评审方法</w:t>
      </w:r>
      <w:bookmarkEnd w:id="206"/>
      <w:bookmarkEnd w:id="207"/>
      <w:bookmarkEnd w:id="208"/>
    </w:p>
    <w:p w14:paraId="43D11115">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15.1磋商和评审由采购人依法组建的磋商小组负责。磋商小组的组成详见</w:t>
      </w:r>
      <w:r>
        <w:rPr>
          <w:rFonts w:hint="eastAsia"/>
          <w:snapToGrid w:val="0"/>
          <w:color w:val="000000"/>
          <w:sz w:val="24"/>
          <w:szCs w:val="24"/>
          <w:lang w:eastAsia="zh-CN"/>
        </w:rPr>
        <w:t>响应人</w:t>
      </w:r>
      <w:r>
        <w:rPr>
          <w:rFonts w:hint="eastAsia"/>
          <w:snapToGrid w:val="0"/>
          <w:color w:val="000000"/>
          <w:sz w:val="24"/>
          <w:szCs w:val="24"/>
        </w:rPr>
        <w:t>须知前附表。</w:t>
      </w:r>
    </w:p>
    <w:p w14:paraId="42D82EA4">
      <w:pPr>
        <w:tabs>
          <w:tab w:val="left" w:pos="0"/>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15.2 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snapToGrid w:val="0"/>
          <w:color w:val="000000"/>
          <w:sz w:val="24"/>
          <w:szCs w:val="24"/>
          <w:lang w:eastAsia="zh-CN"/>
        </w:rPr>
        <w:t>响应人</w:t>
      </w:r>
      <w:r>
        <w:rPr>
          <w:rFonts w:hint="eastAsia"/>
          <w:snapToGrid w:val="0"/>
          <w:color w:val="000000"/>
          <w:sz w:val="24"/>
          <w:szCs w:val="24"/>
        </w:rPr>
        <w:t>。磋商文件内容违反国家有关强制性规定的，磋商小组应当停止评审并向采购人或者采购代理机构说明情况。</w:t>
      </w:r>
    </w:p>
    <w:p w14:paraId="2227A181">
      <w:pPr>
        <w:tabs>
          <w:tab w:val="left" w:pos="0"/>
        </w:tabs>
        <w:overflowPunct w:val="0"/>
        <w:topLinePunct/>
        <w:adjustRightInd w:val="0"/>
        <w:snapToGrid w:val="0"/>
        <w:spacing w:line="360" w:lineRule="auto"/>
        <w:ind w:firstLine="360" w:firstLineChars="150"/>
        <w:outlineLvl w:val="9"/>
        <w:rPr>
          <w:rFonts w:hint="eastAsia"/>
          <w:snapToGrid w:val="0"/>
          <w:color w:val="000000"/>
          <w:sz w:val="24"/>
          <w:szCs w:val="24"/>
        </w:rPr>
      </w:pPr>
      <w:r>
        <w:rPr>
          <w:rFonts w:hint="eastAsia"/>
          <w:snapToGrid w:val="0"/>
          <w:color w:val="000000"/>
          <w:sz w:val="24"/>
          <w:szCs w:val="24"/>
        </w:rPr>
        <w:t>15.3 磋商小组将首先按照第四章对响应文件进行初审。对初审合格的响应文件将按照本文件第四章进行磋商和评审。</w:t>
      </w:r>
    </w:p>
    <w:p w14:paraId="203874F8">
      <w:pPr>
        <w:tabs>
          <w:tab w:val="left" w:pos="0"/>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15.4在磋商期间，磋商小组可要求</w:t>
      </w:r>
      <w:r>
        <w:rPr>
          <w:rFonts w:hint="eastAsia"/>
          <w:snapToGrid w:val="0"/>
          <w:color w:val="000000"/>
          <w:sz w:val="24"/>
          <w:szCs w:val="24"/>
          <w:lang w:eastAsia="zh-CN"/>
        </w:rPr>
        <w:t>响应人</w:t>
      </w:r>
      <w:r>
        <w:rPr>
          <w:rFonts w:hint="eastAsia"/>
          <w:snapToGrid w:val="0"/>
          <w:color w:val="000000"/>
          <w:sz w:val="24"/>
          <w:szCs w:val="24"/>
        </w:rPr>
        <w:t>对其响应文件进行澄清，但不得寻求、提供或允许对磋商价格等实质性内容做任何更改。有关澄清的要求和答复均应以书面形式提交。磋商小组不接受</w:t>
      </w:r>
      <w:r>
        <w:rPr>
          <w:rFonts w:hint="eastAsia"/>
          <w:snapToGrid w:val="0"/>
          <w:color w:val="000000"/>
          <w:sz w:val="24"/>
          <w:szCs w:val="24"/>
          <w:lang w:eastAsia="zh-CN"/>
        </w:rPr>
        <w:t>响应人</w:t>
      </w:r>
      <w:r>
        <w:rPr>
          <w:rFonts w:hint="eastAsia"/>
          <w:snapToGrid w:val="0"/>
          <w:color w:val="000000"/>
          <w:sz w:val="24"/>
          <w:szCs w:val="24"/>
        </w:rPr>
        <w:t>主动提出的澄清、说明。</w:t>
      </w:r>
    </w:p>
    <w:p w14:paraId="6BE409AA">
      <w:pPr>
        <w:tabs>
          <w:tab w:val="left" w:pos="0"/>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15.5采购人、采购代理机构不得向磋商小组中的评审专家作倾向性、误导性的解释或者说明。</w:t>
      </w:r>
    </w:p>
    <w:p w14:paraId="2F9489C6">
      <w:pPr>
        <w:tabs>
          <w:tab w:val="left" w:pos="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209" w:name="_Toc4512"/>
      <w:bookmarkStart w:id="210" w:name="_Toc20762"/>
      <w:bookmarkStart w:id="211" w:name="_Toc8833"/>
      <w:r>
        <w:rPr>
          <w:rFonts w:hint="eastAsia"/>
          <w:b/>
          <w:snapToGrid w:val="0"/>
          <w:color w:val="000000"/>
          <w:sz w:val="24"/>
          <w:szCs w:val="24"/>
        </w:rPr>
        <w:t>16.评审程序</w:t>
      </w:r>
      <w:bookmarkEnd w:id="209"/>
      <w:bookmarkEnd w:id="210"/>
      <w:bookmarkEnd w:id="211"/>
    </w:p>
    <w:p w14:paraId="05AB681A">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16.1 响应文件的初审包含资格性检查、符合性检查和形式性审查。</w:t>
      </w:r>
    </w:p>
    <w:p w14:paraId="0A0F1D40">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bookmarkStart w:id="212" w:name="_Toc32610"/>
      <w:r>
        <w:rPr>
          <w:rFonts w:hint="eastAsia"/>
          <w:snapToGrid w:val="0"/>
          <w:color w:val="000000"/>
          <w:sz w:val="24"/>
          <w:szCs w:val="24"/>
        </w:rPr>
        <w:t>16.1.1资格性检查</w:t>
      </w:r>
      <w:bookmarkEnd w:id="212"/>
    </w:p>
    <w:p w14:paraId="6BB6E060">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依据法律法规和磋商文件的规定，对响应文件中的资格证明等进行检查，以确定</w:t>
      </w:r>
      <w:r>
        <w:rPr>
          <w:rFonts w:hint="eastAsia"/>
          <w:snapToGrid w:val="0"/>
          <w:color w:val="000000"/>
          <w:sz w:val="24"/>
          <w:szCs w:val="24"/>
          <w:lang w:eastAsia="zh-CN"/>
        </w:rPr>
        <w:t>响应人</w:t>
      </w:r>
      <w:r>
        <w:rPr>
          <w:rFonts w:hint="eastAsia"/>
          <w:snapToGrid w:val="0"/>
          <w:color w:val="000000"/>
          <w:sz w:val="24"/>
          <w:szCs w:val="24"/>
        </w:rPr>
        <w:t xml:space="preserve">是否具备磋商资格。 </w:t>
      </w:r>
    </w:p>
    <w:p w14:paraId="5C13D898">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bookmarkStart w:id="213" w:name="_Toc7649"/>
      <w:r>
        <w:rPr>
          <w:rFonts w:hint="eastAsia"/>
          <w:snapToGrid w:val="0"/>
          <w:color w:val="000000"/>
          <w:sz w:val="24"/>
          <w:szCs w:val="24"/>
        </w:rPr>
        <w:t>16.1.2符合性检查</w:t>
      </w:r>
      <w:bookmarkEnd w:id="213"/>
    </w:p>
    <w:p w14:paraId="40399F8B">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依据磋商文件的规定，从响应文件的有效性、完整性和对磋商文件的响应程度进行检查，以确定是否对磋商文件的实质性要求作出响应。</w:t>
      </w:r>
    </w:p>
    <w:p w14:paraId="0D76A7C0">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bookmarkStart w:id="214" w:name="_Toc1647"/>
      <w:r>
        <w:rPr>
          <w:rFonts w:hint="eastAsia"/>
          <w:snapToGrid w:val="0"/>
          <w:color w:val="000000"/>
          <w:sz w:val="24"/>
          <w:szCs w:val="24"/>
        </w:rPr>
        <w:t>16.1.3形式性审查</w:t>
      </w:r>
      <w:bookmarkEnd w:id="214"/>
    </w:p>
    <w:p w14:paraId="14DB8574">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依据磋商文件的规定，从响应文件形式的响应程度进行检查，以确定是否对磋商文件的实质性要求作出响应。</w:t>
      </w:r>
    </w:p>
    <w:p w14:paraId="2CFD6198">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16.1.4没有实质性响应磋商文件要求的响应文件将被否决。</w:t>
      </w:r>
      <w:r>
        <w:rPr>
          <w:rFonts w:hint="eastAsia"/>
          <w:snapToGrid w:val="0"/>
          <w:color w:val="000000"/>
          <w:sz w:val="24"/>
          <w:szCs w:val="24"/>
          <w:lang w:eastAsia="zh-CN"/>
        </w:rPr>
        <w:t>响应人</w:t>
      </w:r>
      <w:r>
        <w:rPr>
          <w:rFonts w:hint="eastAsia"/>
          <w:snapToGrid w:val="0"/>
          <w:color w:val="000000"/>
          <w:sz w:val="24"/>
          <w:szCs w:val="24"/>
        </w:rPr>
        <w:t>不得通过修正、补充或撤销不合要求的偏离或保留从而使其响应文件成为实质上响应的磋商文件。有下列情形之一者视为未实质性响应磋商文件，其响应文件将被否决：</w:t>
      </w:r>
    </w:p>
    <w:p w14:paraId="70302B98">
      <w:pPr>
        <w:tabs>
          <w:tab w:val="left" w:pos="567"/>
        </w:tabs>
        <w:overflowPunct w:val="0"/>
        <w:topLinePunct/>
        <w:adjustRightInd w:val="0"/>
        <w:snapToGrid w:val="0"/>
        <w:spacing w:line="360" w:lineRule="auto"/>
        <w:ind w:firstLine="360" w:firstLineChars="150"/>
        <w:outlineLvl w:val="9"/>
        <w:rPr>
          <w:rFonts w:hint="eastAsia"/>
          <w:snapToGrid w:val="0"/>
          <w:color w:val="000000"/>
          <w:sz w:val="24"/>
          <w:szCs w:val="24"/>
        </w:rPr>
      </w:pPr>
      <w:r>
        <w:rPr>
          <w:rFonts w:hint="eastAsia"/>
          <w:snapToGrid w:val="0"/>
          <w:color w:val="000000"/>
          <w:sz w:val="24"/>
          <w:szCs w:val="24"/>
        </w:rPr>
        <w:t xml:space="preserve">（1）未按磋商文件要求提供资料的； </w:t>
      </w:r>
    </w:p>
    <w:p w14:paraId="76E38E0D">
      <w:pPr>
        <w:tabs>
          <w:tab w:val="left" w:pos="567"/>
        </w:tabs>
        <w:overflowPunct w:val="0"/>
        <w:topLinePunct/>
        <w:adjustRightInd w:val="0"/>
        <w:snapToGrid w:val="0"/>
        <w:spacing w:line="360" w:lineRule="auto"/>
        <w:ind w:firstLine="360" w:firstLineChars="150"/>
        <w:outlineLvl w:val="9"/>
        <w:rPr>
          <w:rFonts w:hint="eastAsia"/>
          <w:snapToGrid w:val="0"/>
          <w:color w:val="000000"/>
          <w:sz w:val="24"/>
          <w:szCs w:val="24"/>
        </w:rPr>
      </w:pPr>
      <w:r>
        <w:rPr>
          <w:rFonts w:hint="eastAsia"/>
          <w:snapToGrid w:val="0"/>
          <w:color w:val="000000"/>
          <w:sz w:val="24"/>
          <w:szCs w:val="24"/>
        </w:rPr>
        <w:t>（2）不同</w:t>
      </w:r>
      <w:r>
        <w:rPr>
          <w:rFonts w:hint="eastAsia"/>
          <w:snapToGrid w:val="0"/>
          <w:color w:val="000000"/>
          <w:sz w:val="24"/>
          <w:szCs w:val="24"/>
          <w:lang w:eastAsia="zh-CN"/>
        </w:rPr>
        <w:t>响应人</w:t>
      </w:r>
      <w:r>
        <w:rPr>
          <w:rFonts w:hint="eastAsia"/>
          <w:snapToGrid w:val="0"/>
          <w:color w:val="000000"/>
          <w:sz w:val="24"/>
          <w:szCs w:val="24"/>
        </w:rPr>
        <w:t xml:space="preserve">法定代表人为同一人或者存在控股、管理关系的； </w:t>
      </w:r>
    </w:p>
    <w:p w14:paraId="63979A9A">
      <w:pPr>
        <w:tabs>
          <w:tab w:val="left" w:pos="567"/>
        </w:tabs>
        <w:overflowPunct w:val="0"/>
        <w:topLinePunct/>
        <w:adjustRightInd w:val="0"/>
        <w:snapToGrid w:val="0"/>
        <w:spacing w:line="360" w:lineRule="auto"/>
        <w:ind w:firstLine="360" w:firstLineChars="150"/>
        <w:outlineLvl w:val="9"/>
        <w:rPr>
          <w:rFonts w:hint="eastAsia"/>
          <w:snapToGrid w:val="0"/>
          <w:color w:val="000000"/>
          <w:sz w:val="24"/>
          <w:szCs w:val="24"/>
        </w:rPr>
      </w:pPr>
      <w:r>
        <w:rPr>
          <w:rFonts w:hint="eastAsia"/>
          <w:snapToGrid w:val="0"/>
          <w:color w:val="000000"/>
          <w:sz w:val="24"/>
          <w:szCs w:val="24"/>
        </w:rPr>
        <w:t xml:space="preserve">（3）响应文件未按磋商文件的要求签署的； </w:t>
      </w:r>
    </w:p>
    <w:p w14:paraId="63CDD280">
      <w:pPr>
        <w:tabs>
          <w:tab w:val="left" w:pos="567"/>
        </w:tabs>
        <w:overflowPunct w:val="0"/>
        <w:topLinePunct/>
        <w:adjustRightInd w:val="0"/>
        <w:snapToGrid w:val="0"/>
        <w:spacing w:line="360" w:lineRule="auto"/>
        <w:ind w:firstLine="360" w:firstLineChars="150"/>
        <w:outlineLvl w:val="9"/>
        <w:rPr>
          <w:rFonts w:hint="eastAsia"/>
          <w:snapToGrid w:val="0"/>
          <w:color w:val="000000"/>
          <w:sz w:val="24"/>
          <w:szCs w:val="24"/>
        </w:rPr>
      </w:pPr>
      <w:r>
        <w:rPr>
          <w:rFonts w:hint="eastAsia"/>
          <w:snapToGrid w:val="0"/>
          <w:color w:val="000000"/>
          <w:sz w:val="24"/>
          <w:szCs w:val="24"/>
        </w:rPr>
        <w:t xml:space="preserve">（4）响应联合体没有提交联合体协议或联合体协议不符合要求的； </w:t>
      </w:r>
    </w:p>
    <w:p w14:paraId="4BF14DB3">
      <w:pPr>
        <w:tabs>
          <w:tab w:val="left" w:pos="567"/>
        </w:tabs>
        <w:overflowPunct w:val="0"/>
        <w:topLinePunct/>
        <w:adjustRightInd w:val="0"/>
        <w:snapToGrid w:val="0"/>
        <w:spacing w:line="360" w:lineRule="auto"/>
        <w:ind w:firstLine="360" w:firstLineChars="150"/>
        <w:outlineLvl w:val="9"/>
        <w:rPr>
          <w:rFonts w:hint="eastAsia"/>
          <w:snapToGrid w:val="0"/>
          <w:color w:val="000000"/>
          <w:sz w:val="24"/>
          <w:szCs w:val="24"/>
        </w:rPr>
      </w:pPr>
      <w:r>
        <w:rPr>
          <w:rFonts w:hint="eastAsia"/>
          <w:snapToGrid w:val="0"/>
          <w:color w:val="000000"/>
          <w:sz w:val="24"/>
          <w:szCs w:val="24"/>
        </w:rPr>
        <w:t>（5）</w:t>
      </w:r>
      <w:r>
        <w:rPr>
          <w:rFonts w:hint="eastAsia"/>
          <w:snapToGrid w:val="0"/>
          <w:color w:val="000000"/>
          <w:sz w:val="24"/>
          <w:szCs w:val="24"/>
          <w:lang w:eastAsia="zh-CN"/>
        </w:rPr>
        <w:t>响应人</w:t>
      </w:r>
      <w:r>
        <w:rPr>
          <w:rFonts w:hint="eastAsia"/>
          <w:snapToGrid w:val="0"/>
          <w:color w:val="000000"/>
          <w:sz w:val="24"/>
          <w:szCs w:val="24"/>
        </w:rPr>
        <w:t>的</w:t>
      </w:r>
      <w:r>
        <w:rPr>
          <w:rFonts w:hint="eastAsia"/>
          <w:snapToGrid w:val="0"/>
          <w:color w:val="000000"/>
          <w:sz w:val="24"/>
          <w:szCs w:val="24"/>
          <w:lang w:val="en-US" w:eastAsia="zh-CN"/>
        </w:rPr>
        <w:t>报价</w:t>
      </w:r>
      <w:r>
        <w:rPr>
          <w:rFonts w:hint="eastAsia"/>
          <w:snapToGrid w:val="0"/>
          <w:color w:val="000000"/>
          <w:sz w:val="24"/>
          <w:szCs w:val="24"/>
        </w:rPr>
        <w:t xml:space="preserve">函、资格证明材料未提供，或不符合国家规定或者磋商文件要求的； </w:t>
      </w:r>
    </w:p>
    <w:p w14:paraId="5DC74746">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（6）同一</w:t>
      </w:r>
      <w:r>
        <w:rPr>
          <w:rFonts w:hint="eastAsia"/>
          <w:snapToGrid w:val="0"/>
          <w:color w:val="000000"/>
          <w:sz w:val="24"/>
          <w:szCs w:val="24"/>
          <w:lang w:eastAsia="zh-CN"/>
        </w:rPr>
        <w:t>响应人</w:t>
      </w:r>
      <w:r>
        <w:rPr>
          <w:rFonts w:hint="eastAsia"/>
          <w:snapToGrid w:val="0"/>
          <w:color w:val="000000"/>
          <w:sz w:val="24"/>
          <w:szCs w:val="24"/>
        </w:rPr>
        <w:t xml:space="preserve">提交两个以上不同的方案或者磋商价格的，但磋商文件有要求的除外； </w:t>
      </w:r>
    </w:p>
    <w:p w14:paraId="312836FF">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 xml:space="preserve">（7）磋商价格高于磋商文件设定的控制价的； </w:t>
      </w:r>
    </w:p>
    <w:p w14:paraId="612A835E">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 xml:space="preserve">（8）不接受磋商有效期要求的； </w:t>
      </w:r>
    </w:p>
    <w:p w14:paraId="79933358">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（9）</w:t>
      </w:r>
      <w:r>
        <w:rPr>
          <w:rFonts w:hint="eastAsia"/>
          <w:snapToGrid w:val="0"/>
          <w:color w:val="000000"/>
          <w:sz w:val="24"/>
          <w:szCs w:val="24"/>
          <w:lang w:eastAsia="zh-CN"/>
        </w:rPr>
        <w:t>响应人</w:t>
      </w:r>
      <w:r>
        <w:rPr>
          <w:rFonts w:hint="eastAsia"/>
          <w:snapToGrid w:val="0"/>
          <w:color w:val="000000"/>
          <w:sz w:val="24"/>
          <w:szCs w:val="24"/>
        </w:rPr>
        <w:t xml:space="preserve">有串通磋商、弄虚作假、行贿等违法行为的； </w:t>
      </w:r>
    </w:p>
    <w:p w14:paraId="2111ACEA">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（10）存在磋商文件中规定的否决响应的其他条款的。</w:t>
      </w:r>
    </w:p>
    <w:p w14:paraId="2BAB26FA">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16.2澄清有关问题</w:t>
      </w:r>
    </w:p>
    <w:p w14:paraId="6C4497A0">
      <w:pPr>
        <w:tabs>
          <w:tab w:val="left" w:pos="567"/>
        </w:tabs>
        <w:overflowPunct w:val="0"/>
        <w:topLinePunct/>
        <w:adjustRightInd w:val="0"/>
        <w:snapToGrid w:val="0"/>
        <w:spacing w:line="360" w:lineRule="auto"/>
        <w:ind w:firstLine="482" w:firstLineChars="200"/>
        <w:outlineLvl w:val="9"/>
        <w:rPr>
          <w:rFonts w:hint="eastAsia"/>
          <w:b/>
          <w:bCs/>
          <w:snapToGrid w:val="0"/>
          <w:color w:val="000000"/>
          <w:sz w:val="24"/>
          <w:szCs w:val="24"/>
        </w:rPr>
      </w:pPr>
      <w:r>
        <w:rPr>
          <w:rFonts w:hint="eastAsia"/>
          <w:b/>
          <w:bCs/>
          <w:snapToGrid w:val="0"/>
          <w:color w:val="000000"/>
          <w:sz w:val="24"/>
          <w:szCs w:val="24"/>
        </w:rPr>
        <w:t>响应文件的澄清在采购公告所述网上电子交易系统进行。</w:t>
      </w:r>
    </w:p>
    <w:p w14:paraId="26EA3C75">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评审期间，</w:t>
      </w:r>
      <w:r>
        <w:rPr>
          <w:rFonts w:hint="eastAsia"/>
          <w:snapToGrid w:val="0"/>
          <w:color w:val="000000"/>
          <w:sz w:val="24"/>
          <w:szCs w:val="24"/>
          <w:lang w:eastAsia="zh-CN"/>
        </w:rPr>
        <w:t>响应人</w:t>
      </w:r>
      <w:r>
        <w:rPr>
          <w:rFonts w:hint="eastAsia"/>
          <w:snapToGrid w:val="0"/>
          <w:color w:val="000000"/>
          <w:sz w:val="24"/>
          <w:szCs w:val="24"/>
        </w:rPr>
        <w:t>须时刻关注电子开标室并保持通讯畅通。如因通讯不畅导致</w:t>
      </w:r>
      <w:r>
        <w:rPr>
          <w:rFonts w:hint="eastAsia"/>
          <w:snapToGrid w:val="0"/>
          <w:color w:val="000000"/>
          <w:sz w:val="24"/>
          <w:szCs w:val="24"/>
          <w:lang w:eastAsia="zh-CN"/>
        </w:rPr>
        <w:t>响应人</w:t>
      </w:r>
      <w:r>
        <w:rPr>
          <w:rFonts w:hint="eastAsia"/>
          <w:snapToGrid w:val="0"/>
          <w:color w:val="000000"/>
          <w:sz w:val="24"/>
          <w:szCs w:val="24"/>
        </w:rPr>
        <w:t>无法及时澄清而被认定为无效响应等后果的，由</w:t>
      </w:r>
      <w:r>
        <w:rPr>
          <w:rFonts w:hint="eastAsia"/>
          <w:snapToGrid w:val="0"/>
          <w:color w:val="000000"/>
          <w:sz w:val="24"/>
          <w:szCs w:val="24"/>
          <w:lang w:eastAsia="zh-CN"/>
        </w:rPr>
        <w:t>响应人</w:t>
      </w:r>
      <w:r>
        <w:rPr>
          <w:rFonts w:hint="eastAsia"/>
          <w:snapToGrid w:val="0"/>
          <w:color w:val="000000"/>
          <w:sz w:val="24"/>
          <w:szCs w:val="24"/>
        </w:rPr>
        <w:t>自行承担。</w:t>
      </w:r>
    </w:p>
    <w:p w14:paraId="5BA7117C">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16.2.1为有助于对响应文件进行审查、评估和比较，磋商小组有权个别的向</w:t>
      </w:r>
      <w:r>
        <w:rPr>
          <w:rFonts w:hint="eastAsia"/>
          <w:snapToGrid w:val="0"/>
          <w:color w:val="000000"/>
          <w:sz w:val="24"/>
          <w:szCs w:val="24"/>
          <w:lang w:eastAsia="zh-CN"/>
        </w:rPr>
        <w:t>响应人</w:t>
      </w:r>
      <w:r>
        <w:rPr>
          <w:rFonts w:hint="eastAsia"/>
          <w:snapToGrid w:val="0"/>
          <w:color w:val="000000"/>
          <w:sz w:val="24"/>
          <w:szCs w:val="24"/>
        </w:rPr>
        <w:t>提出质疑，请</w:t>
      </w:r>
      <w:r>
        <w:rPr>
          <w:rFonts w:hint="eastAsia"/>
          <w:snapToGrid w:val="0"/>
          <w:color w:val="000000"/>
          <w:sz w:val="24"/>
          <w:szCs w:val="24"/>
          <w:lang w:eastAsia="zh-CN"/>
        </w:rPr>
        <w:t>响应人</w:t>
      </w:r>
      <w:r>
        <w:rPr>
          <w:rFonts w:hint="eastAsia"/>
          <w:snapToGrid w:val="0"/>
          <w:color w:val="000000"/>
          <w:sz w:val="24"/>
          <w:szCs w:val="24"/>
        </w:rPr>
        <w:t>澄清其投标内容。</w:t>
      </w:r>
    </w:p>
    <w:p w14:paraId="3020EA26">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16.2.2磋商小组可以要求</w:t>
      </w:r>
      <w:r>
        <w:rPr>
          <w:rFonts w:hint="eastAsia"/>
          <w:snapToGrid w:val="0"/>
          <w:color w:val="000000"/>
          <w:sz w:val="24"/>
          <w:szCs w:val="24"/>
          <w:lang w:eastAsia="zh-CN"/>
        </w:rPr>
        <w:t>响应人</w:t>
      </w:r>
      <w:r>
        <w:rPr>
          <w:rFonts w:hint="eastAsia"/>
          <w:snapToGrid w:val="0"/>
          <w:color w:val="000000"/>
          <w:sz w:val="24"/>
          <w:szCs w:val="24"/>
        </w:rPr>
        <w:t>对响应文件中含义不明确、同类问题表述不一致或者有明显文字和计算错误的内容等作出必要的澄清、说明或者更正。</w:t>
      </w:r>
      <w:r>
        <w:rPr>
          <w:rFonts w:hint="eastAsia"/>
          <w:snapToGrid w:val="0"/>
          <w:color w:val="000000"/>
          <w:sz w:val="24"/>
          <w:szCs w:val="24"/>
          <w:lang w:eastAsia="zh-CN"/>
        </w:rPr>
        <w:t>响应人</w:t>
      </w:r>
      <w:r>
        <w:rPr>
          <w:rFonts w:hint="eastAsia"/>
          <w:snapToGrid w:val="0"/>
          <w:color w:val="000000"/>
          <w:sz w:val="24"/>
          <w:szCs w:val="24"/>
        </w:rPr>
        <w:t>的澄清、说明或者更正不得超出响应文件的范围或者改变响应文件的实质性内容。</w:t>
      </w:r>
    </w:p>
    <w:p w14:paraId="1372A5BC">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16.2.3</w:t>
      </w:r>
      <w:r>
        <w:rPr>
          <w:rFonts w:hint="eastAsia"/>
          <w:snapToGrid w:val="0"/>
          <w:color w:val="000000"/>
          <w:sz w:val="24"/>
          <w:szCs w:val="24"/>
          <w:lang w:eastAsia="zh-CN"/>
        </w:rPr>
        <w:t>响应人</w:t>
      </w:r>
      <w:r>
        <w:rPr>
          <w:rFonts w:hint="eastAsia"/>
          <w:snapToGrid w:val="0"/>
          <w:color w:val="000000"/>
          <w:sz w:val="24"/>
          <w:szCs w:val="24"/>
        </w:rPr>
        <w:t>的澄清、说明或者更正应当采用书面形式，应加盖</w:t>
      </w:r>
      <w:r>
        <w:rPr>
          <w:rFonts w:hint="eastAsia"/>
          <w:snapToGrid w:val="0"/>
          <w:color w:val="000000"/>
          <w:sz w:val="24"/>
          <w:szCs w:val="24"/>
          <w:lang w:eastAsia="zh-CN"/>
        </w:rPr>
        <w:t>响应人</w:t>
      </w:r>
      <w:r>
        <w:rPr>
          <w:rFonts w:hint="eastAsia"/>
          <w:snapToGrid w:val="0"/>
          <w:color w:val="000000"/>
          <w:sz w:val="24"/>
          <w:szCs w:val="24"/>
        </w:rPr>
        <w:t>电子签章或其法定代表人电子签名，并将澄清等内容作为附件上传至系统中。</w:t>
      </w:r>
    </w:p>
    <w:p w14:paraId="378CEA8C">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16.2.4</w:t>
      </w:r>
      <w:r>
        <w:rPr>
          <w:rFonts w:hint="eastAsia"/>
          <w:snapToGrid w:val="0"/>
          <w:color w:val="000000"/>
          <w:sz w:val="24"/>
          <w:szCs w:val="24"/>
          <w:lang w:eastAsia="zh-CN"/>
        </w:rPr>
        <w:t>响应人</w:t>
      </w:r>
      <w:r>
        <w:rPr>
          <w:rFonts w:hint="eastAsia"/>
          <w:snapToGrid w:val="0"/>
          <w:color w:val="000000"/>
          <w:sz w:val="24"/>
          <w:szCs w:val="24"/>
        </w:rPr>
        <w:t>的澄清文件是响应文件的组成部分，并取代响应文件中被澄清的部分。</w:t>
      </w:r>
    </w:p>
    <w:p w14:paraId="54A1641D">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bookmarkStart w:id="215" w:name="_Toc5718"/>
      <w:r>
        <w:rPr>
          <w:rFonts w:hint="eastAsia"/>
          <w:snapToGrid w:val="0"/>
          <w:color w:val="000000"/>
          <w:sz w:val="24"/>
          <w:szCs w:val="24"/>
        </w:rPr>
        <w:t>16.2.5澄清文件应按磋商小组规定的时间提交。</w:t>
      </w:r>
      <w:bookmarkEnd w:id="215"/>
    </w:p>
    <w:p w14:paraId="638001CE">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16.3 算术更正</w:t>
      </w:r>
    </w:p>
    <w:p w14:paraId="4D2D04B8">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响应文件的大写金额和小写金额不一致的，以大写金额为准；</w:t>
      </w:r>
      <w:r>
        <w:rPr>
          <w:rFonts w:hint="eastAsia"/>
          <w:snapToGrid w:val="0"/>
          <w:color w:val="000000"/>
          <w:sz w:val="24"/>
          <w:szCs w:val="24"/>
          <w:lang w:val="en-US" w:eastAsia="zh-CN"/>
        </w:rPr>
        <w:t>报价函</w:t>
      </w:r>
      <w:r>
        <w:rPr>
          <w:rFonts w:hint="eastAsia"/>
          <w:snapToGrid w:val="0"/>
          <w:color w:val="000000"/>
          <w:sz w:val="24"/>
          <w:szCs w:val="24"/>
        </w:rPr>
        <w:t>金额与</w:t>
      </w:r>
      <w:r>
        <w:rPr>
          <w:rFonts w:hint="eastAsia"/>
          <w:snapToGrid w:val="0"/>
          <w:color w:val="000000"/>
          <w:sz w:val="24"/>
          <w:szCs w:val="24"/>
          <w:lang w:val="en-US" w:eastAsia="zh-CN"/>
        </w:rPr>
        <w:t>报价一览表</w:t>
      </w:r>
      <w:r>
        <w:rPr>
          <w:rFonts w:hint="eastAsia"/>
          <w:snapToGrid w:val="0"/>
          <w:color w:val="000000"/>
          <w:sz w:val="24"/>
          <w:szCs w:val="24"/>
        </w:rPr>
        <w:t>金额不一致的，以</w:t>
      </w:r>
      <w:r>
        <w:rPr>
          <w:rFonts w:hint="eastAsia"/>
          <w:snapToGrid w:val="0"/>
          <w:color w:val="000000"/>
          <w:sz w:val="24"/>
          <w:szCs w:val="24"/>
          <w:lang w:val="en-US" w:eastAsia="zh-CN"/>
        </w:rPr>
        <w:t>报价一览表</w:t>
      </w:r>
      <w:r>
        <w:rPr>
          <w:rFonts w:hint="eastAsia"/>
          <w:snapToGrid w:val="0"/>
          <w:color w:val="000000"/>
          <w:sz w:val="24"/>
          <w:szCs w:val="24"/>
        </w:rPr>
        <w:t>金额计算结果为准；</w:t>
      </w:r>
      <w:r>
        <w:rPr>
          <w:rFonts w:hint="eastAsia"/>
          <w:snapToGrid w:val="0"/>
          <w:color w:val="000000"/>
          <w:sz w:val="24"/>
          <w:szCs w:val="24"/>
          <w:lang w:val="en-US" w:eastAsia="zh-CN"/>
        </w:rPr>
        <w:t>报价一览表</w:t>
      </w:r>
      <w:r>
        <w:rPr>
          <w:rFonts w:hint="eastAsia"/>
          <w:snapToGrid w:val="0"/>
          <w:color w:val="000000"/>
          <w:sz w:val="24"/>
          <w:szCs w:val="24"/>
        </w:rPr>
        <w:t>金额小数点有明显错位的，应以</w:t>
      </w:r>
      <w:r>
        <w:rPr>
          <w:rFonts w:hint="eastAsia"/>
          <w:snapToGrid w:val="0"/>
          <w:color w:val="000000"/>
          <w:sz w:val="24"/>
          <w:szCs w:val="24"/>
          <w:lang w:val="en-US" w:eastAsia="zh-CN"/>
        </w:rPr>
        <w:t>报价函</w:t>
      </w:r>
      <w:r>
        <w:rPr>
          <w:rFonts w:hint="eastAsia"/>
          <w:snapToGrid w:val="0"/>
          <w:color w:val="000000"/>
          <w:sz w:val="24"/>
          <w:szCs w:val="24"/>
        </w:rPr>
        <w:t>为准，并修</w:t>
      </w:r>
      <w:r>
        <w:rPr>
          <w:rFonts w:hint="eastAsia"/>
          <w:snapToGrid w:val="0"/>
          <w:color w:val="000000"/>
          <w:sz w:val="24"/>
          <w:szCs w:val="24"/>
          <w:lang w:val="en-US" w:eastAsia="zh-CN"/>
        </w:rPr>
        <w:t>正报价一览表</w:t>
      </w:r>
      <w:r>
        <w:rPr>
          <w:rFonts w:hint="eastAsia"/>
          <w:snapToGrid w:val="0"/>
          <w:color w:val="000000"/>
          <w:sz w:val="24"/>
          <w:szCs w:val="24"/>
        </w:rPr>
        <w:t>。如果</w:t>
      </w:r>
      <w:r>
        <w:rPr>
          <w:rFonts w:hint="eastAsia"/>
          <w:snapToGrid w:val="0"/>
          <w:color w:val="000000"/>
          <w:sz w:val="24"/>
          <w:szCs w:val="24"/>
          <w:lang w:eastAsia="zh-CN"/>
        </w:rPr>
        <w:t>响应人</w:t>
      </w:r>
      <w:r>
        <w:rPr>
          <w:rFonts w:hint="eastAsia"/>
          <w:snapToGrid w:val="0"/>
          <w:color w:val="000000"/>
          <w:sz w:val="24"/>
          <w:szCs w:val="24"/>
        </w:rPr>
        <w:t xml:space="preserve">不接受对其算术错误的更正，其响应文件可能被否决。 </w:t>
      </w:r>
    </w:p>
    <w:p w14:paraId="36A0A868">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16.4 对于响应文件中不构成实质性偏差的不正规、不一致或不规则，磋商小组可以接受，但这种接受不能损害或影响任何</w:t>
      </w:r>
      <w:r>
        <w:rPr>
          <w:rFonts w:hint="eastAsia"/>
          <w:snapToGrid w:val="0"/>
          <w:color w:val="000000"/>
          <w:sz w:val="24"/>
          <w:szCs w:val="24"/>
          <w:lang w:eastAsia="zh-CN"/>
        </w:rPr>
        <w:t>响应人</w:t>
      </w:r>
      <w:r>
        <w:rPr>
          <w:rFonts w:hint="eastAsia"/>
          <w:snapToGrid w:val="0"/>
          <w:color w:val="000000"/>
          <w:sz w:val="24"/>
          <w:szCs w:val="24"/>
        </w:rPr>
        <w:t>的相对排序。</w:t>
      </w:r>
    </w:p>
    <w:p w14:paraId="3D244591">
      <w:pPr>
        <w:tabs>
          <w:tab w:val="left" w:pos="737"/>
          <w:tab w:val="left" w:pos="120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216" w:name="_Toc2266"/>
      <w:bookmarkStart w:id="217" w:name="_Toc31339"/>
      <w:bookmarkStart w:id="218" w:name="_Toc31620"/>
      <w:r>
        <w:rPr>
          <w:rFonts w:hint="eastAsia"/>
          <w:b/>
          <w:snapToGrid w:val="0"/>
          <w:color w:val="000000"/>
          <w:sz w:val="24"/>
          <w:szCs w:val="24"/>
        </w:rPr>
        <w:t>17.磋商</w:t>
      </w:r>
      <w:bookmarkEnd w:id="216"/>
      <w:bookmarkEnd w:id="217"/>
      <w:bookmarkEnd w:id="218"/>
    </w:p>
    <w:p w14:paraId="6671CB20">
      <w:pPr>
        <w:tabs>
          <w:tab w:val="left" w:pos="737"/>
          <w:tab w:val="left" w:pos="1200"/>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bCs/>
          <w:snapToGrid w:val="0"/>
          <w:color w:val="000000"/>
          <w:sz w:val="24"/>
          <w:szCs w:val="24"/>
        </w:rPr>
        <w:t>17.1</w:t>
      </w:r>
      <w:r>
        <w:rPr>
          <w:rFonts w:hint="eastAsia"/>
          <w:color w:val="000000"/>
          <w:sz w:val="24"/>
          <w:szCs w:val="24"/>
        </w:rPr>
        <w:t>磋商小组所有成员应当集中与单一</w:t>
      </w:r>
      <w:r>
        <w:rPr>
          <w:rFonts w:hint="eastAsia"/>
          <w:color w:val="000000"/>
          <w:sz w:val="24"/>
          <w:szCs w:val="24"/>
          <w:lang w:eastAsia="zh-CN"/>
        </w:rPr>
        <w:t>响应人</w:t>
      </w:r>
      <w:r>
        <w:rPr>
          <w:rFonts w:hint="eastAsia"/>
          <w:color w:val="000000"/>
          <w:sz w:val="24"/>
          <w:szCs w:val="24"/>
        </w:rPr>
        <w:t>分别进行磋商，并给予所有参加磋商的</w:t>
      </w:r>
      <w:r>
        <w:rPr>
          <w:rFonts w:hint="eastAsia"/>
          <w:color w:val="000000"/>
          <w:sz w:val="24"/>
          <w:szCs w:val="24"/>
          <w:lang w:eastAsia="zh-CN"/>
        </w:rPr>
        <w:t>响应人</w:t>
      </w:r>
      <w:r>
        <w:rPr>
          <w:rFonts w:hint="eastAsia"/>
          <w:color w:val="000000"/>
          <w:sz w:val="24"/>
          <w:szCs w:val="24"/>
        </w:rPr>
        <w:t>平等的磋商机会。</w:t>
      </w:r>
    </w:p>
    <w:p w14:paraId="5AFC0AF7">
      <w:pPr>
        <w:tabs>
          <w:tab w:val="left" w:pos="737"/>
          <w:tab w:val="left" w:pos="1200"/>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rPr>
        <w:t>17.2在磋商过程中，磋商小组可以根据磋商文件和磋商情况实质性变动服务需求中的技术、服务要求以及合同草案条款，但不得变动磋商文件中的其他内容。实质性变动的内容，须经采购人代表确认。</w:t>
      </w:r>
    </w:p>
    <w:p w14:paraId="3ED6E450">
      <w:pPr>
        <w:tabs>
          <w:tab w:val="left" w:pos="737"/>
          <w:tab w:val="left" w:pos="1200"/>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rPr>
        <w:t>对磋商文件作出的实质性变动是磋商文件的有效组成部分，磋商小组应当及时以书面形式同时通知所有参加磋商的</w:t>
      </w:r>
      <w:r>
        <w:rPr>
          <w:rFonts w:hint="eastAsia"/>
          <w:color w:val="000000"/>
          <w:sz w:val="24"/>
          <w:szCs w:val="24"/>
          <w:lang w:eastAsia="zh-CN"/>
        </w:rPr>
        <w:t>响应人</w:t>
      </w:r>
      <w:r>
        <w:rPr>
          <w:rFonts w:hint="eastAsia"/>
          <w:color w:val="000000"/>
          <w:sz w:val="24"/>
          <w:szCs w:val="24"/>
        </w:rPr>
        <w:t>。</w:t>
      </w:r>
    </w:p>
    <w:p w14:paraId="021981E3">
      <w:pPr>
        <w:tabs>
          <w:tab w:val="left" w:pos="737"/>
          <w:tab w:val="left" w:pos="1200"/>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lang w:eastAsia="zh-CN"/>
        </w:rPr>
        <w:t>响应人</w:t>
      </w:r>
      <w:r>
        <w:rPr>
          <w:rFonts w:hint="eastAsia"/>
          <w:color w:val="000000"/>
          <w:sz w:val="24"/>
          <w:szCs w:val="24"/>
        </w:rPr>
        <w:t>应当按照磋商文件的变动情况和磋商小组的要求重新提交响应文件或相应承诺，</w:t>
      </w:r>
      <w:r>
        <w:rPr>
          <w:rFonts w:hint="eastAsia"/>
          <w:snapToGrid w:val="0"/>
          <w:color w:val="000000"/>
          <w:sz w:val="24"/>
          <w:szCs w:val="24"/>
        </w:rPr>
        <w:t>应加盖</w:t>
      </w:r>
      <w:r>
        <w:rPr>
          <w:rFonts w:hint="eastAsia"/>
          <w:snapToGrid w:val="0"/>
          <w:color w:val="000000"/>
          <w:sz w:val="24"/>
          <w:szCs w:val="24"/>
          <w:lang w:eastAsia="zh-CN"/>
        </w:rPr>
        <w:t>响应人</w:t>
      </w:r>
      <w:r>
        <w:rPr>
          <w:rFonts w:hint="eastAsia"/>
          <w:snapToGrid w:val="0"/>
          <w:color w:val="000000"/>
          <w:sz w:val="24"/>
          <w:szCs w:val="24"/>
        </w:rPr>
        <w:t>电子签章或其法定代表人电子签名。</w:t>
      </w:r>
    </w:p>
    <w:p w14:paraId="2A201255">
      <w:pPr>
        <w:tabs>
          <w:tab w:val="left" w:pos="737"/>
          <w:tab w:val="left" w:pos="1200"/>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rPr>
        <w:t>17.3磋商文件能够详细列明采购标的的技术、服务要求的，磋商结束后，磋商小组应当要求所有实质性响应的</w:t>
      </w:r>
      <w:r>
        <w:rPr>
          <w:rFonts w:hint="eastAsia"/>
          <w:color w:val="000000"/>
          <w:sz w:val="24"/>
          <w:szCs w:val="24"/>
          <w:lang w:eastAsia="zh-CN"/>
        </w:rPr>
        <w:t>响应人</w:t>
      </w:r>
      <w:r>
        <w:rPr>
          <w:rFonts w:hint="eastAsia"/>
          <w:color w:val="000000"/>
          <w:sz w:val="24"/>
          <w:szCs w:val="24"/>
        </w:rPr>
        <w:t>在规定时间内提交最后报价</w:t>
      </w:r>
      <w:r>
        <w:rPr>
          <w:rFonts w:hint="eastAsia"/>
          <w:b/>
          <w:bCs/>
          <w:color w:val="000000"/>
          <w:sz w:val="24"/>
          <w:szCs w:val="24"/>
        </w:rPr>
        <w:t>（这里指第二次报价）</w:t>
      </w:r>
      <w:r>
        <w:rPr>
          <w:rFonts w:hint="eastAsia"/>
          <w:color w:val="000000"/>
          <w:sz w:val="24"/>
          <w:szCs w:val="24"/>
        </w:rPr>
        <w:t>。</w:t>
      </w:r>
    </w:p>
    <w:p w14:paraId="23DD21FF">
      <w:pPr>
        <w:tabs>
          <w:tab w:val="left" w:pos="0"/>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rPr>
        <w:t>17.4已提交响应文件的</w:t>
      </w:r>
      <w:r>
        <w:rPr>
          <w:rFonts w:hint="eastAsia"/>
          <w:color w:val="000000"/>
          <w:sz w:val="24"/>
          <w:szCs w:val="24"/>
          <w:lang w:eastAsia="zh-CN"/>
        </w:rPr>
        <w:t>响应人</w:t>
      </w:r>
      <w:r>
        <w:rPr>
          <w:rFonts w:hint="eastAsia"/>
          <w:color w:val="000000"/>
          <w:sz w:val="24"/>
          <w:szCs w:val="24"/>
        </w:rPr>
        <w:t>，在提交最后报价之前，可以根据磋商情况退出磋商。</w:t>
      </w:r>
    </w:p>
    <w:p w14:paraId="4E357F42">
      <w:pPr>
        <w:keepNext/>
        <w:adjustRightInd w:val="0"/>
        <w:snapToGrid w:val="0"/>
        <w:spacing w:line="360" w:lineRule="auto"/>
        <w:ind w:firstLine="482" w:firstLineChars="200"/>
        <w:outlineLvl w:val="9"/>
        <w:rPr>
          <w:rFonts w:hint="eastAsia"/>
          <w:b/>
          <w:snapToGrid w:val="0"/>
          <w:color w:val="000000"/>
          <w:sz w:val="24"/>
          <w:szCs w:val="24"/>
        </w:rPr>
      </w:pPr>
      <w:bookmarkStart w:id="219" w:name="_Toc17035"/>
      <w:bookmarkStart w:id="220" w:name="_Toc13295"/>
      <w:bookmarkStart w:id="221" w:name="_Toc3543"/>
      <w:r>
        <w:rPr>
          <w:rFonts w:hint="eastAsia"/>
          <w:b/>
          <w:snapToGrid w:val="0"/>
          <w:color w:val="000000"/>
          <w:sz w:val="24"/>
          <w:szCs w:val="24"/>
        </w:rPr>
        <w:t>18.评审</w:t>
      </w:r>
      <w:bookmarkEnd w:id="219"/>
      <w:bookmarkEnd w:id="220"/>
      <w:bookmarkEnd w:id="221"/>
    </w:p>
    <w:p w14:paraId="771DB6AC">
      <w:pPr>
        <w:tabs>
          <w:tab w:val="left" w:pos="0"/>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rPr>
        <w:t>经磋商确定最终服务需求和提交最后报价的</w:t>
      </w:r>
      <w:r>
        <w:rPr>
          <w:rFonts w:hint="eastAsia"/>
          <w:color w:val="000000"/>
          <w:sz w:val="24"/>
          <w:szCs w:val="24"/>
          <w:lang w:eastAsia="zh-CN"/>
        </w:rPr>
        <w:t>响应人</w:t>
      </w:r>
      <w:r>
        <w:rPr>
          <w:rFonts w:hint="eastAsia"/>
          <w:color w:val="000000"/>
          <w:sz w:val="24"/>
          <w:szCs w:val="24"/>
        </w:rPr>
        <w:t>后，由磋商小组采用综合评分法对提交最后报价的</w:t>
      </w:r>
      <w:r>
        <w:rPr>
          <w:rFonts w:hint="eastAsia"/>
          <w:color w:val="000000"/>
          <w:sz w:val="24"/>
          <w:szCs w:val="24"/>
          <w:lang w:eastAsia="zh-CN"/>
        </w:rPr>
        <w:t>响应人</w:t>
      </w:r>
      <w:r>
        <w:rPr>
          <w:rFonts w:hint="eastAsia"/>
          <w:color w:val="000000"/>
          <w:sz w:val="24"/>
          <w:szCs w:val="24"/>
        </w:rPr>
        <w:t>的响应文件和最后报价进行综合评分。评分的标准详见第四章评审办法。</w:t>
      </w:r>
    </w:p>
    <w:p w14:paraId="6BA85C47">
      <w:pPr>
        <w:tabs>
          <w:tab w:val="left" w:pos="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222" w:name="_Toc11409"/>
      <w:bookmarkStart w:id="223" w:name="_Toc23531"/>
      <w:bookmarkStart w:id="224" w:name="_Toc24495"/>
      <w:r>
        <w:rPr>
          <w:rFonts w:hint="eastAsia"/>
          <w:b/>
          <w:snapToGrid w:val="0"/>
          <w:color w:val="000000"/>
          <w:sz w:val="24"/>
          <w:szCs w:val="24"/>
        </w:rPr>
        <w:t>19.推荐成交候选</w:t>
      </w:r>
      <w:r>
        <w:rPr>
          <w:rFonts w:hint="eastAsia"/>
          <w:b/>
          <w:snapToGrid w:val="0"/>
          <w:color w:val="000000"/>
          <w:sz w:val="24"/>
          <w:szCs w:val="24"/>
          <w:lang w:eastAsia="zh-CN"/>
        </w:rPr>
        <w:t>人</w:t>
      </w:r>
      <w:r>
        <w:rPr>
          <w:rFonts w:hint="eastAsia"/>
          <w:b/>
          <w:snapToGrid w:val="0"/>
          <w:color w:val="000000"/>
          <w:sz w:val="24"/>
          <w:szCs w:val="24"/>
        </w:rPr>
        <w:t>名单</w:t>
      </w:r>
      <w:bookmarkEnd w:id="222"/>
      <w:bookmarkEnd w:id="223"/>
      <w:bookmarkEnd w:id="224"/>
    </w:p>
    <w:p w14:paraId="5F4FFD59">
      <w:pPr>
        <w:tabs>
          <w:tab w:val="left" w:pos="7655"/>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19.1磋商小组将根据综合评分情况，按照评审得分由高到低顺序推荐得分最高的前三名为成交候选人，并编写评审报告。评审得分相同的，按照最后报价由低到高的顺序推荐。评审得分且最后报价相同的，按照技术标优劣顺序推荐。</w:t>
      </w:r>
    </w:p>
    <w:p w14:paraId="378F494A">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19.2评审报告将由磋商小组全体人员签字认可。磋商小组成员对评审报告有异议的，磋商小组按照少数服从多数的原则推荐</w:t>
      </w:r>
      <w:r>
        <w:rPr>
          <w:rFonts w:hint="eastAsia"/>
          <w:snapToGrid w:val="0"/>
          <w:color w:val="000000"/>
          <w:sz w:val="24"/>
          <w:szCs w:val="24"/>
          <w:lang w:eastAsia="zh-CN"/>
        </w:rPr>
        <w:t>成交候选人</w:t>
      </w:r>
      <w:r>
        <w:rPr>
          <w:rFonts w:hint="eastAsia"/>
          <w:snapToGrid w:val="0"/>
          <w:color w:val="000000"/>
          <w:sz w:val="24"/>
          <w:szCs w:val="24"/>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5D3E6B6">
      <w:pPr>
        <w:tabs>
          <w:tab w:val="left" w:pos="0"/>
        </w:tabs>
        <w:overflowPunct w:val="0"/>
        <w:topLinePunct/>
        <w:adjustRightInd w:val="0"/>
        <w:snapToGrid w:val="0"/>
        <w:spacing w:line="360" w:lineRule="auto"/>
        <w:ind w:firstLine="482" w:firstLineChars="200"/>
        <w:outlineLvl w:val="9"/>
        <w:rPr>
          <w:rFonts w:hint="eastAsia" w:eastAsia="宋体"/>
          <w:b/>
          <w:snapToGrid w:val="0"/>
          <w:color w:val="000000"/>
          <w:sz w:val="24"/>
          <w:szCs w:val="24"/>
          <w:lang w:eastAsia="zh-CN"/>
        </w:rPr>
      </w:pPr>
      <w:bookmarkStart w:id="225" w:name="_Toc18323"/>
      <w:bookmarkStart w:id="226" w:name="_Toc2460"/>
      <w:bookmarkStart w:id="227" w:name="_Toc9322"/>
      <w:r>
        <w:rPr>
          <w:rFonts w:hint="eastAsia"/>
          <w:b/>
          <w:snapToGrid w:val="0"/>
          <w:color w:val="000000"/>
          <w:sz w:val="24"/>
          <w:szCs w:val="24"/>
        </w:rPr>
        <w:t>20.</w:t>
      </w:r>
      <w:r>
        <w:rPr>
          <w:rFonts w:hint="eastAsia"/>
          <w:b/>
          <w:snapToGrid w:val="0"/>
          <w:color w:val="000000"/>
          <w:sz w:val="24"/>
          <w:szCs w:val="24"/>
          <w:lang w:eastAsia="zh-CN"/>
        </w:rPr>
        <w:t>成交人</w:t>
      </w:r>
      <w:bookmarkEnd w:id="225"/>
      <w:bookmarkEnd w:id="226"/>
      <w:bookmarkEnd w:id="227"/>
    </w:p>
    <w:p w14:paraId="71B85970">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20.1 采购代理机构将在评审结束后2个工作日内将评审报告送采购人确认。</w:t>
      </w:r>
    </w:p>
    <w:p w14:paraId="306E907D">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20.2采购人应当在收到评审报告后</w:t>
      </w:r>
      <w:r>
        <w:rPr>
          <w:rFonts w:hint="eastAsia"/>
          <w:snapToGrid w:val="0"/>
          <w:color w:val="000000"/>
          <w:sz w:val="24"/>
          <w:szCs w:val="24"/>
          <w:lang w:val="en-US" w:eastAsia="zh-CN"/>
        </w:rPr>
        <w:t>5</w:t>
      </w:r>
      <w:r>
        <w:rPr>
          <w:rFonts w:hint="eastAsia"/>
          <w:snapToGrid w:val="0"/>
          <w:color w:val="000000"/>
          <w:sz w:val="24"/>
          <w:szCs w:val="24"/>
        </w:rPr>
        <w:t>个工作日内，从评审报告提出的</w:t>
      </w:r>
      <w:r>
        <w:rPr>
          <w:rFonts w:hint="eastAsia"/>
          <w:snapToGrid w:val="0"/>
          <w:color w:val="000000"/>
          <w:sz w:val="24"/>
          <w:szCs w:val="24"/>
          <w:lang w:eastAsia="zh-CN"/>
        </w:rPr>
        <w:t>成交候选人</w:t>
      </w:r>
      <w:r>
        <w:rPr>
          <w:rFonts w:hint="eastAsia"/>
          <w:snapToGrid w:val="0"/>
          <w:color w:val="000000"/>
          <w:sz w:val="24"/>
          <w:szCs w:val="24"/>
        </w:rPr>
        <w:t>中前三名确定</w:t>
      </w:r>
      <w:r>
        <w:rPr>
          <w:rFonts w:hint="eastAsia"/>
          <w:snapToGrid w:val="0"/>
          <w:color w:val="000000"/>
          <w:sz w:val="24"/>
          <w:szCs w:val="24"/>
          <w:lang w:eastAsia="zh-CN"/>
        </w:rPr>
        <w:t>成交人</w:t>
      </w:r>
      <w:r>
        <w:rPr>
          <w:rFonts w:hint="eastAsia"/>
          <w:snapToGrid w:val="0"/>
          <w:color w:val="000000"/>
          <w:sz w:val="24"/>
          <w:szCs w:val="24"/>
        </w:rPr>
        <w:t>，也可以书面授权磋商小组直接确定</w:t>
      </w:r>
      <w:r>
        <w:rPr>
          <w:rFonts w:hint="eastAsia"/>
          <w:snapToGrid w:val="0"/>
          <w:color w:val="000000"/>
          <w:sz w:val="24"/>
          <w:szCs w:val="24"/>
          <w:lang w:eastAsia="zh-CN"/>
        </w:rPr>
        <w:t>成交人</w:t>
      </w:r>
      <w:r>
        <w:rPr>
          <w:rFonts w:hint="eastAsia"/>
          <w:snapToGrid w:val="0"/>
          <w:color w:val="000000"/>
          <w:sz w:val="24"/>
          <w:szCs w:val="24"/>
        </w:rPr>
        <w:t>。采购人逾期未确定</w:t>
      </w:r>
      <w:r>
        <w:rPr>
          <w:rFonts w:hint="eastAsia"/>
          <w:snapToGrid w:val="0"/>
          <w:color w:val="000000"/>
          <w:sz w:val="24"/>
          <w:szCs w:val="24"/>
          <w:lang w:eastAsia="zh-CN"/>
        </w:rPr>
        <w:t>成交人</w:t>
      </w:r>
      <w:r>
        <w:rPr>
          <w:rFonts w:hint="eastAsia"/>
          <w:snapToGrid w:val="0"/>
          <w:color w:val="000000"/>
          <w:sz w:val="24"/>
          <w:szCs w:val="24"/>
        </w:rPr>
        <w:t>且不提出异议的，视为确定评审报告提出的排序第一的</w:t>
      </w:r>
      <w:r>
        <w:rPr>
          <w:rFonts w:hint="eastAsia"/>
          <w:snapToGrid w:val="0"/>
          <w:color w:val="000000"/>
          <w:sz w:val="24"/>
          <w:szCs w:val="24"/>
          <w:lang w:eastAsia="zh-CN"/>
        </w:rPr>
        <w:t>响应人</w:t>
      </w:r>
      <w:r>
        <w:rPr>
          <w:rFonts w:hint="eastAsia"/>
          <w:snapToGrid w:val="0"/>
          <w:color w:val="000000"/>
          <w:sz w:val="24"/>
          <w:szCs w:val="24"/>
        </w:rPr>
        <w:t>为</w:t>
      </w:r>
      <w:r>
        <w:rPr>
          <w:rFonts w:hint="eastAsia"/>
          <w:snapToGrid w:val="0"/>
          <w:color w:val="000000"/>
          <w:sz w:val="24"/>
          <w:szCs w:val="24"/>
          <w:lang w:eastAsia="zh-CN"/>
        </w:rPr>
        <w:t>成交人</w:t>
      </w:r>
      <w:r>
        <w:rPr>
          <w:rFonts w:hint="eastAsia"/>
          <w:snapToGrid w:val="0"/>
          <w:color w:val="000000"/>
          <w:sz w:val="24"/>
          <w:szCs w:val="24"/>
        </w:rPr>
        <w:t>。</w:t>
      </w:r>
    </w:p>
    <w:p w14:paraId="10297F8C">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20.3采购人或者采购代理机构应当在</w:t>
      </w:r>
      <w:r>
        <w:rPr>
          <w:rFonts w:hint="eastAsia"/>
          <w:snapToGrid w:val="0"/>
          <w:color w:val="000000"/>
          <w:sz w:val="24"/>
          <w:szCs w:val="24"/>
          <w:lang w:eastAsia="zh-CN"/>
        </w:rPr>
        <w:t>成交人</w:t>
      </w:r>
      <w:r>
        <w:rPr>
          <w:rFonts w:hint="eastAsia"/>
          <w:snapToGrid w:val="0"/>
          <w:color w:val="000000"/>
          <w:sz w:val="24"/>
          <w:szCs w:val="24"/>
        </w:rPr>
        <w:t>确定后2个工作日内，在省级以上财政部门指定的政府采购信息发布媒体上公告成交结果，同时向</w:t>
      </w:r>
      <w:r>
        <w:rPr>
          <w:rFonts w:hint="eastAsia"/>
          <w:snapToGrid w:val="0"/>
          <w:color w:val="000000"/>
          <w:sz w:val="24"/>
          <w:szCs w:val="24"/>
          <w:lang w:eastAsia="zh-CN"/>
        </w:rPr>
        <w:t>成交人</w:t>
      </w:r>
      <w:r>
        <w:rPr>
          <w:rFonts w:hint="eastAsia"/>
          <w:snapToGrid w:val="0"/>
          <w:color w:val="000000"/>
          <w:sz w:val="24"/>
          <w:szCs w:val="24"/>
        </w:rPr>
        <w:t>发出成交通知书。</w:t>
      </w:r>
    </w:p>
    <w:p w14:paraId="703ACDBB">
      <w:pPr>
        <w:tabs>
          <w:tab w:val="left" w:pos="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228" w:name="_Toc22483"/>
      <w:bookmarkStart w:id="229" w:name="_Toc30262"/>
      <w:bookmarkStart w:id="230" w:name="_Toc20837"/>
      <w:r>
        <w:rPr>
          <w:rFonts w:hint="eastAsia"/>
          <w:b/>
          <w:snapToGrid w:val="0"/>
          <w:color w:val="000000"/>
          <w:sz w:val="24"/>
          <w:szCs w:val="24"/>
        </w:rPr>
        <w:t>21.采购项目终止或取消</w:t>
      </w:r>
      <w:bookmarkEnd w:id="228"/>
      <w:bookmarkEnd w:id="229"/>
      <w:bookmarkEnd w:id="230"/>
    </w:p>
    <w:p w14:paraId="4D272B88">
      <w:pPr>
        <w:tabs>
          <w:tab w:val="left" w:pos="0"/>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rPr>
        <w:t>21.1出现下列情形之一的，采购人或者采购代理机构应当终止竞争性磋商采购活动，发布项目终止公告并说明原因，重新开展采购活动：</w:t>
      </w:r>
    </w:p>
    <w:p w14:paraId="696F0085">
      <w:pPr>
        <w:tabs>
          <w:tab w:val="left" w:pos="0"/>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rPr>
        <w:t>（一）因情况变化，不再符合规定的竞争性磋商采购方式适用情形的；</w:t>
      </w:r>
    </w:p>
    <w:p w14:paraId="2E2892BE">
      <w:pPr>
        <w:tabs>
          <w:tab w:val="left" w:pos="0"/>
        </w:tabs>
        <w:overflowPunct w:val="0"/>
        <w:topLinePunct/>
        <w:adjustRightInd w:val="0"/>
        <w:snapToGrid w:val="0"/>
        <w:spacing w:line="360" w:lineRule="auto"/>
        <w:ind w:firstLine="480" w:firstLineChars="200"/>
        <w:outlineLvl w:val="9"/>
        <w:rPr>
          <w:rFonts w:hint="eastAsia"/>
          <w:color w:val="000000"/>
          <w:sz w:val="24"/>
          <w:szCs w:val="24"/>
        </w:rPr>
      </w:pPr>
      <w:bookmarkStart w:id="231" w:name="_Toc6946"/>
      <w:r>
        <w:rPr>
          <w:rFonts w:hint="eastAsia"/>
          <w:color w:val="000000"/>
          <w:sz w:val="24"/>
          <w:szCs w:val="24"/>
        </w:rPr>
        <w:t>（二）出现影响采购公正的违法、违规行为的；</w:t>
      </w:r>
      <w:bookmarkEnd w:id="231"/>
    </w:p>
    <w:p w14:paraId="1F3A9D1E">
      <w:pPr>
        <w:tabs>
          <w:tab w:val="left" w:pos="0"/>
        </w:tabs>
        <w:overflowPunct w:val="0"/>
        <w:topLinePunct/>
        <w:adjustRightInd w:val="0"/>
        <w:snapToGrid w:val="0"/>
        <w:spacing w:line="360" w:lineRule="auto"/>
        <w:outlineLvl w:val="9"/>
        <w:rPr>
          <w:rFonts w:hint="eastAsia"/>
          <w:color w:val="000000"/>
          <w:sz w:val="24"/>
          <w:szCs w:val="24"/>
        </w:rPr>
      </w:pPr>
      <w:r>
        <w:rPr>
          <w:rFonts w:hint="eastAsia"/>
          <w:color w:val="000000"/>
          <w:sz w:val="24"/>
          <w:szCs w:val="24"/>
        </w:rPr>
        <w:t xml:space="preserve">   （三）在采购过程中符合要求的</w:t>
      </w:r>
      <w:r>
        <w:rPr>
          <w:rFonts w:hint="eastAsia"/>
          <w:color w:val="000000"/>
          <w:sz w:val="24"/>
          <w:szCs w:val="24"/>
          <w:lang w:eastAsia="zh-CN"/>
        </w:rPr>
        <w:t>响应人</w:t>
      </w:r>
      <w:r>
        <w:rPr>
          <w:rFonts w:hint="eastAsia"/>
          <w:color w:val="000000"/>
          <w:sz w:val="24"/>
          <w:szCs w:val="24"/>
        </w:rPr>
        <w:t>或者报价未超过采购预算的</w:t>
      </w:r>
      <w:r>
        <w:rPr>
          <w:rFonts w:hint="eastAsia"/>
          <w:color w:val="000000"/>
          <w:sz w:val="24"/>
          <w:szCs w:val="24"/>
          <w:lang w:eastAsia="zh-CN"/>
        </w:rPr>
        <w:t>响应人</w:t>
      </w:r>
      <w:r>
        <w:rPr>
          <w:rFonts w:hint="eastAsia"/>
          <w:color w:val="000000"/>
          <w:sz w:val="24"/>
          <w:szCs w:val="24"/>
        </w:rPr>
        <w:t>不足3家的。</w:t>
      </w:r>
    </w:p>
    <w:p w14:paraId="41390BAB">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color w:val="000000"/>
          <w:sz w:val="24"/>
          <w:szCs w:val="24"/>
        </w:rPr>
        <w:t>21.2在采购活动中因重大变故，采购任务取消的，采购人或者采购代理机构应当终止采购活动，通知所有参加采购活动的</w:t>
      </w:r>
      <w:r>
        <w:rPr>
          <w:rFonts w:hint="eastAsia"/>
          <w:color w:val="000000"/>
          <w:sz w:val="24"/>
          <w:szCs w:val="24"/>
          <w:lang w:eastAsia="zh-CN"/>
        </w:rPr>
        <w:t>响应人</w:t>
      </w:r>
      <w:r>
        <w:rPr>
          <w:rFonts w:hint="eastAsia"/>
          <w:color w:val="000000"/>
          <w:sz w:val="24"/>
          <w:szCs w:val="24"/>
        </w:rPr>
        <w:t>，并将项目实施情况和采购任务取消原因报送本级监督部门。</w:t>
      </w:r>
    </w:p>
    <w:p w14:paraId="25C358AD">
      <w:pPr>
        <w:spacing w:line="360" w:lineRule="auto"/>
        <w:jc w:val="center"/>
        <w:outlineLvl w:val="1"/>
        <w:rPr>
          <w:rFonts w:hint="eastAsia"/>
          <w:b/>
          <w:bCs/>
          <w:snapToGrid w:val="0"/>
          <w:color w:val="000000"/>
          <w:sz w:val="24"/>
          <w:szCs w:val="24"/>
        </w:rPr>
      </w:pPr>
      <w:bookmarkStart w:id="232" w:name="_Toc10907"/>
      <w:bookmarkStart w:id="233" w:name="_Toc30855"/>
      <w:bookmarkStart w:id="234" w:name="_Toc12640"/>
      <w:bookmarkStart w:id="235" w:name="_Toc175644022"/>
      <w:bookmarkStart w:id="236" w:name="_Toc8883"/>
      <w:bookmarkStart w:id="237" w:name="_Toc10672"/>
      <w:bookmarkStart w:id="238" w:name="_Toc17742"/>
      <w:bookmarkStart w:id="239" w:name="_Toc44"/>
      <w:bookmarkStart w:id="240" w:name="_Toc510994112"/>
      <w:bookmarkStart w:id="241" w:name="_Toc22812"/>
      <w:bookmarkStart w:id="242" w:name="_Toc1576"/>
      <w:bookmarkStart w:id="243" w:name="_Toc24342"/>
      <w:r>
        <w:rPr>
          <w:rFonts w:hint="eastAsia"/>
          <w:b/>
          <w:bCs/>
          <w:snapToGrid w:val="0"/>
          <w:color w:val="000000"/>
          <w:sz w:val="24"/>
          <w:szCs w:val="24"/>
        </w:rPr>
        <w:t>七、签订合同</w:t>
      </w:r>
      <w:bookmarkEnd w:id="232"/>
      <w:bookmarkEnd w:id="233"/>
      <w:bookmarkEnd w:id="234"/>
      <w:bookmarkEnd w:id="235"/>
      <w:bookmarkEnd w:id="236"/>
      <w:bookmarkEnd w:id="237"/>
      <w:bookmarkEnd w:id="238"/>
      <w:bookmarkEnd w:id="239"/>
      <w:bookmarkEnd w:id="240"/>
      <w:bookmarkEnd w:id="241"/>
      <w:bookmarkEnd w:id="242"/>
      <w:bookmarkEnd w:id="243"/>
    </w:p>
    <w:p w14:paraId="6E6C977A">
      <w:pPr>
        <w:tabs>
          <w:tab w:val="left" w:pos="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244" w:name="_Toc32168"/>
      <w:bookmarkStart w:id="245" w:name="_Toc1109"/>
      <w:bookmarkStart w:id="246" w:name="_Toc8348"/>
      <w:r>
        <w:rPr>
          <w:rFonts w:hint="eastAsia"/>
          <w:b/>
          <w:snapToGrid w:val="0"/>
          <w:color w:val="000000"/>
          <w:sz w:val="24"/>
          <w:szCs w:val="24"/>
        </w:rPr>
        <w:t>22.成交通知</w:t>
      </w:r>
      <w:bookmarkEnd w:id="244"/>
      <w:bookmarkEnd w:id="245"/>
      <w:bookmarkEnd w:id="246"/>
    </w:p>
    <w:p w14:paraId="72B0125D">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22.1</w:t>
      </w:r>
      <w:r>
        <w:rPr>
          <w:rFonts w:hint="eastAsia"/>
          <w:snapToGrid w:val="0"/>
          <w:color w:val="000000"/>
          <w:sz w:val="24"/>
          <w:szCs w:val="24"/>
          <w:lang w:eastAsia="zh-CN"/>
        </w:rPr>
        <w:t>成交人</w:t>
      </w:r>
      <w:r>
        <w:rPr>
          <w:rFonts w:hint="eastAsia"/>
          <w:snapToGrid w:val="0"/>
          <w:color w:val="000000"/>
          <w:sz w:val="24"/>
          <w:szCs w:val="24"/>
        </w:rPr>
        <w:t>确定后，采购代理机构（或采购人）将在刊登本次磋商公告的媒体上发布成交公告，并以书面形式向</w:t>
      </w:r>
      <w:r>
        <w:rPr>
          <w:rFonts w:hint="eastAsia"/>
          <w:snapToGrid w:val="0"/>
          <w:color w:val="000000"/>
          <w:sz w:val="24"/>
          <w:szCs w:val="24"/>
          <w:lang w:eastAsia="zh-CN"/>
        </w:rPr>
        <w:t>成交人</w:t>
      </w:r>
      <w:r>
        <w:rPr>
          <w:rFonts w:hint="eastAsia"/>
          <w:snapToGrid w:val="0"/>
          <w:color w:val="000000"/>
          <w:sz w:val="24"/>
          <w:szCs w:val="24"/>
        </w:rPr>
        <w:t>发出成交通知书，但该成交结果的有效性不依赖于未成交的</w:t>
      </w:r>
      <w:r>
        <w:rPr>
          <w:rFonts w:hint="eastAsia"/>
          <w:snapToGrid w:val="0"/>
          <w:color w:val="000000"/>
          <w:sz w:val="24"/>
          <w:szCs w:val="24"/>
          <w:lang w:eastAsia="zh-CN"/>
        </w:rPr>
        <w:t>响应人</w:t>
      </w:r>
      <w:r>
        <w:rPr>
          <w:rFonts w:hint="eastAsia"/>
          <w:snapToGrid w:val="0"/>
          <w:color w:val="000000"/>
          <w:sz w:val="24"/>
          <w:szCs w:val="24"/>
        </w:rPr>
        <w:t>是否知道成交结果。成交通知书对采购人和</w:t>
      </w:r>
      <w:r>
        <w:rPr>
          <w:rFonts w:hint="eastAsia"/>
          <w:snapToGrid w:val="0"/>
          <w:color w:val="000000"/>
          <w:sz w:val="24"/>
          <w:szCs w:val="24"/>
          <w:lang w:eastAsia="zh-CN"/>
        </w:rPr>
        <w:t>成交人</w:t>
      </w:r>
      <w:r>
        <w:rPr>
          <w:rFonts w:hint="eastAsia"/>
          <w:snapToGrid w:val="0"/>
          <w:color w:val="000000"/>
          <w:sz w:val="24"/>
          <w:szCs w:val="24"/>
        </w:rPr>
        <w:t>具有同等法律效力。成交通知书发出以后，采购人改变成交结果或者</w:t>
      </w:r>
      <w:r>
        <w:rPr>
          <w:rFonts w:hint="eastAsia"/>
          <w:snapToGrid w:val="0"/>
          <w:color w:val="000000"/>
          <w:sz w:val="24"/>
          <w:szCs w:val="24"/>
          <w:lang w:eastAsia="zh-CN"/>
        </w:rPr>
        <w:t>成交人</w:t>
      </w:r>
      <w:r>
        <w:rPr>
          <w:rFonts w:hint="eastAsia"/>
          <w:snapToGrid w:val="0"/>
          <w:color w:val="000000"/>
          <w:sz w:val="24"/>
          <w:szCs w:val="24"/>
        </w:rPr>
        <w:t>放弃成交，应当承担相应的法律责任。</w:t>
      </w:r>
    </w:p>
    <w:p w14:paraId="78272831">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22.2采购代理机构（或采购人）对未成交的</w:t>
      </w:r>
      <w:r>
        <w:rPr>
          <w:rFonts w:hint="eastAsia"/>
          <w:snapToGrid w:val="0"/>
          <w:color w:val="000000"/>
          <w:sz w:val="24"/>
          <w:szCs w:val="24"/>
          <w:lang w:eastAsia="zh-CN"/>
        </w:rPr>
        <w:t>响应人</w:t>
      </w:r>
      <w:r>
        <w:rPr>
          <w:rFonts w:hint="eastAsia"/>
          <w:snapToGrid w:val="0"/>
          <w:color w:val="000000"/>
          <w:sz w:val="24"/>
          <w:szCs w:val="24"/>
        </w:rPr>
        <w:t>不做未成交原因的解释。</w:t>
      </w:r>
    </w:p>
    <w:p w14:paraId="79C557E7">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bookmarkStart w:id="247" w:name="_Toc21387"/>
      <w:r>
        <w:rPr>
          <w:rFonts w:hint="eastAsia"/>
          <w:snapToGrid w:val="0"/>
          <w:color w:val="000000"/>
          <w:sz w:val="24"/>
          <w:szCs w:val="24"/>
        </w:rPr>
        <w:t>22.3成交通知书是合同的组成部分。</w:t>
      </w:r>
      <w:bookmarkEnd w:id="247"/>
    </w:p>
    <w:p w14:paraId="28FECD90">
      <w:pPr>
        <w:tabs>
          <w:tab w:val="left" w:pos="0"/>
        </w:tabs>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248" w:name="_Toc12856"/>
      <w:bookmarkStart w:id="249" w:name="_Toc17540"/>
      <w:bookmarkStart w:id="250" w:name="_Toc4668"/>
      <w:r>
        <w:rPr>
          <w:rFonts w:hint="eastAsia"/>
          <w:b/>
          <w:snapToGrid w:val="0"/>
          <w:color w:val="000000"/>
          <w:sz w:val="24"/>
          <w:szCs w:val="24"/>
        </w:rPr>
        <w:t>24.签订合同</w:t>
      </w:r>
      <w:bookmarkEnd w:id="248"/>
      <w:bookmarkEnd w:id="249"/>
      <w:bookmarkEnd w:id="250"/>
    </w:p>
    <w:p w14:paraId="2C9B8CBE">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24.1</w:t>
      </w:r>
      <w:r>
        <w:rPr>
          <w:rFonts w:hint="eastAsia"/>
          <w:snapToGrid w:val="0"/>
          <w:color w:val="000000"/>
          <w:sz w:val="24"/>
          <w:szCs w:val="24"/>
          <w:lang w:eastAsia="zh-CN"/>
        </w:rPr>
        <w:t>成交人</w:t>
      </w:r>
      <w:r>
        <w:rPr>
          <w:rFonts w:hint="eastAsia"/>
          <w:snapToGrid w:val="0"/>
          <w:color w:val="000000"/>
          <w:sz w:val="24"/>
          <w:szCs w:val="24"/>
        </w:rPr>
        <w:t>应在成交结果公告发布后尽快到采购代理机构领取成交通知书，并在本项目成交结果公告发布之日起2</w:t>
      </w:r>
      <w:r>
        <w:rPr>
          <w:rFonts w:hint="eastAsia"/>
          <w:snapToGrid w:val="0"/>
          <w:color w:val="000000"/>
          <w:sz w:val="24"/>
          <w:szCs w:val="24"/>
          <w:lang w:val="en-US" w:eastAsia="zh-CN"/>
        </w:rPr>
        <w:t>个工作</w:t>
      </w:r>
      <w:r>
        <w:rPr>
          <w:rFonts w:hint="eastAsia"/>
          <w:snapToGrid w:val="0"/>
          <w:color w:val="000000"/>
          <w:sz w:val="24"/>
          <w:szCs w:val="24"/>
        </w:rPr>
        <w:t>日内与采购人签订采购合同。</w:t>
      </w:r>
    </w:p>
    <w:p w14:paraId="673FE6D1">
      <w:pPr>
        <w:tabs>
          <w:tab w:val="left" w:pos="567"/>
        </w:tabs>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24.2</w:t>
      </w:r>
      <w:r>
        <w:rPr>
          <w:rFonts w:hint="eastAsia"/>
          <w:snapToGrid w:val="0"/>
          <w:color w:val="000000"/>
          <w:sz w:val="24"/>
          <w:szCs w:val="24"/>
          <w:lang w:eastAsia="zh-CN"/>
        </w:rPr>
        <w:t>成交人</w:t>
      </w:r>
      <w:r>
        <w:rPr>
          <w:rFonts w:hint="eastAsia"/>
          <w:snapToGrid w:val="0"/>
          <w:color w:val="000000"/>
          <w:sz w:val="24"/>
          <w:szCs w:val="24"/>
        </w:rPr>
        <w:t>应按照磋商文件、响应文件及评标过程中的有关澄清、说明或者补正文件的内容与采购人签订合同。</w:t>
      </w:r>
      <w:r>
        <w:rPr>
          <w:rFonts w:hint="eastAsia"/>
          <w:snapToGrid w:val="0"/>
          <w:color w:val="000000"/>
          <w:sz w:val="24"/>
          <w:szCs w:val="24"/>
          <w:lang w:eastAsia="zh-CN"/>
        </w:rPr>
        <w:t>成交人</w:t>
      </w:r>
      <w:r>
        <w:rPr>
          <w:rFonts w:hint="eastAsia"/>
          <w:snapToGrid w:val="0"/>
          <w:color w:val="000000"/>
          <w:sz w:val="24"/>
          <w:szCs w:val="24"/>
        </w:rPr>
        <w:t>不得再与采购人签订背离合同实质性内容的其它协议或声明。</w:t>
      </w:r>
    </w:p>
    <w:p w14:paraId="4AAB9010">
      <w:pPr>
        <w:tabs>
          <w:tab w:val="left" w:pos="567"/>
        </w:tabs>
        <w:overflowPunct w:val="0"/>
        <w:topLinePunct/>
        <w:adjustRightInd w:val="0"/>
        <w:snapToGrid w:val="0"/>
        <w:spacing w:line="360" w:lineRule="auto"/>
        <w:ind w:firstLine="480" w:firstLineChars="200"/>
        <w:outlineLvl w:val="9"/>
        <w:rPr>
          <w:rFonts w:hint="eastAsia"/>
          <w:color w:val="000000"/>
          <w:sz w:val="24"/>
          <w:szCs w:val="24"/>
        </w:rPr>
      </w:pPr>
      <w:r>
        <w:rPr>
          <w:rFonts w:hint="eastAsia"/>
          <w:color w:val="000000"/>
          <w:sz w:val="24"/>
          <w:szCs w:val="24"/>
        </w:rPr>
        <w:t>24.3</w:t>
      </w:r>
      <w:bookmarkStart w:id="251" w:name="_Toc175644024"/>
      <w:r>
        <w:rPr>
          <w:rFonts w:hint="eastAsia"/>
          <w:color w:val="000000"/>
          <w:sz w:val="24"/>
          <w:szCs w:val="24"/>
        </w:rPr>
        <w:t>如排序第一</w:t>
      </w:r>
      <w:r>
        <w:rPr>
          <w:rFonts w:hint="eastAsia"/>
          <w:color w:val="000000"/>
          <w:sz w:val="24"/>
          <w:szCs w:val="24"/>
          <w:lang w:val="en-US" w:eastAsia="zh-CN"/>
        </w:rPr>
        <w:t>的</w:t>
      </w:r>
      <w:r>
        <w:rPr>
          <w:rFonts w:hint="eastAsia"/>
          <w:color w:val="000000"/>
          <w:sz w:val="24"/>
          <w:szCs w:val="24"/>
          <w:lang w:eastAsia="zh-CN"/>
        </w:rPr>
        <w:t>成交人</w:t>
      </w:r>
      <w:r>
        <w:rPr>
          <w:rFonts w:hint="eastAsia"/>
          <w:color w:val="000000"/>
          <w:sz w:val="24"/>
          <w:szCs w:val="24"/>
        </w:rPr>
        <w:t>不按时签订合同、拒签合同的，取消其成交资格，视为确定评审报告提出的排序第</w:t>
      </w:r>
      <w:r>
        <w:rPr>
          <w:rFonts w:hint="eastAsia"/>
          <w:color w:val="000000"/>
          <w:sz w:val="24"/>
          <w:szCs w:val="24"/>
          <w:lang w:val="en-US" w:eastAsia="zh-CN"/>
        </w:rPr>
        <w:t>二</w:t>
      </w:r>
      <w:r>
        <w:rPr>
          <w:rFonts w:hint="eastAsia"/>
          <w:color w:val="000000"/>
          <w:sz w:val="24"/>
          <w:szCs w:val="24"/>
        </w:rPr>
        <w:t>的</w:t>
      </w:r>
      <w:r>
        <w:rPr>
          <w:rFonts w:hint="eastAsia"/>
          <w:color w:val="000000"/>
          <w:sz w:val="24"/>
          <w:szCs w:val="24"/>
          <w:lang w:eastAsia="zh-CN"/>
        </w:rPr>
        <w:t>响应人</w:t>
      </w:r>
      <w:r>
        <w:rPr>
          <w:rFonts w:hint="eastAsia"/>
          <w:color w:val="000000"/>
          <w:sz w:val="24"/>
          <w:szCs w:val="24"/>
        </w:rPr>
        <w:t>为</w:t>
      </w:r>
      <w:r>
        <w:rPr>
          <w:rFonts w:hint="eastAsia"/>
          <w:color w:val="000000"/>
          <w:sz w:val="24"/>
          <w:szCs w:val="24"/>
          <w:lang w:eastAsia="zh-CN"/>
        </w:rPr>
        <w:t>成交人，</w:t>
      </w:r>
      <w:r>
        <w:rPr>
          <w:rFonts w:hint="eastAsia"/>
          <w:color w:val="000000"/>
          <w:sz w:val="24"/>
          <w:szCs w:val="24"/>
          <w:lang w:val="en-US" w:eastAsia="zh-CN"/>
        </w:rPr>
        <w:t>也可重新开展采购活动</w:t>
      </w:r>
      <w:r>
        <w:rPr>
          <w:rFonts w:hint="eastAsia"/>
          <w:color w:val="000000"/>
          <w:sz w:val="24"/>
          <w:szCs w:val="24"/>
        </w:rPr>
        <w:t>。</w:t>
      </w:r>
    </w:p>
    <w:p w14:paraId="186B613A">
      <w:pPr>
        <w:spacing w:line="360" w:lineRule="auto"/>
        <w:jc w:val="center"/>
        <w:outlineLvl w:val="1"/>
        <w:rPr>
          <w:rFonts w:hint="eastAsia"/>
          <w:b/>
          <w:bCs/>
          <w:snapToGrid w:val="0"/>
          <w:color w:val="000000"/>
          <w:sz w:val="24"/>
          <w:szCs w:val="24"/>
        </w:rPr>
      </w:pPr>
      <w:bookmarkStart w:id="252" w:name="_Toc510994113"/>
      <w:bookmarkStart w:id="253" w:name="_Toc7049"/>
      <w:bookmarkStart w:id="254" w:name="_Toc31929"/>
      <w:bookmarkStart w:id="255" w:name="_Toc26837"/>
      <w:bookmarkStart w:id="256" w:name="_Toc7602"/>
      <w:bookmarkStart w:id="257" w:name="_Toc28063"/>
      <w:bookmarkStart w:id="258" w:name="_Toc30278"/>
      <w:bookmarkStart w:id="259" w:name="_Toc13743"/>
      <w:bookmarkStart w:id="260" w:name="_Toc19760"/>
      <w:bookmarkStart w:id="261" w:name="_Toc29960"/>
      <w:r>
        <w:rPr>
          <w:rFonts w:hint="eastAsia"/>
          <w:b/>
          <w:bCs/>
          <w:snapToGrid w:val="0"/>
          <w:color w:val="000000"/>
          <w:sz w:val="24"/>
          <w:szCs w:val="24"/>
        </w:rPr>
        <w:t>八、保密和披露</w:t>
      </w:r>
      <w:bookmarkEnd w:id="251"/>
      <w:bookmarkEnd w:id="252"/>
      <w:bookmarkEnd w:id="253"/>
      <w:bookmarkEnd w:id="254"/>
      <w:bookmarkEnd w:id="255"/>
      <w:bookmarkEnd w:id="256"/>
      <w:bookmarkEnd w:id="257"/>
      <w:bookmarkEnd w:id="258"/>
      <w:bookmarkEnd w:id="259"/>
      <w:bookmarkEnd w:id="260"/>
      <w:bookmarkEnd w:id="261"/>
    </w:p>
    <w:p w14:paraId="0DCD472C">
      <w:pPr>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262" w:name="_Toc16246"/>
      <w:bookmarkStart w:id="263" w:name="_Toc18577"/>
      <w:bookmarkStart w:id="264" w:name="_Toc374"/>
      <w:r>
        <w:rPr>
          <w:rFonts w:hint="eastAsia"/>
          <w:b/>
          <w:snapToGrid w:val="0"/>
          <w:color w:val="000000"/>
          <w:sz w:val="24"/>
          <w:szCs w:val="24"/>
        </w:rPr>
        <w:t>25.保密</w:t>
      </w:r>
      <w:bookmarkEnd w:id="262"/>
      <w:bookmarkEnd w:id="263"/>
      <w:bookmarkEnd w:id="264"/>
    </w:p>
    <w:p w14:paraId="058B210D">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25.1</w:t>
      </w:r>
      <w:r>
        <w:rPr>
          <w:rFonts w:hint="eastAsia"/>
          <w:snapToGrid w:val="0"/>
          <w:color w:val="000000"/>
          <w:sz w:val="24"/>
          <w:szCs w:val="24"/>
          <w:lang w:eastAsia="zh-CN"/>
        </w:rPr>
        <w:t>响应人</w:t>
      </w:r>
      <w:r>
        <w:rPr>
          <w:rFonts w:hint="eastAsia"/>
          <w:snapToGrid w:val="0"/>
          <w:color w:val="000000"/>
          <w:sz w:val="24"/>
          <w:szCs w:val="24"/>
        </w:rPr>
        <w:t>自领取磋商文件之日起，不得将因本次</w:t>
      </w:r>
      <w:r>
        <w:rPr>
          <w:rFonts w:hint="eastAsia"/>
          <w:snapToGrid w:val="0"/>
          <w:color w:val="000000"/>
          <w:sz w:val="24"/>
          <w:szCs w:val="24"/>
          <w:lang w:val="en-US" w:eastAsia="zh-CN"/>
        </w:rPr>
        <w:t>此采购</w:t>
      </w:r>
      <w:r>
        <w:rPr>
          <w:rFonts w:hint="eastAsia"/>
          <w:snapToGrid w:val="0"/>
          <w:color w:val="000000"/>
          <w:sz w:val="24"/>
          <w:szCs w:val="24"/>
        </w:rPr>
        <w:t>获得的信息向第三人外传。</w:t>
      </w:r>
    </w:p>
    <w:p w14:paraId="0E26B7A6">
      <w:pPr>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265" w:name="_Toc1377"/>
      <w:bookmarkStart w:id="266" w:name="_Toc32130"/>
      <w:bookmarkStart w:id="267" w:name="_Toc11980"/>
      <w:r>
        <w:rPr>
          <w:rFonts w:hint="eastAsia"/>
          <w:b/>
          <w:snapToGrid w:val="0"/>
          <w:color w:val="000000"/>
          <w:sz w:val="24"/>
          <w:szCs w:val="24"/>
        </w:rPr>
        <w:t>26.披露</w:t>
      </w:r>
      <w:bookmarkEnd w:id="265"/>
      <w:bookmarkEnd w:id="266"/>
      <w:bookmarkEnd w:id="267"/>
    </w:p>
    <w:p w14:paraId="4930B1D3">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26.1采购代理机构（或采购人）有权将</w:t>
      </w:r>
      <w:r>
        <w:rPr>
          <w:rFonts w:hint="eastAsia"/>
          <w:snapToGrid w:val="0"/>
          <w:color w:val="000000"/>
          <w:sz w:val="24"/>
          <w:szCs w:val="24"/>
          <w:lang w:eastAsia="zh-CN"/>
        </w:rPr>
        <w:t>响应人</w:t>
      </w:r>
      <w:r>
        <w:rPr>
          <w:rFonts w:hint="eastAsia"/>
          <w:snapToGrid w:val="0"/>
          <w:color w:val="000000"/>
          <w:sz w:val="24"/>
          <w:szCs w:val="24"/>
        </w:rPr>
        <w:t>提供的所有资料向有关政府部门或评审标书的有关人员披露。</w:t>
      </w:r>
    </w:p>
    <w:p w14:paraId="43D44CAC">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26.2在采购代理机构（或采购人）认为适当时、国家机关调查、审查、审计时以及其他符合法律规定的情形下，采购代理机构（或采购人）无须事先征求</w:t>
      </w:r>
      <w:r>
        <w:rPr>
          <w:rFonts w:hint="eastAsia"/>
          <w:snapToGrid w:val="0"/>
          <w:color w:val="000000"/>
          <w:sz w:val="24"/>
          <w:szCs w:val="24"/>
          <w:lang w:eastAsia="zh-CN"/>
        </w:rPr>
        <w:t>响应人</w:t>
      </w:r>
      <w:r>
        <w:rPr>
          <w:rFonts w:hint="eastAsia"/>
          <w:snapToGrid w:val="0"/>
          <w:color w:val="000000"/>
          <w:sz w:val="24"/>
          <w:szCs w:val="24"/>
        </w:rPr>
        <w:t>/</w:t>
      </w:r>
      <w:r>
        <w:rPr>
          <w:rFonts w:hint="eastAsia"/>
          <w:snapToGrid w:val="0"/>
          <w:color w:val="000000"/>
          <w:sz w:val="24"/>
          <w:szCs w:val="24"/>
          <w:lang w:eastAsia="zh-CN"/>
        </w:rPr>
        <w:t>成交人</w:t>
      </w:r>
      <w:r>
        <w:rPr>
          <w:rFonts w:hint="eastAsia"/>
          <w:snapToGrid w:val="0"/>
          <w:color w:val="000000"/>
          <w:sz w:val="24"/>
          <w:szCs w:val="24"/>
        </w:rPr>
        <w:t>同意而可以披露关于采购过程、合同文本、签署情况的资料、</w:t>
      </w:r>
      <w:r>
        <w:rPr>
          <w:rFonts w:hint="eastAsia"/>
          <w:snapToGrid w:val="0"/>
          <w:color w:val="000000"/>
          <w:sz w:val="24"/>
          <w:szCs w:val="24"/>
          <w:lang w:eastAsia="zh-CN"/>
        </w:rPr>
        <w:t>响应人</w:t>
      </w:r>
      <w:r>
        <w:rPr>
          <w:rFonts w:hint="eastAsia"/>
          <w:snapToGrid w:val="0"/>
          <w:color w:val="000000"/>
          <w:sz w:val="24"/>
          <w:szCs w:val="24"/>
        </w:rPr>
        <w:t>/</w:t>
      </w:r>
      <w:r>
        <w:rPr>
          <w:rFonts w:hint="eastAsia"/>
          <w:snapToGrid w:val="0"/>
          <w:color w:val="000000"/>
          <w:sz w:val="24"/>
          <w:szCs w:val="24"/>
          <w:lang w:eastAsia="zh-CN"/>
        </w:rPr>
        <w:t>成交人</w:t>
      </w:r>
      <w:r>
        <w:rPr>
          <w:rFonts w:hint="eastAsia"/>
          <w:snapToGrid w:val="0"/>
          <w:color w:val="000000"/>
          <w:sz w:val="24"/>
          <w:szCs w:val="24"/>
        </w:rPr>
        <w:t>的名称及地址、响应文件的有关信息以及补充条款等，但应当在合理的必要范围内。对任何已经公布过的内容或与之内容相同的资料，以及</w:t>
      </w:r>
      <w:r>
        <w:rPr>
          <w:rFonts w:hint="eastAsia"/>
          <w:snapToGrid w:val="0"/>
          <w:color w:val="000000"/>
          <w:sz w:val="24"/>
          <w:szCs w:val="24"/>
          <w:lang w:eastAsia="zh-CN"/>
        </w:rPr>
        <w:t>响应人</w:t>
      </w:r>
      <w:r>
        <w:rPr>
          <w:rFonts w:hint="eastAsia"/>
          <w:snapToGrid w:val="0"/>
          <w:color w:val="000000"/>
          <w:sz w:val="24"/>
          <w:szCs w:val="24"/>
        </w:rPr>
        <w:t>/</w:t>
      </w:r>
      <w:r>
        <w:rPr>
          <w:rFonts w:hint="eastAsia"/>
          <w:snapToGrid w:val="0"/>
          <w:color w:val="000000"/>
          <w:sz w:val="24"/>
          <w:szCs w:val="24"/>
          <w:lang w:eastAsia="zh-CN"/>
        </w:rPr>
        <w:t>成交人</w:t>
      </w:r>
      <w:r>
        <w:rPr>
          <w:rFonts w:hint="eastAsia"/>
          <w:snapToGrid w:val="0"/>
          <w:color w:val="000000"/>
          <w:sz w:val="24"/>
          <w:szCs w:val="24"/>
        </w:rPr>
        <w:t>已经泄露或公开的，无须再承担保密责任。</w:t>
      </w:r>
    </w:p>
    <w:p w14:paraId="13151850">
      <w:pPr>
        <w:spacing w:line="360" w:lineRule="auto"/>
        <w:jc w:val="center"/>
        <w:outlineLvl w:val="1"/>
        <w:rPr>
          <w:rFonts w:hint="eastAsia"/>
          <w:b/>
          <w:bCs/>
          <w:snapToGrid w:val="0"/>
          <w:color w:val="000000"/>
          <w:sz w:val="24"/>
          <w:szCs w:val="24"/>
        </w:rPr>
      </w:pPr>
      <w:bookmarkStart w:id="268" w:name="_Toc10635"/>
      <w:bookmarkStart w:id="269" w:name="_Toc2855"/>
      <w:bookmarkStart w:id="270" w:name="_Toc10254"/>
      <w:bookmarkStart w:id="271" w:name="_Toc26365"/>
      <w:bookmarkStart w:id="272" w:name="_Toc3604"/>
      <w:bookmarkStart w:id="273" w:name="_Toc26152"/>
      <w:bookmarkStart w:id="274" w:name="_Toc23506"/>
      <w:bookmarkStart w:id="275" w:name="_Toc9374"/>
      <w:bookmarkStart w:id="276" w:name="_Toc25861"/>
      <w:bookmarkStart w:id="277" w:name="_Toc510994114"/>
      <w:r>
        <w:rPr>
          <w:rFonts w:hint="eastAsia"/>
          <w:b/>
          <w:bCs/>
          <w:snapToGrid w:val="0"/>
          <w:color w:val="000000"/>
          <w:sz w:val="24"/>
          <w:szCs w:val="24"/>
        </w:rPr>
        <w:t>九、询问和质疑</w:t>
      </w:r>
      <w:bookmarkEnd w:id="268"/>
      <w:bookmarkEnd w:id="269"/>
      <w:bookmarkEnd w:id="270"/>
      <w:bookmarkEnd w:id="271"/>
      <w:bookmarkEnd w:id="272"/>
      <w:bookmarkEnd w:id="273"/>
      <w:bookmarkEnd w:id="274"/>
      <w:bookmarkEnd w:id="275"/>
      <w:bookmarkEnd w:id="276"/>
      <w:bookmarkEnd w:id="277"/>
    </w:p>
    <w:p w14:paraId="2CBD88DA">
      <w:pPr>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278" w:name="_Toc16985"/>
      <w:bookmarkStart w:id="279" w:name="_Toc3776"/>
      <w:bookmarkStart w:id="280" w:name="_Toc8164"/>
      <w:r>
        <w:rPr>
          <w:rFonts w:hint="eastAsia"/>
          <w:b/>
          <w:snapToGrid w:val="0"/>
          <w:color w:val="000000"/>
          <w:sz w:val="24"/>
          <w:szCs w:val="24"/>
        </w:rPr>
        <w:t>27.</w:t>
      </w:r>
      <w:r>
        <w:rPr>
          <w:rFonts w:hint="eastAsia"/>
          <w:b/>
          <w:snapToGrid w:val="0"/>
          <w:color w:val="000000"/>
          <w:sz w:val="24"/>
          <w:szCs w:val="24"/>
          <w:lang w:eastAsia="zh-CN"/>
        </w:rPr>
        <w:t>响应人</w:t>
      </w:r>
      <w:r>
        <w:rPr>
          <w:rFonts w:hint="eastAsia"/>
          <w:b/>
          <w:snapToGrid w:val="0"/>
          <w:color w:val="000000"/>
          <w:sz w:val="24"/>
          <w:szCs w:val="24"/>
        </w:rPr>
        <w:t>有权就招标事宜提出询问和质疑</w:t>
      </w:r>
      <w:bookmarkEnd w:id="278"/>
      <w:bookmarkEnd w:id="279"/>
      <w:bookmarkEnd w:id="280"/>
    </w:p>
    <w:p w14:paraId="4F5188D6">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27.1招标程序受到严格的内部监督，以确保授予合同过程的公平公正。</w:t>
      </w:r>
    </w:p>
    <w:p w14:paraId="1690EB41">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27.2</w:t>
      </w:r>
      <w:r>
        <w:rPr>
          <w:rFonts w:hint="eastAsia"/>
          <w:snapToGrid w:val="0"/>
          <w:color w:val="000000"/>
          <w:sz w:val="24"/>
          <w:szCs w:val="24"/>
          <w:lang w:eastAsia="zh-CN"/>
        </w:rPr>
        <w:t>响应人</w:t>
      </w:r>
      <w:r>
        <w:rPr>
          <w:rFonts w:hint="eastAsia"/>
          <w:snapToGrid w:val="0"/>
          <w:color w:val="000000"/>
          <w:sz w:val="24"/>
          <w:szCs w:val="24"/>
        </w:rPr>
        <w:t>对磋商文件条款或技术、商务参数有异议的，应当在开标前通过澄清或修改程序提出。</w:t>
      </w:r>
    </w:p>
    <w:p w14:paraId="039722D3">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27.3</w:t>
      </w:r>
      <w:r>
        <w:rPr>
          <w:rFonts w:hint="eastAsia"/>
          <w:snapToGrid w:val="0"/>
          <w:color w:val="000000"/>
          <w:sz w:val="24"/>
          <w:szCs w:val="24"/>
          <w:lang w:eastAsia="zh-CN"/>
        </w:rPr>
        <w:t>响应人</w:t>
      </w:r>
      <w:r>
        <w:rPr>
          <w:rFonts w:hint="eastAsia"/>
          <w:snapToGrid w:val="0"/>
          <w:color w:val="000000"/>
          <w:sz w:val="24"/>
          <w:szCs w:val="24"/>
        </w:rPr>
        <w:t>对采购事项有疑问的，可以向采购代理机构（或采购人）提出询问。</w:t>
      </w:r>
    </w:p>
    <w:p w14:paraId="26569DC8">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27.4</w:t>
      </w:r>
      <w:r>
        <w:rPr>
          <w:rFonts w:hint="eastAsia"/>
          <w:snapToGrid w:val="0"/>
          <w:color w:val="000000"/>
          <w:sz w:val="24"/>
          <w:szCs w:val="24"/>
          <w:lang w:eastAsia="zh-CN"/>
        </w:rPr>
        <w:t>响应人</w:t>
      </w:r>
      <w:r>
        <w:rPr>
          <w:rFonts w:hint="eastAsia"/>
          <w:snapToGrid w:val="0"/>
          <w:color w:val="000000"/>
          <w:sz w:val="24"/>
          <w:szCs w:val="24"/>
        </w:rPr>
        <w:t>认为其投标未获公平评审或采购过程和成交结果使自己的合法权益受到损害的，应当在知道或者应知其权益受到损害之日起7个工作日内提出质疑。</w:t>
      </w:r>
    </w:p>
    <w:p w14:paraId="6499868E">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27.5质疑应当以书面形式向采购代理机构（或采购人）提出，经法定代表人签字并加盖公章；如遇特殊情况，按相关文件要求执行。</w:t>
      </w:r>
    </w:p>
    <w:p w14:paraId="3EFBD333">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27.6质疑书应当包括以下主要内容：被质疑项目名称、项目编号、包号、磋商公告发布时间、质疑事项、法律依据（具体条款）、质疑人全称、法定代表人签字、盖章、有效联系方式（包括手机、传真号码）。</w:t>
      </w:r>
    </w:p>
    <w:p w14:paraId="6AAEB749">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27.7质疑应按照“谁主张、谁举证”的原则，质疑书应当附相关证明材料。质疑材料应为简体中文，一式二份，并当面办理接收手续。</w:t>
      </w:r>
    </w:p>
    <w:p w14:paraId="60A6D771">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27.8有下列情形之一的，属于无效质疑，采购代理机构（或采购人）可不予受理：</w:t>
      </w:r>
    </w:p>
    <w:p w14:paraId="04904D75">
      <w:pPr>
        <w:overflowPunct w:val="0"/>
        <w:topLinePunct/>
        <w:adjustRightInd w:val="0"/>
        <w:snapToGrid w:val="0"/>
        <w:spacing w:line="360" w:lineRule="auto"/>
        <w:ind w:firstLine="480" w:firstLineChars="200"/>
        <w:outlineLvl w:val="9"/>
        <w:rPr>
          <w:rFonts w:hint="eastAsia"/>
          <w:snapToGrid w:val="0"/>
          <w:color w:val="000000"/>
          <w:sz w:val="24"/>
          <w:szCs w:val="24"/>
        </w:rPr>
      </w:pPr>
      <w:bookmarkStart w:id="281" w:name="_Toc29413"/>
      <w:r>
        <w:rPr>
          <w:rFonts w:hint="eastAsia"/>
          <w:snapToGrid w:val="0"/>
          <w:color w:val="000000"/>
          <w:sz w:val="24"/>
          <w:szCs w:val="24"/>
        </w:rPr>
        <w:t>（1）未在有效期限内提出质疑的；</w:t>
      </w:r>
      <w:bookmarkEnd w:id="281"/>
    </w:p>
    <w:p w14:paraId="601027AC">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（2）质疑未以书面形式提出的（如遇特殊情况，按相关文件要求执行）；</w:t>
      </w:r>
    </w:p>
    <w:p w14:paraId="2E2BC3E1">
      <w:pPr>
        <w:overflowPunct w:val="0"/>
        <w:topLinePunct/>
        <w:adjustRightInd w:val="0"/>
        <w:snapToGrid w:val="0"/>
        <w:spacing w:line="360" w:lineRule="auto"/>
        <w:ind w:firstLine="480" w:firstLineChars="200"/>
        <w:outlineLvl w:val="9"/>
        <w:rPr>
          <w:rFonts w:hint="eastAsia"/>
          <w:snapToGrid w:val="0"/>
          <w:color w:val="000000"/>
          <w:sz w:val="24"/>
          <w:szCs w:val="24"/>
        </w:rPr>
      </w:pPr>
      <w:bookmarkStart w:id="282" w:name="_Toc15182"/>
      <w:r>
        <w:rPr>
          <w:rFonts w:hint="eastAsia"/>
          <w:snapToGrid w:val="0"/>
          <w:color w:val="000000"/>
          <w:sz w:val="24"/>
          <w:szCs w:val="24"/>
        </w:rPr>
        <w:t>（3）所提交材料未明示属于质疑材料的；</w:t>
      </w:r>
      <w:bookmarkEnd w:id="282"/>
    </w:p>
    <w:p w14:paraId="402A3B86">
      <w:pPr>
        <w:overflowPunct w:val="0"/>
        <w:topLinePunct/>
        <w:adjustRightInd w:val="0"/>
        <w:snapToGrid w:val="0"/>
        <w:spacing w:line="360" w:lineRule="auto"/>
        <w:outlineLvl w:val="9"/>
        <w:rPr>
          <w:rFonts w:hint="eastAsia"/>
          <w:snapToGrid w:val="0"/>
          <w:color w:val="000000"/>
          <w:sz w:val="24"/>
          <w:szCs w:val="24"/>
        </w:rPr>
      </w:pPr>
      <w:r>
        <w:rPr>
          <w:rFonts w:hint="eastAsia"/>
          <w:snapToGrid w:val="0"/>
          <w:color w:val="000000"/>
          <w:sz w:val="24"/>
          <w:szCs w:val="24"/>
        </w:rPr>
        <w:t xml:space="preserve">   （4）质疑书没有法定代表人签署本人姓名或印盖本人姓名章并加盖单位公章的；质疑书由参加采购项目的授权代表签署本人姓名或印盖本人姓名章，但没有法定代表人特别授权的；</w:t>
      </w:r>
    </w:p>
    <w:p w14:paraId="2B2DF112">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（5）质疑书未提供有效联系人或联系方式的；</w:t>
      </w:r>
    </w:p>
    <w:p w14:paraId="5C1B3F02">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（6）质疑事项已经进入投诉或者行政复议或者诉讼程序的；</w:t>
      </w:r>
    </w:p>
    <w:p w14:paraId="16C90A08">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（7）质疑书未附相关证明材料，被视为无有效证据支持的；</w:t>
      </w:r>
    </w:p>
    <w:p w14:paraId="7A96DEDF">
      <w:pPr>
        <w:overflowPunct w:val="0"/>
        <w:topLinePunct/>
        <w:adjustRightInd w:val="0"/>
        <w:snapToGrid w:val="0"/>
        <w:spacing w:line="360" w:lineRule="auto"/>
        <w:outlineLvl w:val="9"/>
        <w:rPr>
          <w:rFonts w:hint="eastAsia"/>
          <w:snapToGrid w:val="0"/>
          <w:color w:val="000000"/>
          <w:sz w:val="24"/>
          <w:szCs w:val="24"/>
        </w:rPr>
      </w:pPr>
      <w:r>
        <w:rPr>
          <w:rFonts w:hint="eastAsia"/>
          <w:snapToGrid w:val="0"/>
          <w:color w:val="000000"/>
          <w:sz w:val="24"/>
          <w:szCs w:val="24"/>
        </w:rPr>
        <w:t xml:space="preserve">   （8）</w:t>
      </w:r>
      <w:r>
        <w:rPr>
          <w:rFonts w:hint="eastAsia"/>
          <w:snapToGrid w:val="0"/>
          <w:color w:val="000000"/>
          <w:sz w:val="24"/>
          <w:szCs w:val="24"/>
          <w:lang w:eastAsia="zh-CN"/>
        </w:rPr>
        <w:t>响应人</w:t>
      </w:r>
      <w:r>
        <w:rPr>
          <w:rFonts w:hint="eastAsia"/>
          <w:snapToGrid w:val="0"/>
          <w:color w:val="000000"/>
          <w:sz w:val="24"/>
          <w:szCs w:val="24"/>
        </w:rPr>
        <w:t>对磋商文件条款或技术参数有异议，未在开标前通过澄清或修改程序提出，并且</w:t>
      </w:r>
      <w:r>
        <w:rPr>
          <w:rFonts w:hint="eastAsia"/>
          <w:snapToGrid w:val="0"/>
          <w:color w:val="000000"/>
          <w:sz w:val="24"/>
          <w:szCs w:val="24"/>
          <w:lang w:eastAsia="zh-CN"/>
        </w:rPr>
        <w:t>响应人</w:t>
      </w:r>
      <w:r>
        <w:rPr>
          <w:rFonts w:hint="eastAsia"/>
          <w:snapToGrid w:val="0"/>
          <w:color w:val="000000"/>
          <w:sz w:val="24"/>
          <w:szCs w:val="24"/>
        </w:rPr>
        <w:t>已经参与投标，而于开标后对磋商文件提出质疑的；</w:t>
      </w:r>
    </w:p>
    <w:p w14:paraId="11B34850">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（9）在提出本次质疑前半年内连续三次质疑而无事实依据的；</w:t>
      </w:r>
    </w:p>
    <w:p w14:paraId="1833C38E">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（10）其它不符合受理条件的情形。</w:t>
      </w:r>
    </w:p>
    <w:p w14:paraId="5EB8B718">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27.9采购代理机构（或采购人）将在收到书面质疑后7个工作日内审查质疑事项，做出答复或相关处理决定，并以书面形式通知质疑</w:t>
      </w:r>
      <w:r>
        <w:rPr>
          <w:rFonts w:hint="eastAsia"/>
          <w:snapToGrid w:val="0"/>
          <w:color w:val="000000"/>
          <w:sz w:val="24"/>
          <w:szCs w:val="24"/>
          <w:lang w:eastAsia="zh-CN"/>
        </w:rPr>
        <w:t>响应人</w:t>
      </w:r>
      <w:r>
        <w:rPr>
          <w:rFonts w:hint="eastAsia"/>
          <w:snapToGrid w:val="0"/>
          <w:color w:val="000000"/>
          <w:sz w:val="24"/>
          <w:szCs w:val="24"/>
        </w:rPr>
        <w:t>和其他有关</w:t>
      </w:r>
      <w:r>
        <w:rPr>
          <w:rFonts w:hint="eastAsia"/>
          <w:snapToGrid w:val="0"/>
          <w:color w:val="000000"/>
          <w:sz w:val="24"/>
          <w:szCs w:val="24"/>
          <w:lang w:eastAsia="zh-CN"/>
        </w:rPr>
        <w:t>响应人</w:t>
      </w:r>
      <w:r>
        <w:rPr>
          <w:rFonts w:hint="eastAsia"/>
          <w:snapToGrid w:val="0"/>
          <w:color w:val="000000"/>
          <w:sz w:val="24"/>
          <w:szCs w:val="24"/>
        </w:rPr>
        <w:t>，但答复的内容不涉及商业秘密。</w:t>
      </w:r>
    </w:p>
    <w:p w14:paraId="2644E5E7">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27.10质疑</w:t>
      </w:r>
      <w:r>
        <w:rPr>
          <w:rFonts w:hint="eastAsia"/>
          <w:snapToGrid w:val="0"/>
          <w:color w:val="000000"/>
          <w:sz w:val="24"/>
          <w:szCs w:val="24"/>
          <w:lang w:eastAsia="zh-CN"/>
        </w:rPr>
        <w:t>响应人</w:t>
      </w:r>
      <w:r>
        <w:rPr>
          <w:rFonts w:hint="eastAsia"/>
          <w:snapToGrid w:val="0"/>
          <w:color w:val="000000"/>
          <w:sz w:val="24"/>
          <w:szCs w:val="24"/>
        </w:rPr>
        <w:t>对采购代理机构（或采购人）的答复不满意以及采购代理机构（或采购人）未在规定的时间内做出答复的，可以在答复期满后15个工作日内向相关部门投诉。</w:t>
      </w:r>
    </w:p>
    <w:p w14:paraId="0F422D15">
      <w:pPr>
        <w:spacing w:line="360" w:lineRule="auto"/>
        <w:jc w:val="center"/>
        <w:outlineLvl w:val="1"/>
        <w:rPr>
          <w:rFonts w:hint="eastAsia"/>
          <w:b/>
          <w:bCs/>
          <w:snapToGrid w:val="0"/>
          <w:color w:val="000000"/>
          <w:sz w:val="24"/>
          <w:szCs w:val="24"/>
        </w:rPr>
      </w:pPr>
      <w:bookmarkStart w:id="283" w:name="_Toc31811"/>
      <w:bookmarkStart w:id="284" w:name="_Toc14145"/>
      <w:bookmarkStart w:id="285" w:name="_Toc13080"/>
      <w:bookmarkStart w:id="286" w:name="_Toc12686"/>
      <w:bookmarkStart w:id="287" w:name="_Toc12294"/>
      <w:bookmarkStart w:id="288" w:name="_Toc12399"/>
      <w:bookmarkStart w:id="289" w:name="_Toc28989"/>
      <w:bookmarkStart w:id="290" w:name="_Toc510994115"/>
      <w:bookmarkStart w:id="291" w:name="_Toc4063"/>
      <w:bookmarkStart w:id="292" w:name="_Toc13217"/>
      <w:bookmarkStart w:id="293" w:name="_Toc14289"/>
      <w:r>
        <w:rPr>
          <w:rFonts w:hint="eastAsia"/>
          <w:b/>
          <w:bCs/>
          <w:snapToGrid w:val="0"/>
          <w:color w:val="000000"/>
          <w:sz w:val="24"/>
          <w:szCs w:val="24"/>
        </w:rPr>
        <w:t>十、违约处罚</w:t>
      </w:r>
      <w:bookmarkEnd w:id="283"/>
      <w:bookmarkEnd w:id="284"/>
      <w:bookmarkEnd w:id="285"/>
      <w:bookmarkEnd w:id="286"/>
      <w:bookmarkEnd w:id="287"/>
      <w:bookmarkEnd w:id="288"/>
      <w:bookmarkEnd w:id="289"/>
      <w:bookmarkEnd w:id="290"/>
      <w:bookmarkEnd w:id="291"/>
      <w:bookmarkEnd w:id="292"/>
      <w:bookmarkEnd w:id="293"/>
    </w:p>
    <w:p w14:paraId="78D46168">
      <w:pPr>
        <w:overflowPunct w:val="0"/>
        <w:topLinePunct/>
        <w:adjustRightInd w:val="0"/>
        <w:snapToGrid w:val="0"/>
        <w:spacing w:line="360" w:lineRule="auto"/>
        <w:ind w:firstLine="482" w:firstLineChars="200"/>
        <w:outlineLvl w:val="9"/>
        <w:rPr>
          <w:rFonts w:hint="eastAsia"/>
          <w:b/>
          <w:snapToGrid w:val="0"/>
          <w:color w:val="000000"/>
          <w:sz w:val="24"/>
          <w:szCs w:val="24"/>
        </w:rPr>
      </w:pPr>
      <w:bookmarkStart w:id="294" w:name="_Toc9673"/>
      <w:bookmarkStart w:id="295" w:name="_Toc10931"/>
      <w:bookmarkStart w:id="296" w:name="_Toc31513"/>
      <w:r>
        <w:rPr>
          <w:rFonts w:hint="eastAsia"/>
          <w:b/>
          <w:snapToGrid w:val="0"/>
          <w:color w:val="000000"/>
          <w:sz w:val="24"/>
          <w:szCs w:val="24"/>
        </w:rPr>
        <w:t>28.违约处罚</w:t>
      </w:r>
      <w:bookmarkEnd w:id="294"/>
      <w:bookmarkEnd w:id="295"/>
      <w:bookmarkEnd w:id="296"/>
    </w:p>
    <w:p w14:paraId="0F56A300">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28.1发生下列情况之一，</w:t>
      </w:r>
      <w:r>
        <w:rPr>
          <w:rFonts w:hint="eastAsia"/>
          <w:snapToGrid w:val="0"/>
          <w:color w:val="000000"/>
          <w:sz w:val="24"/>
          <w:szCs w:val="24"/>
          <w:lang w:eastAsia="zh-CN"/>
        </w:rPr>
        <w:t>响应人</w:t>
      </w:r>
      <w:r>
        <w:rPr>
          <w:rFonts w:hint="eastAsia"/>
          <w:snapToGrid w:val="0"/>
          <w:color w:val="000000"/>
          <w:sz w:val="24"/>
          <w:szCs w:val="24"/>
        </w:rPr>
        <w:t>可能被列入不良记录名单，</w:t>
      </w:r>
      <w:r>
        <w:rPr>
          <w:rFonts w:hint="eastAsia"/>
          <w:snapToGrid w:val="0"/>
          <w:color w:val="000000"/>
          <w:sz w:val="24"/>
          <w:szCs w:val="24"/>
          <w:lang w:eastAsia="zh-CN"/>
        </w:rPr>
        <w:t>响应人</w:t>
      </w:r>
      <w:r>
        <w:rPr>
          <w:rFonts w:hint="eastAsia"/>
          <w:snapToGrid w:val="0"/>
          <w:color w:val="000000"/>
          <w:sz w:val="24"/>
          <w:szCs w:val="24"/>
        </w:rPr>
        <w:t>今后参与同类采购项目的机会可能会受到影响：</w:t>
      </w:r>
    </w:p>
    <w:p w14:paraId="48B4F358">
      <w:pPr>
        <w:overflowPunct w:val="0"/>
        <w:topLinePunct/>
        <w:adjustRightInd w:val="0"/>
        <w:snapToGrid w:val="0"/>
        <w:spacing w:line="360" w:lineRule="auto"/>
        <w:ind w:firstLine="480" w:firstLineChars="200"/>
        <w:outlineLvl w:val="9"/>
        <w:rPr>
          <w:rFonts w:hint="eastAsia"/>
          <w:snapToGrid w:val="0"/>
          <w:color w:val="000000"/>
          <w:sz w:val="24"/>
          <w:szCs w:val="24"/>
        </w:rPr>
      </w:pPr>
      <w:bookmarkStart w:id="297" w:name="_Toc28073"/>
      <w:r>
        <w:rPr>
          <w:rFonts w:hint="eastAsia"/>
          <w:snapToGrid w:val="0"/>
          <w:color w:val="000000"/>
          <w:sz w:val="24"/>
          <w:szCs w:val="24"/>
        </w:rPr>
        <w:t>（1）开标后在投标有效期内，</w:t>
      </w:r>
      <w:r>
        <w:rPr>
          <w:rFonts w:hint="eastAsia"/>
          <w:snapToGrid w:val="0"/>
          <w:color w:val="000000"/>
          <w:sz w:val="24"/>
          <w:szCs w:val="24"/>
          <w:lang w:eastAsia="zh-CN"/>
        </w:rPr>
        <w:t>响应人</w:t>
      </w:r>
      <w:r>
        <w:rPr>
          <w:rFonts w:hint="eastAsia"/>
          <w:snapToGrid w:val="0"/>
          <w:color w:val="000000"/>
          <w:sz w:val="24"/>
          <w:szCs w:val="24"/>
        </w:rPr>
        <w:t>撤回其投标；</w:t>
      </w:r>
      <w:bookmarkEnd w:id="297"/>
    </w:p>
    <w:p w14:paraId="44FAC9E4">
      <w:pPr>
        <w:overflowPunct w:val="0"/>
        <w:topLinePunct/>
        <w:adjustRightInd w:val="0"/>
        <w:snapToGrid w:val="0"/>
        <w:spacing w:line="360" w:lineRule="auto"/>
        <w:outlineLvl w:val="9"/>
        <w:rPr>
          <w:rFonts w:hint="eastAsia"/>
          <w:snapToGrid w:val="0"/>
          <w:color w:val="000000"/>
          <w:sz w:val="24"/>
          <w:szCs w:val="24"/>
        </w:rPr>
      </w:pPr>
      <w:r>
        <w:rPr>
          <w:rFonts w:hint="eastAsia"/>
          <w:snapToGrid w:val="0"/>
          <w:color w:val="000000"/>
          <w:sz w:val="24"/>
          <w:szCs w:val="24"/>
        </w:rPr>
        <w:t xml:space="preserve">   （2）在评标期间，</w:t>
      </w:r>
      <w:r>
        <w:rPr>
          <w:rFonts w:hint="eastAsia"/>
          <w:snapToGrid w:val="0"/>
          <w:color w:val="000000"/>
          <w:sz w:val="24"/>
          <w:szCs w:val="24"/>
          <w:lang w:eastAsia="zh-CN"/>
        </w:rPr>
        <w:t>响应人</w:t>
      </w:r>
      <w:r>
        <w:rPr>
          <w:rFonts w:hint="eastAsia"/>
          <w:snapToGrid w:val="0"/>
          <w:color w:val="000000"/>
          <w:sz w:val="24"/>
          <w:szCs w:val="24"/>
        </w:rPr>
        <w:t>企图影响采购机构或磋商小组的任何活动，将导致投标被拒绝，并由其承担相应的法律责任；</w:t>
      </w:r>
    </w:p>
    <w:p w14:paraId="61E5F6CF">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（3）</w:t>
      </w:r>
      <w:r>
        <w:rPr>
          <w:rFonts w:hint="eastAsia"/>
          <w:snapToGrid w:val="0"/>
          <w:color w:val="000000"/>
          <w:sz w:val="24"/>
          <w:szCs w:val="24"/>
          <w:lang w:eastAsia="zh-CN"/>
        </w:rPr>
        <w:t>成交人</w:t>
      </w:r>
      <w:r>
        <w:rPr>
          <w:rFonts w:hint="eastAsia"/>
          <w:snapToGrid w:val="0"/>
          <w:color w:val="000000"/>
          <w:sz w:val="24"/>
          <w:szCs w:val="24"/>
        </w:rPr>
        <w:t>未按本磋商文件规定签约；</w:t>
      </w:r>
    </w:p>
    <w:p w14:paraId="08C06E94">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（4）</w:t>
      </w:r>
      <w:r>
        <w:rPr>
          <w:rFonts w:hint="eastAsia"/>
          <w:snapToGrid w:val="0"/>
          <w:color w:val="000000"/>
          <w:sz w:val="24"/>
          <w:szCs w:val="24"/>
          <w:lang w:eastAsia="zh-CN"/>
        </w:rPr>
        <w:t>成交人</w:t>
      </w:r>
      <w:r>
        <w:rPr>
          <w:rFonts w:hint="eastAsia"/>
          <w:snapToGrid w:val="0"/>
          <w:color w:val="000000"/>
          <w:sz w:val="24"/>
          <w:szCs w:val="24"/>
        </w:rPr>
        <w:t>与采购人订立背离合同实质性内容的其它协议；</w:t>
      </w:r>
    </w:p>
    <w:p w14:paraId="776877F4">
      <w:pPr>
        <w:overflowPunct w:val="0"/>
        <w:topLinePunct/>
        <w:adjustRightInd w:val="0"/>
        <w:snapToGrid w:val="0"/>
        <w:spacing w:line="360" w:lineRule="auto"/>
        <w:ind w:firstLine="480" w:firstLineChars="200"/>
        <w:outlineLvl w:val="9"/>
        <w:rPr>
          <w:rFonts w:hint="eastAsia"/>
          <w:snapToGrid w:val="0"/>
          <w:color w:val="000000"/>
          <w:sz w:val="24"/>
          <w:szCs w:val="24"/>
        </w:rPr>
      </w:pPr>
      <w:r>
        <w:rPr>
          <w:rFonts w:hint="eastAsia"/>
          <w:snapToGrid w:val="0"/>
          <w:color w:val="000000"/>
          <w:sz w:val="24"/>
          <w:szCs w:val="24"/>
        </w:rPr>
        <w:t>（5）</w:t>
      </w:r>
      <w:r>
        <w:rPr>
          <w:rFonts w:hint="eastAsia"/>
          <w:snapToGrid w:val="0"/>
          <w:color w:val="000000"/>
          <w:sz w:val="24"/>
          <w:szCs w:val="24"/>
          <w:lang w:eastAsia="zh-CN"/>
        </w:rPr>
        <w:t>响应人</w:t>
      </w:r>
      <w:r>
        <w:rPr>
          <w:rFonts w:hint="eastAsia"/>
          <w:snapToGrid w:val="0"/>
          <w:color w:val="000000"/>
          <w:sz w:val="24"/>
          <w:szCs w:val="24"/>
        </w:rPr>
        <w:t>未按磋商文件规定和合同约定履行义务的。</w:t>
      </w:r>
    </w:p>
    <w:p w14:paraId="44E60067">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0"/>
        <w:rPr>
          <w:rFonts w:hint="eastAsia" w:ascii="宋体" w:hAnsi="宋体" w:eastAsia="宋体" w:cs="宋体"/>
          <w:b/>
          <w:color w:val="000000"/>
          <w:sz w:val="24"/>
          <w:szCs w:val="24"/>
          <w:highlight w:val="yellow"/>
          <w:lang w:val="en-US" w:eastAsia="zh-CN"/>
        </w:rPr>
      </w:pPr>
      <w:r>
        <w:rPr>
          <w:rFonts w:hint="eastAsia"/>
          <w:color w:val="000000"/>
          <w:sz w:val="21"/>
          <w:szCs w:val="21"/>
        </w:rPr>
        <w:br w:type="page"/>
      </w:r>
      <w:bookmarkStart w:id="298" w:name="_Toc510994116"/>
      <w:bookmarkStart w:id="299" w:name="_Toc5049"/>
      <w:bookmarkStart w:id="300" w:name="_Toc32467"/>
      <w:bookmarkStart w:id="301" w:name="_Toc1960"/>
      <w:bookmarkStart w:id="302" w:name="_Toc25344"/>
      <w:bookmarkStart w:id="303" w:name="_Toc26582"/>
      <w:bookmarkStart w:id="304" w:name="_Toc9677"/>
      <w:bookmarkStart w:id="305" w:name="_Toc26311"/>
      <w:bookmarkStart w:id="306" w:name="_Toc6523"/>
      <w:bookmarkStart w:id="307" w:name="_Toc28597"/>
      <w:r>
        <w:rPr>
          <w:rFonts w:hint="eastAsia" w:ascii="宋体" w:hAnsi="宋体" w:eastAsia="宋体" w:cs="宋体"/>
          <w:b/>
          <w:bCs/>
          <w:sz w:val="44"/>
          <w:szCs w:val="44"/>
          <w:highlight w:val="none"/>
          <w:lang w:val="en-US" w:eastAsia="zh-CN"/>
        </w:rPr>
        <w:t>第三章</w:t>
      </w:r>
      <w:bookmarkEnd w:id="298"/>
      <w:r>
        <w:rPr>
          <w:rFonts w:hint="eastAsia" w:ascii="宋体" w:hAnsi="宋体" w:eastAsia="宋体" w:cs="宋体"/>
          <w:b/>
          <w:bCs/>
          <w:sz w:val="44"/>
          <w:szCs w:val="44"/>
          <w:highlight w:val="none"/>
          <w:lang w:val="en-US" w:eastAsia="zh-CN"/>
        </w:rPr>
        <w:t xml:space="preserve">  服务方案</w:t>
      </w:r>
      <w:bookmarkEnd w:id="299"/>
      <w:bookmarkEnd w:id="300"/>
      <w:bookmarkEnd w:id="301"/>
      <w:bookmarkEnd w:id="302"/>
      <w:bookmarkEnd w:id="303"/>
      <w:bookmarkEnd w:id="304"/>
      <w:bookmarkEnd w:id="305"/>
      <w:bookmarkEnd w:id="306"/>
      <w:bookmarkEnd w:id="307"/>
    </w:p>
    <w:p w14:paraId="406C4D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bidi="ar"/>
        </w:rPr>
      </w:pPr>
      <w:bookmarkStart w:id="308" w:name="_Toc510994117"/>
      <w:r>
        <w:rPr>
          <w:rFonts w:hint="eastAsia" w:ascii="宋体" w:hAnsi="宋体" w:eastAsia="宋体" w:cs="宋体"/>
          <w:b/>
          <w:bCs/>
          <w:color w:val="000000"/>
          <w:sz w:val="44"/>
          <w:szCs w:val="44"/>
          <w:lang w:bidi="ar"/>
        </w:rPr>
        <w:t>第十四届陕州地坑院杯自行车邀请赛暨2025自行车骑游大会</w:t>
      </w:r>
    </w:p>
    <w:p w14:paraId="1E7007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一、</w:t>
      </w:r>
      <w:r>
        <w:rPr>
          <w:rFonts w:hint="eastAsia" w:ascii="宋体" w:hAnsi="宋体" w:eastAsia="宋体" w:cs="宋体"/>
          <w:sz w:val="24"/>
          <w:szCs w:val="24"/>
          <w:lang w:val="en-US" w:eastAsia="zh-CN"/>
        </w:rPr>
        <w:t>项目概况</w:t>
      </w:r>
    </w:p>
    <w:p w14:paraId="2391B2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eastAsia="zh-CN" w:bidi="zh-CN"/>
        </w:rPr>
        <w:t>202</w:t>
      </w:r>
      <w:r>
        <w:rPr>
          <w:rFonts w:hint="eastAsia" w:ascii="宋体" w:hAnsi="宋体" w:eastAsia="宋体" w:cs="宋体"/>
          <w:sz w:val="24"/>
          <w:szCs w:val="24"/>
          <w:lang w:val="en-US" w:eastAsia="zh-CN" w:bidi="zh-CN"/>
        </w:rPr>
        <w:t>5</w:t>
      </w:r>
      <w:r>
        <w:rPr>
          <w:rFonts w:hint="eastAsia" w:ascii="宋体" w:hAnsi="宋体" w:eastAsia="宋体" w:cs="宋体"/>
          <w:sz w:val="24"/>
          <w:szCs w:val="24"/>
          <w:lang w:bidi="zh-CN"/>
        </w:rPr>
        <w:t>三门峡市“陕州地坑院杯”自行车邀请赛</w:t>
      </w:r>
      <w:r>
        <w:rPr>
          <w:rFonts w:hint="eastAsia" w:ascii="宋体" w:hAnsi="宋体" w:eastAsia="宋体" w:cs="宋体"/>
          <w:sz w:val="24"/>
          <w:szCs w:val="24"/>
          <w:lang w:val="en-US" w:eastAsia="zh-CN" w:bidi="zh-CN"/>
        </w:rPr>
        <w:t>暨2025自行车骑游大会</w:t>
      </w:r>
      <w:r>
        <w:rPr>
          <w:rFonts w:hint="eastAsia" w:ascii="宋体" w:hAnsi="宋体" w:eastAsia="宋体" w:cs="宋体"/>
          <w:sz w:val="24"/>
          <w:szCs w:val="24"/>
          <w:lang w:bidi="zh-CN"/>
        </w:rPr>
        <w:t>是第</w:t>
      </w:r>
      <w:r>
        <w:rPr>
          <w:rFonts w:hint="eastAsia" w:ascii="宋体" w:hAnsi="宋体" w:eastAsia="宋体" w:cs="宋体"/>
          <w:sz w:val="24"/>
          <w:szCs w:val="24"/>
          <w:lang w:val="en-US" w:eastAsia="zh-CN" w:bidi="zh-CN"/>
        </w:rPr>
        <w:t>三十</w:t>
      </w:r>
      <w:r>
        <w:rPr>
          <w:rFonts w:hint="eastAsia" w:ascii="宋体" w:hAnsi="宋体" w:eastAsia="宋体" w:cs="宋体"/>
          <w:sz w:val="24"/>
          <w:szCs w:val="24"/>
          <w:lang w:bidi="zh-CN"/>
        </w:rPr>
        <w:t>届三门峡黄河文化旅游节，也是陕州区举办的第十</w:t>
      </w:r>
      <w:r>
        <w:rPr>
          <w:rFonts w:hint="eastAsia" w:ascii="宋体" w:hAnsi="宋体" w:eastAsia="宋体" w:cs="宋体"/>
          <w:sz w:val="24"/>
          <w:szCs w:val="24"/>
          <w:lang w:val="en-US" w:eastAsia="zh-CN" w:bidi="zh-CN"/>
        </w:rPr>
        <w:t>四</w:t>
      </w:r>
      <w:r>
        <w:rPr>
          <w:rFonts w:hint="eastAsia" w:ascii="宋体" w:hAnsi="宋体" w:eastAsia="宋体" w:cs="宋体"/>
          <w:sz w:val="24"/>
          <w:szCs w:val="24"/>
          <w:lang w:bidi="zh-CN"/>
        </w:rPr>
        <w:t>届自行车邀请赛。举办此项赛事，旨在利用独特优美的旅游资源，打造自行车赛事，提升三门峡市及陕州区文化旅游品牌知名度，促进全民健身，促进全国各地自行车协会和自行车俱乐部之间的交流，以赛会友，打造三门峡“骑行者乐园”运动休闲旅游目的地。</w:t>
      </w:r>
    </w:p>
    <w:p w14:paraId="1335A7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（一）赛事时间：2025年5月25日</w:t>
      </w:r>
    </w:p>
    <w:p w14:paraId="3623EF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（二）赛事组别及规模</w:t>
      </w:r>
    </w:p>
    <w:p w14:paraId="0C60E5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1.挑战组</w:t>
      </w:r>
    </w:p>
    <w:p w14:paraId="331ACE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2.团体组</w:t>
      </w:r>
    </w:p>
    <w:p w14:paraId="53E85A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共1000人参加</w:t>
      </w:r>
    </w:p>
    <w:p w14:paraId="0148A6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（三）组织机构</w:t>
      </w:r>
    </w:p>
    <w:p w14:paraId="4D2E1C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bidi="zh-CN"/>
        </w:rPr>
      </w:pPr>
      <w:r>
        <w:rPr>
          <w:rFonts w:hint="eastAsia" w:ascii="宋体" w:hAnsi="宋体" w:eastAsia="宋体" w:cs="宋体"/>
          <w:sz w:val="24"/>
          <w:szCs w:val="24"/>
          <w:lang w:bidi="zh-CN"/>
        </w:rPr>
        <w:t>主办单位</w:t>
      </w:r>
      <w:r>
        <w:rPr>
          <w:rFonts w:hint="eastAsia" w:ascii="宋体" w:hAnsi="宋体" w:eastAsia="宋体" w:cs="宋体"/>
          <w:sz w:val="24"/>
          <w:szCs w:val="24"/>
          <w:lang w:eastAsia="zh-CN" w:bidi="zh-CN"/>
        </w:rPr>
        <w:t>：</w:t>
      </w:r>
    </w:p>
    <w:p w14:paraId="678CCA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第</w:t>
      </w:r>
      <w:r>
        <w:rPr>
          <w:rFonts w:hint="eastAsia" w:ascii="宋体" w:hAnsi="宋体" w:eastAsia="宋体" w:cs="宋体"/>
          <w:sz w:val="24"/>
          <w:szCs w:val="24"/>
          <w:lang w:val="en-US" w:eastAsia="zh-CN" w:bidi="zh-CN"/>
        </w:rPr>
        <w:t>三十</w:t>
      </w:r>
      <w:r>
        <w:rPr>
          <w:rFonts w:hint="eastAsia" w:ascii="宋体" w:hAnsi="宋体" w:eastAsia="宋体" w:cs="宋体"/>
          <w:sz w:val="24"/>
          <w:szCs w:val="24"/>
          <w:lang w:bidi="zh-CN"/>
        </w:rPr>
        <w:t xml:space="preserve">届三门峡黄河文化旅游节组委会 </w:t>
      </w:r>
    </w:p>
    <w:p w14:paraId="6A90D5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三门峡市体育局</w:t>
      </w:r>
    </w:p>
    <w:p w14:paraId="518FDD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中共三门峡市陕州区委</w:t>
      </w:r>
    </w:p>
    <w:p w14:paraId="19BE57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三门峡市陕州区人民政府</w:t>
      </w:r>
    </w:p>
    <w:p w14:paraId="5B4D6C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bidi="zh-CN"/>
        </w:rPr>
      </w:pPr>
      <w:r>
        <w:rPr>
          <w:rFonts w:hint="eastAsia" w:ascii="宋体" w:hAnsi="宋体" w:eastAsia="宋体" w:cs="宋体"/>
          <w:sz w:val="24"/>
          <w:szCs w:val="24"/>
          <w:lang w:bidi="zh-CN"/>
        </w:rPr>
        <w:t>承办单位</w:t>
      </w:r>
      <w:r>
        <w:rPr>
          <w:rFonts w:hint="eastAsia" w:ascii="宋体" w:hAnsi="宋体" w:eastAsia="宋体" w:cs="宋体"/>
          <w:sz w:val="24"/>
          <w:szCs w:val="24"/>
          <w:lang w:eastAsia="zh-CN" w:bidi="zh-CN"/>
        </w:rPr>
        <w:t>：</w:t>
      </w:r>
    </w:p>
    <w:p w14:paraId="397D53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三门峡市陕州区文化广电和旅游局</w:t>
      </w:r>
    </w:p>
    <w:p w14:paraId="171674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三门峡市陕州区教育体育局</w:t>
      </w:r>
    </w:p>
    <w:p w14:paraId="1F57EB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bidi="zh-CN"/>
        </w:rPr>
      </w:pPr>
      <w:r>
        <w:rPr>
          <w:rFonts w:hint="eastAsia" w:ascii="宋体" w:hAnsi="宋体" w:eastAsia="宋体" w:cs="宋体"/>
          <w:sz w:val="24"/>
          <w:szCs w:val="24"/>
          <w:lang w:bidi="zh-CN"/>
        </w:rPr>
        <w:t>协办单位</w:t>
      </w:r>
      <w:r>
        <w:rPr>
          <w:rFonts w:hint="eastAsia" w:ascii="宋体" w:hAnsi="宋体" w:eastAsia="宋体" w:cs="宋体"/>
          <w:sz w:val="24"/>
          <w:szCs w:val="24"/>
          <w:lang w:eastAsia="zh-CN" w:bidi="zh-CN"/>
        </w:rPr>
        <w:t>：</w:t>
      </w:r>
    </w:p>
    <w:p w14:paraId="21214F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陕州地坑院景区</w:t>
      </w:r>
    </w:p>
    <w:p w14:paraId="515653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甘山国家森林公园</w:t>
      </w:r>
    </w:p>
    <w:p w14:paraId="44447B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eastAsia="zh-CN" w:bidi="zh-CN"/>
        </w:rPr>
        <w:t>赛事名称：</w:t>
      </w:r>
      <w:r>
        <w:rPr>
          <w:rFonts w:hint="eastAsia" w:ascii="宋体" w:hAnsi="宋体" w:eastAsia="宋体" w:cs="宋体"/>
          <w:sz w:val="24"/>
          <w:szCs w:val="24"/>
          <w:lang w:val="en-US" w:eastAsia="zh-CN" w:bidi="zh-CN"/>
        </w:rPr>
        <w:t>第十四届</w:t>
      </w:r>
      <w:r>
        <w:rPr>
          <w:rFonts w:hint="eastAsia" w:ascii="宋体" w:hAnsi="宋体" w:eastAsia="宋体" w:cs="宋体"/>
          <w:sz w:val="24"/>
          <w:szCs w:val="24"/>
          <w:lang w:bidi="zh-CN"/>
        </w:rPr>
        <w:t>陕州地坑院杯</w:t>
      </w:r>
      <w:r>
        <w:rPr>
          <w:rFonts w:hint="eastAsia" w:ascii="宋体" w:hAnsi="宋体" w:eastAsia="宋体" w:cs="宋体"/>
          <w:sz w:val="24"/>
          <w:szCs w:val="24"/>
          <w:lang w:val="en-US" w:eastAsia="zh-CN" w:bidi="zh-CN"/>
        </w:rPr>
        <w:t>自行车邀请赛暨</w:t>
      </w:r>
      <w:r>
        <w:rPr>
          <w:rFonts w:hint="eastAsia" w:ascii="宋体" w:hAnsi="宋体" w:eastAsia="宋体" w:cs="宋体"/>
          <w:sz w:val="24"/>
          <w:szCs w:val="24"/>
          <w:lang w:bidi="zh-CN"/>
        </w:rPr>
        <w:t>2025自行车骑游大会</w:t>
      </w:r>
    </w:p>
    <w:p w14:paraId="4907DA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二、</w:t>
      </w:r>
      <w:r>
        <w:rPr>
          <w:rFonts w:hint="eastAsia" w:ascii="宋体" w:hAnsi="宋体" w:eastAsia="宋体" w:cs="宋体"/>
          <w:sz w:val="24"/>
          <w:szCs w:val="24"/>
          <w:lang w:val="en-US" w:eastAsia="zh-CN"/>
        </w:rPr>
        <w:t>项目内容</w:t>
      </w:r>
    </w:p>
    <w:p w14:paraId="1DA8D0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lang w:bidi="zh-CN"/>
        </w:rPr>
        <w:t>承办单位负责根据赛事实际情况，全面负责</w:t>
      </w:r>
      <w:r>
        <w:rPr>
          <w:rFonts w:hint="eastAsia" w:ascii="宋体" w:hAnsi="宋体" w:eastAsia="宋体" w:cs="宋体"/>
          <w:b w:val="0"/>
          <w:bCs w:val="0"/>
          <w:sz w:val="24"/>
          <w:szCs w:val="24"/>
          <w:lang w:val="en-US" w:eastAsia="zh-CN"/>
        </w:rPr>
        <w:t>第十四届</w:t>
      </w:r>
      <w:r>
        <w:rPr>
          <w:rFonts w:hint="eastAsia" w:ascii="宋体" w:hAnsi="宋体" w:eastAsia="宋体" w:cs="宋体"/>
          <w:b w:val="0"/>
          <w:bCs w:val="0"/>
          <w:sz w:val="24"/>
          <w:szCs w:val="24"/>
        </w:rPr>
        <w:t>陕州地坑院杯</w:t>
      </w:r>
      <w:r>
        <w:rPr>
          <w:rFonts w:hint="eastAsia" w:ascii="宋体" w:hAnsi="宋体" w:eastAsia="宋体" w:cs="宋体"/>
          <w:b w:val="0"/>
          <w:bCs w:val="0"/>
          <w:sz w:val="24"/>
          <w:szCs w:val="24"/>
          <w:lang w:val="en-US" w:eastAsia="zh-CN"/>
        </w:rPr>
        <w:t>自行车邀请赛暨</w:t>
      </w:r>
      <w:r>
        <w:rPr>
          <w:rFonts w:hint="eastAsia" w:ascii="宋体" w:hAnsi="宋体" w:eastAsia="宋体" w:cs="宋体"/>
          <w:b w:val="0"/>
          <w:bCs w:val="0"/>
          <w:sz w:val="24"/>
          <w:szCs w:val="24"/>
        </w:rPr>
        <w:t>2025自行车骑游大会</w:t>
      </w:r>
      <w:r>
        <w:rPr>
          <w:rFonts w:hint="eastAsia" w:ascii="宋体" w:hAnsi="宋体" w:eastAsia="宋体" w:cs="宋体"/>
          <w:bCs/>
          <w:sz w:val="24"/>
          <w:szCs w:val="24"/>
          <w:lang w:bidi="zh-CN"/>
        </w:rPr>
        <w:t>举办及运行，制订切实可行的赛事运行工作方案。方案要充分保证赛事的影响力，最大程度的满足公众需求，扩大社会效益，充分发挥赛事联动效应与规模效应，便于市场开发和赛事宣传，扩大赛事影响力和经济效益。</w:t>
      </w:r>
    </w:p>
    <w:p w14:paraId="39CA02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三、</w:t>
      </w:r>
      <w:r>
        <w:rPr>
          <w:rFonts w:hint="eastAsia" w:ascii="宋体" w:hAnsi="宋体" w:eastAsia="宋体" w:cs="宋体"/>
          <w:sz w:val="24"/>
          <w:szCs w:val="24"/>
          <w:lang w:val="en-US" w:eastAsia="zh-CN"/>
        </w:rPr>
        <w:t>合作方式</w:t>
      </w:r>
    </w:p>
    <w:p w14:paraId="0051D8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sz w:val="24"/>
          <w:szCs w:val="24"/>
        </w:rPr>
      </w:pPr>
      <w:r>
        <w:rPr>
          <w:rFonts w:hint="eastAsia" w:ascii="宋体" w:hAnsi="宋体" w:eastAsia="宋体" w:cs="宋体"/>
          <w:sz w:val="24"/>
          <w:szCs w:val="24"/>
          <w:lang w:eastAsia="zh-CN"/>
        </w:rPr>
        <w:t>承办单位</w:t>
      </w:r>
      <w:r>
        <w:rPr>
          <w:rFonts w:hint="eastAsia" w:ascii="宋体" w:hAnsi="宋体" w:eastAsia="宋体" w:cs="宋体"/>
          <w:sz w:val="24"/>
          <w:szCs w:val="24"/>
        </w:rPr>
        <w:t>制订详尽的年度发展目标</w:t>
      </w:r>
      <w:r>
        <w:rPr>
          <w:rFonts w:hint="eastAsia" w:ascii="宋体" w:hAnsi="宋体" w:eastAsia="宋体" w:cs="宋体"/>
          <w:sz w:val="24"/>
          <w:szCs w:val="24"/>
          <w:lang w:eastAsia="zh-CN"/>
        </w:rPr>
        <w:t>，</w:t>
      </w:r>
      <w:r>
        <w:rPr>
          <w:rFonts w:hint="eastAsia" w:ascii="宋体" w:hAnsi="宋体" w:eastAsia="宋体" w:cs="宋体"/>
          <w:sz w:val="24"/>
          <w:szCs w:val="24"/>
        </w:rPr>
        <w:t>目标应符合</w:t>
      </w:r>
      <w:r>
        <w:rPr>
          <w:rFonts w:hint="eastAsia" w:ascii="宋体" w:hAnsi="宋体" w:eastAsia="宋体" w:cs="宋体"/>
          <w:b w:val="0"/>
          <w:bCs w:val="0"/>
          <w:sz w:val="24"/>
          <w:szCs w:val="24"/>
          <w:lang w:val="en-US" w:eastAsia="zh-CN"/>
        </w:rPr>
        <w:t>第十四届</w:t>
      </w:r>
      <w:r>
        <w:rPr>
          <w:rFonts w:hint="eastAsia" w:ascii="宋体" w:hAnsi="宋体" w:eastAsia="宋体" w:cs="宋体"/>
          <w:b w:val="0"/>
          <w:bCs w:val="0"/>
          <w:sz w:val="24"/>
          <w:szCs w:val="24"/>
        </w:rPr>
        <w:t>陕州地坑院杯</w:t>
      </w:r>
      <w:r>
        <w:rPr>
          <w:rFonts w:hint="eastAsia" w:ascii="宋体" w:hAnsi="宋体" w:eastAsia="宋体" w:cs="宋体"/>
          <w:b w:val="0"/>
          <w:bCs w:val="0"/>
          <w:sz w:val="24"/>
          <w:szCs w:val="24"/>
          <w:lang w:val="en-US" w:eastAsia="zh-CN"/>
        </w:rPr>
        <w:t>自行车邀请赛暨</w:t>
      </w:r>
      <w:r>
        <w:rPr>
          <w:rFonts w:hint="eastAsia" w:ascii="宋体" w:hAnsi="宋体" w:eastAsia="宋体" w:cs="宋体"/>
          <w:b w:val="0"/>
          <w:bCs w:val="0"/>
          <w:sz w:val="24"/>
          <w:szCs w:val="24"/>
        </w:rPr>
        <w:t>2025自行车骑游大会</w:t>
      </w:r>
      <w:r>
        <w:rPr>
          <w:rFonts w:hint="eastAsia" w:ascii="宋体" w:hAnsi="宋体" w:eastAsia="宋体" w:cs="宋体"/>
          <w:sz w:val="24"/>
          <w:szCs w:val="24"/>
        </w:rPr>
        <w:t>发展预期，具体实施方案可执行性强，并根据双方约定开展赛事运行工作。</w:t>
      </w:r>
    </w:p>
    <w:p w14:paraId="2677BE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四、</w:t>
      </w:r>
      <w:r>
        <w:rPr>
          <w:rFonts w:hint="eastAsia" w:ascii="宋体" w:hAnsi="宋体" w:eastAsia="宋体" w:cs="宋体"/>
          <w:sz w:val="24"/>
          <w:szCs w:val="24"/>
          <w:lang w:val="en-US" w:eastAsia="zh-CN"/>
        </w:rPr>
        <w:t>项目具体内容及要求</w:t>
      </w:r>
    </w:p>
    <w:p w14:paraId="4D486C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bidi="zh-CN"/>
        </w:rPr>
        <w:t>1.</w:t>
      </w:r>
      <w:r>
        <w:rPr>
          <w:rFonts w:hint="eastAsia" w:ascii="宋体" w:hAnsi="宋体" w:eastAsia="宋体" w:cs="宋体"/>
          <w:sz w:val="24"/>
          <w:szCs w:val="24"/>
          <w:lang w:bidi="zh-CN"/>
        </w:rPr>
        <w:t>人员组织规模：参赛人数拟定1000人，分为</w:t>
      </w:r>
      <w:r>
        <w:rPr>
          <w:rFonts w:hint="eastAsia" w:ascii="宋体" w:hAnsi="宋体" w:eastAsia="宋体" w:cs="宋体"/>
          <w:sz w:val="24"/>
          <w:szCs w:val="24"/>
          <w:lang w:val="en-US" w:bidi="zh-CN"/>
        </w:rPr>
        <w:t>挑战组</w:t>
      </w:r>
      <w:r>
        <w:rPr>
          <w:rFonts w:hint="eastAsia" w:ascii="宋体" w:hAnsi="宋体" w:eastAsia="宋体" w:cs="宋体"/>
          <w:sz w:val="24"/>
          <w:szCs w:val="24"/>
          <w:lang w:bidi="zh-CN"/>
        </w:rPr>
        <w:t>、</w:t>
      </w:r>
      <w:r>
        <w:rPr>
          <w:rFonts w:hint="eastAsia" w:ascii="宋体" w:hAnsi="宋体" w:eastAsia="宋体" w:cs="宋体"/>
          <w:sz w:val="24"/>
          <w:szCs w:val="24"/>
          <w:lang w:val="en-US" w:bidi="zh-CN"/>
        </w:rPr>
        <w:t>团体组。</w:t>
      </w:r>
    </w:p>
    <w:p w14:paraId="27DC11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bidi="zh-CN"/>
        </w:rPr>
        <w:t>2</w:t>
      </w:r>
      <w:r>
        <w:rPr>
          <w:rFonts w:hint="eastAsia" w:ascii="宋体" w:hAnsi="宋体" w:eastAsia="宋体" w:cs="宋体"/>
          <w:sz w:val="24"/>
          <w:szCs w:val="24"/>
          <w:lang w:bidi="zh-CN"/>
        </w:rPr>
        <w:t>.比赛场地、会场布置、设施器材等须符合主办方要求。</w:t>
      </w:r>
    </w:p>
    <w:p w14:paraId="003C49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bidi="zh-CN"/>
        </w:rPr>
        <w:t>3</w:t>
      </w:r>
      <w:r>
        <w:rPr>
          <w:rFonts w:hint="eastAsia" w:ascii="宋体" w:hAnsi="宋体" w:eastAsia="宋体" w:cs="宋体"/>
          <w:sz w:val="24"/>
          <w:szCs w:val="24"/>
          <w:lang w:bidi="zh-CN"/>
        </w:rPr>
        <w:t>.承办单位全权负责赛事运营，赛事报名、筹备、宣传、组织、竞赛和活动方案（秩序册）等必须由主办方审定。</w:t>
      </w:r>
    </w:p>
    <w:p w14:paraId="17FC64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bidi="zh-CN"/>
        </w:rPr>
        <w:t>4.</w:t>
      </w:r>
      <w:r>
        <w:rPr>
          <w:rFonts w:hint="eastAsia" w:ascii="宋体" w:hAnsi="宋体" w:eastAsia="宋体" w:cs="宋体"/>
          <w:sz w:val="24"/>
          <w:szCs w:val="24"/>
          <w:lang w:bidi="zh-CN"/>
        </w:rPr>
        <w:t>裁判员队伍须由</w:t>
      </w:r>
      <w:r>
        <w:rPr>
          <w:rFonts w:hint="eastAsia" w:ascii="宋体" w:hAnsi="宋体" w:eastAsia="宋体" w:cs="宋体"/>
          <w:sz w:val="24"/>
          <w:szCs w:val="24"/>
          <w:lang w:val="en-US" w:bidi="zh-CN"/>
        </w:rPr>
        <w:t>省</w:t>
      </w:r>
      <w:r>
        <w:rPr>
          <w:rFonts w:hint="eastAsia" w:ascii="宋体" w:hAnsi="宋体" w:eastAsia="宋体" w:cs="宋体"/>
          <w:sz w:val="24"/>
          <w:szCs w:val="24"/>
          <w:lang w:bidi="zh-CN"/>
        </w:rPr>
        <w:t>一级以上裁判员担任。</w:t>
      </w:r>
    </w:p>
    <w:p w14:paraId="5A67EC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bidi="zh-CN"/>
        </w:rPr>
        <w:t>5.</w:t>
      </w:r>
      <w:r>
        <w:rPr>
          <w:rFonts w:hint="eastAsia" w:ascii="宋体" w:hAnsi="宋体" w:eastAsia="宋体" w:cs="宋体"/>
          <w:sz w:val="24"/>
          <w:szCs w:val="24"/>
          <w:lang w:bidi="zh-CN"/>
        </w:rPr>
        <w:t>承办单位负责裁判员费用、工作人员费用、所有人员保险、相关设施和器材的购置、比赛所需资料的印制等项目开支，赛事活动必须按标准要求执行。</w:t>
      </w:r>
    </w:p>
    <w:p w14:paraId="609E8F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eastAsia="zh-CN" w:bidi="zh-CN"/>
        </w:rPr>
        <w:t>6.</w:t>
      </w:r>
      <w:r>
        <w:rPr>
          <w:rFonts w:hint="eastAsia" w:ascii="宋体" w:hAnsi="宋体" w:eastAsia="宋体" w:cs="宋体"/>
          <w:sz w:val="24"/>
          <w:szCs w:val="24"/>
          <w:lang w:bidi="zh-CN"/>
        </w:rPr>
        <w:t>承办单位须有严密周全的比赛组织方案和安全预防措施，确保比赛顺利进行。</w:t>
      </w:r>
    </w:p>
    <w:p w14:paraId="0E7E70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bidi="zh-CN"/>
        </w:rPr>
        <w:t>7.</w:t>
      </w:r>
      <w:r>
        <w:rPr>
          <w:rFonts w:hint="eastAsia" w:ascii="宋体" w:hAnsi="宋体" w:eastAsia="宋体" w:cs="宋体"/>
          <w:sz w:val="24"/>
          <w:szCs w:val="24"/>
          <w:lang w:bidi="zh-CN"/>
        </w:rPr>
        <w:t>具有</w:t>
      </w:r>
      <w:r>
        <w:rPr>
          <w:rFonts w:hint="eastAsia" w:ascii="宋体" w:hAnsi="宋体" w:eastAsia="宋体" w:cs="宋体"/>
          <w:sz w:val="24"/>
          <w:szCs w:val="24"/>
          <w:lang w:val="en-US" w:bidi="zh-CN"/>
        </w:rPr>
        <w:t>五年以上</w:t>
      </w:r>
      <w:r>
        <w:rPr>
          <w:rFonts w:hint="eastAsia" w:ascii="宋体" w:hAnsi="宋体" w:eastAsia="宋体" w:cs="宋体"/>
          <w:sz w:val="24"/>
          <w:szCs w:val="24"/>
          <w:lang w:bidi="zh-CN"/>
        </w:rPr>
        <w:t>承</w:t>
      </w:r>
      <w:r>
        <w:rPr>
          <w:rFonts w:hint="eastAsia" w:ascii="宋体" w:hAnsi="宋体" w:eastAsia="宋体" w:cs="宋体"/>
          <w:sz w:val="24"/>
          <w:szCs w:val="24"/>
          <w:lang w:val="en-US" w:bidi="zh-CN"/>
        </w:rPr>
        <w:t>办</w:t>
      </w:r>
      <w:r>
        <w:rPr>
          <w:rFonts w:hint="eastAsia" w:ascii="宋体" w:hAnsi="宋体" w:eastAsia="宋体" w:cs="宋体"/>
          <w:sz w:val="24"/>
          <w:szCs w:val="24"/>
          <w:lang w:bidi="zh-CN"/>
        </w:rPr>
        <w:t>自行车赛事的办赛经验。</w:t>
      </w:r>
    </w:p>
    <w:p w14:paraId="0BD307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bidi="zh-CN"/>
        </w:rPr>
      </w:pPr>
      <w:r>
        <w:rPr>
          <w:rFonts w:hint="eastAsia" w:ascii="宋体" w:hAnsi="宋体" w:eastAsia="宋体" w:cs="宋体"/>
          <w:sz w:val="24"/>
          <w:szCs w:val="24"/>
          <w:lang w:val="en-US" w:bidi="zh-CN"/>
        </w:rPr>
        <w:t>8.邀请不低于10家自行车产业周边品牌现场参展。</w:t>
      </w:r>
    </w:p>
    <w:p w14:paraId="5CC2F3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bidi="zh-CN"/>
        </w:rPr>
        <w:t>9.</w:t>
      </w:r>
      <w:r>
        <w:rPr>
          <w:rFonts w:hint="eastAsia" w:ascii="宋体" w:hAnsi="宋体" w:eastAsia="宋体" w:cs="宋体"/>
          <w:sz w:val="24"/>
          <w:szCs w:val="24"/>
          <w:lang w:bidi="zh-CN"/>
        </w:rPr>
        <w:t>本项目资金来源为财政资金，资金不足部分由</w:t>
      </w:r>
      <w:r>
        <w:rPr>
          <w:rFonts w:hint="eastAsia" w:ascii="宋体" w:hAnsi="宋体" w:eastAsia="宋体" w:cs="宋体"/>
          <w:sz w:val="24"/>
          <w:szCs w:val="24"/>
          <w:lang w:val="en-US" w:bidi="zh-CN"/>
        </w:rPr>
        <w:t>承办</w:t>
      </w:r>
      <w:r>
        <w:rPr>
          <w:rFonts w:hint="eastAsia" w:ascii="宋体" w:hAnsi="宋体" w:eastAsia="宋体" w:cs="宋体"/>
          <w:sz w:val="24"/>
          <w:szCs w:val="24"/>
          <w:lang w:bidi="zh-CN"/>
        </w:rPr>
        <w:t>单位自筹解决。</w:t>
      </w:r>
    </w:p>
    <w:p w14:paraId="2FBBE00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lang w:bidi="zh-CN"/>
        </w:rPr>
      </w:pPr>
    </w:p>
    <w:p w14:paraId="28F035B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lang w:bidi="zh-CN"/>
        </w:rPr>
      </w:pPr>
    </w:p>
    <w:p w14:paraId="0E9D012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lang w:bidi="zh-CN"/>
        </w:rPr>
      </w:pPr>
    </w:p>
    <w:p w14:paraId="531DD86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lang w:bidi="zh-CN"/>
        </w:rPr>
      </w:pPr>
    </w:p>
    <w:p w14:paraId="0DDB6D5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lang w:bidi="zh-CN"/>
        </w:rPr>
      </w:pPr>
    </w:p>
    <w:p w14:paraId="263A2B0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lang w:bidi="zh-CN"/>
        </w:rPr>
      </w:pPr>
    </w:p>
    <w:p w14:paraId="5597E8A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sz w:val="24"/>
          <w:szCs w:val="24"/>
          <w:lang w:val="en-US" w:eastAsia="zh-CN"/>
        </w:rPr>
      </w:pPr>
    </w:p>
    <w:p w14:paraId="38FEABF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sz w:val="24"/>
          <w:szCs w:val="24"/>
          <w:lang w:val="en-US" w:eastAsia="zh-CN"/>
        </w:rPr>
      </w:pPr>
    </w:p>
    <w:p w14:paraId="587453B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sz w:val="24"/>
          <w:szCs w:val="24"/>
          <w:lang w:val="en-US" w:eastAsia="zh-CN"/>
        </w:rPr>
      </w:pPr>
    </w:p>
    <w:p w14:paraId="2EC76D47">
      <w:pPr>
        <w:jc w:val="center"/>
        <w:rPr>
          <w:rFonts w:hint="eastAsia" w:ascii="宋体" w:hAnsi="宋体" w:eastAsia="宋体" w:cs="宋体"/>
          <w:sz w:val="44"/>
          <w:szCs w:val="44"/>
          <w:lang w:val="en-US" w:eastAsia="zh-CN"/>
        </w:rPr>
      </w:pPr>
      <w:r>
        <w:rPr>
          <w:rFonts w:hint="eastAsia" w:ascii="宋体" w:hAnsi="宋体" w:eastAsia="宋体" w:cs="宋体"/>
          <w:b/>
          <w:bCs/>
          <w:sz w:val="44"/>
          <w:szCs w:val="44"/>
          <w:lang w:val="en-US" w:eastAsia="zh-CN"/>
        </w:rPr>
        <w:t>“黄河谣·陕州印象”自驾游陕州活动</w:t>
      </w:r>
    </w:p>
    <w:p w14:paraId="1DFACF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kern w:val="2"/>
          <w:sz w:val="24"/>
          <w:szCs w:val="24"/>
          <w:lang w:val="en-US" w:eastAsia="zh-CN" w:bidi="zh-CN"/>
        </w:rPr>
        <w:t>一、</w:t>
      </w:r>
      <w:r>
        <w:rPr>
          <w:rFonts w:hint="eastAsia" w:ascii="宋体" w:hAnsi="宋体" w:eastAsia="宋体" w:cs="宋体"/>
          <w:sz w:val="24"/>
          <w:szCs w:val="24"/>
          <w:lang w:val="en-US" w:eastAsia="zh-CN" w:bidi="zh-CN"/>
        </w:rPr>
        <w:t>项目概况</w:t>
      </w:r>
    </w:p>
    <w:p w14:paraId="3FB812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陕州区地处黄河中游核心地带，坐拥“黄河文明活化石”的独特文化底蕴与自然景观资源。为深度激活黄河文旅潜能，特策划“黄河谣·陕州印象”自驾主题IP，联动陕西、山西、河北、山东、河南、湖北等六省自驾游协会及头部俱乐部，以“自驾+文化+产业”融合模式，打造黄河中游文旅新标杆。</w:t>
      </w:r>
    </w:p>
    <w:p w14:paraId="1A1512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（一）活动时间：</w:t>
      </w:r>
    </w:p>
    <w:p w14:paraId="12CAFB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2025年5月23日至5月25日</w:t>
      </w:r>
    </w:p>
    <w:p w14:paraId="6B5E33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（二）活动规模</w:t>
      </w:r>
    </w:p>
    <w:p w14:paraId="3C6E57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不低于100台车，1000人参加活动</w:t>
      </w:r>
    </w:p>
    <w:p w14:paraId="67C723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（三）组织机构</w:t>
      </w:r>
    </w:p>
    <w:p w14:paraId="11F101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bidi="zh-CN"/>
        </w:rPr>
      </w:pPr>
      <w:r>
        <w:rPr>
          <w:rFonts w:hint="eastAsia" w:ascii="宋体" w:hAnsi="宋体" w:eastAsia="宋体" w:cs="宋体"/>
          <w:sz w:val="24"/>
          <w:szCs w:val="24"/>
          <w:lang w:bidi="zh-CN"/>
        </w:rPr>
        <w:t>主办单位</w:t>
      </w:r>
      <w:r>
        <w:rPr>
          <w:rFonts w:hint="eastAsia" w:ascii="宋体" w:hAnsi="宋体" w:eastAsia="宋体" w:cs="宋体"/>
          <w:sz w:val="24"/>
          <w:szCs w:val="24"/>
          <w:lang w:eastAsia="zh-CN" w:bidi="zh-CN"/>
        </w:rPr>
        <w:t>：</w:t>
      </w:r>
    </w:p>
    <w:p w14:paraId="2C63B5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第</w:t>
      </w:r>
      <w:r>
        <w:rPr>
          <w:rFonts w:hint="eastAsia" w:ascii="宋体" w:hAnsi="宋体" w:eastAsia="宋体" w:cs="宋体"/>
          <w:sz w:val="24"/>
          <w:szCs w:val="24"/>
          <w:lang w:val="en-US" w:eastAsia="zh-CN" w:bidi="zh-CN"/>
        </w:rPr>
        <w:t>三十</w:t>
      </w:r>
      <w:r>
        <w:rPr>
          <w:rFonts w:hint="eastAsia" w:ascii="宋体" w:hAnsi="宋体" w:eastAsia="宋体" w:cs="宋体"/>
          <w:sz w:val="24"/>
          <w:szCs w:val="24"/>
          <w:lang w:bidi="zh-CN"/>
        </w:rPr>
        <w:t xml:space="preserve">届三门峡黄河文化旅游节组委会 </w:t>
      </w:r>
    </w:p>
    <w:p w14:paraId="7D6EB7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中共三门峡市陕州区委</w:t>
      </w:r>
    </w:p>
    <w:p w14:paraId="7D9690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三门峡市陕州区人民政府</w:t>
      </w:r>
    </w:p>
    <w:p w14:paraId="14E966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bidi="zh-CN"/>
        </w:rPr>
      </w:pPr>
      <w:r>
        <w:rPr>
          <w:rFonts w:hint="eastAsia" w:ascii="宋体" w:hAnsi="宋体" w:eastAsia="宋体" w:cs="宋体"/>
          <w:sz w:val="24"/>
          <w:szCs w:val="24"/>
          <w:lang w:bidi="zh-CN"/>
        </w:rPr>
        <w:t>承办单位</w:t>
      </w:r>
      <w:r>
        <w:rPr>
          <w:rFonts w:hint="eastAsia" w:ascii="宋体" w:hAnsi="宋体" w:eastAsia="宋体" w:cs="宋体"/>
          <w:sz w:val="24"/>
          <w:szCs w:val="24"/>
          <w:lang w:eastAsia="zh-CN" w:bidi="zh-CN"/>
        </w:rPr>
        <w:t>：</w:t>
      </w:r>
    </w:p>
    <w:p w14:paraId="674973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三门峡市陕州区文化广电和旅游局</w:t>
      </w:r>
    </w:p>
    <w:p w14:paraId="6BF902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bidi="zh-CN"/>
        </w:rPr>
      </w:pPr>
      <w:r>
        <w:rPr>
          <w:rFonts w:hint="eastAsia" w:ascii="宋体" w:hAnsi="宋体" w:eastAsia="宋体" w:cs="宋体"/>
          <w:sz w:val="24"/>
          <w:szCs w:val="24"/>
          <w:lang w:bidi="zh-CN"/>
        </w:rPr>
        <w:t>协办单位</w:t>
      </w:r>
      <w:r>
        <w:rPr>
          <w:rFonts w:hint="eastAsia" w:ascii="宋体" w:hAnsi="宋体" w:eastAsia="宋体" w:cs="宋体"/>
          <w:sz w:val="24"/>
          <w:szCs w:val="24"/>
          <w:lang w:eastAsia="zh-CN" w:bidi="zh-CN"/>
        </w:rPr>
        <w:t>：</w:t>
      </w:r>
    </w:p>
    <w:p w14:paraId="0973B5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陕州地坑院景区</w:t>
      </w:r>
    </w:p>
    <w:p w14:paraId="72C776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甘山国家森林公园</w:t>
      </w:r>
    </w:p>
    <w:p w14:paraId="4855D9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活动</w:t>
      </w:r>
      <w:r>
        <w:rPr>
          <w:rFonts w:hint="eastAsia" w:ascii="宋体" w:hAnsi="宋体" w:eastAsia="宋体" w:cs="宋体"/>
          <w:sz w:val="24"/>
          <w:szCs w:val="24"/>
          <w:lang w:eastAsia="zh-CN" w:bidi="zh-CN"/>
        </w:rPr>
        <w:t>名称：</w:t>
      </w:r>
      <w:r>
        <w:rPr>
          <w:rFonts w:hint="eastAsia" w:ascii="宋体" w:hAnsi="宋体" w:eastAsia="宋体" w:cs="宋体"/>
          <w:sz w:val="24"/>
          <w:szCs w:val="24"/>
          <w:lang w:val="en-US" w:eastAsia="zh-CN" w:bidi="zh-CN"/>
        </w:rPr>
        <w:t>“黄河谣·陕州印象”自驾游陕州</w:t>
      </w:r>
    </w:p>
    <w:p w14:paraId="1287EA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二、项目内容</w:t>
      </w:r>
    </w:p>
    <w:p w14:paraId="3A04E7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bidi="zh-CN"/>
        </w:rPr>
        <w:t>承办单位负责根据</w:t>
      </w:r>
      <w:r>
        <w:rPr>
          <w:rFonts w:hint="eastAsia" w:ascii="宋体" w:hAnsi="宋体" w:eastAsia="宋体" w:cs="宋体"/>
          <w:sz w:val="24"/>
          <w:szCs w:val="24"/>
          <w:lang w:val="en-US" w:bidi="zh-CN"/>
        </w:rPr>
        <w:t>活动</w:t>
      </w:r>
      <w:r>
        <w:rPr>
          <w:rFonts w:hint="eastAsia" w:ascii="宋体" w:hAnsi="宋体" w:eastAsia="宋体" w:cs="宋体"/>
          <w:sz w:val="24"/>
          <w:szCs w:val="24"/>
          <w:lang w:bidi="zh-CN"/>
        </w:rPr>
        <w:t>实际情况，全面负责</w:t>
      </w:r>
      <w:r>
        <w:rPr>
          <w:rFonts w:hint="eastAsia" w:ascii="宋体" w:hAnsi="宋体" w:eastAsia="宋体" w:cs="宋体"/>
          <w:sz w:val="24"/>
          <w:szCs w:val="24"/>
          <w:lang w:val="en-US" w:eastAsia="zh-CN" w:bidi="zh-CN"/>
        </w:rPr>
        <w:t>“黄河谣·陕州印象”自驾游陕州活动</w:t>
      </w:r>
      <w:r>
        <w:rPr>
          <w:rFonts w:hint="eastAsia" w:ascii="宋体" w:hAnsi="宋体" w:eastAsia="宋体" w:cs="宋体"/>
          <w:sz w:val="24"/>
          <w:szCs w:val="24"/>
          <w:lang w:bidi="zh-CN"/>
        </w:rPr>
        <w:t>举办及运行，制订切实可行的</w:t>
      </w:r>
      <w:r>
        <w:rPr>
          <w:rFonts w:hint="eastAsia" w:ascii="宋体" w:hAnsi="宋体" w:eastAsia="宋体" w:cs="宋体"/>
          <w:sz w:val="24"/>
          <w:szCs w:val="24"/>
          <w:lang w:val="en-US" w:bidi="zh-CN"/>
        </w:rPr>
        <w:t>活动</w:t>
      </w:r>
      <w:r>
        <w:rPr>
          <w:rFonts w:hint="eastAsia" w:ascii="宋体" w:hAnsi="宋体" w:eastAsia="宋体" w:cs="宋体"/>
          <w:sz w:val="24"/>
          <w:szCs w:val="24"/>
          <w:lang w:bidi="zh-CN"/>
        </w:rPr>
        <w:t>运行工作方案。方案要</w:t>
      </w:r>
      <w:r>
        <w:rPr>
          <w:rFonts w:hint="eastAsia" w:ascii="宋体" w:hAnsi="宋体" w:eastAsia="宋体" w:cs="宋体"/>
          <w:sz w:val="24"/>
          <w:szCs w:val="24"/>
          <w:lang w:val="en-US" w:eastAsia="zh-CN" w:bidi="zh-CN"/>
        </w:rPr>
        <w:t>整合陕州黄河湿地、地坑院民俗、崤函古道等核心资源，推出“黄河文化走廊”全域旅游产品。搭建跨区域旅游合作平台，推动景区、酒店、交通等产业链资源联动，释放“自驾经济”新动能。</w:t>
      </w:r>
    </w:p>
    <w:p w14:paraId="0FA067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三、合作方式</w:t>
      </w:r>
    </w:p>
    <w:p w14:paraId="329BE2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承办单位制订详尽的</w:t>
      </w:r>
      <w:r>
        <w:rPr>
          <w:rFonts w:hint="eastAsia" w:ascii="宋体" w:hAnsi="宋体" w:eastAsia="宋体" w:cs="宋体"/>
          <w:sz w:val="24"/>
          <w:szCs w:val="24"/>
          <w:lang w:val="en-US" w:eastAsia="zh-CN" w:bidi="zh-CN"/>
        </w:rPr>
        <w:t>工作方案</w:t>
      </w:r>
      <w:r>
        <w:rPr>
          <w:rFonts w:hint="eastAsia" w:ascii="宋体" w:hAnsi="宋体" w:eastAsia="宋体" w:cs="宋体"/>
          <w:sz w:val="24"/>
          <w:szCs w:val="24"/>
          <w:lang w:eastAsia="zh-CN" w:bidi="zh-CN"/>
        </w:rPr>
        <w:t>，</w:t>
      </w:r>
      <w:r>
        <w:rPr>
          <w:rFonts w:hint="eastAsia" w:ascii="宋体" w:hAnsi="宋体" w:eastAsia="宋体" w:cs="宋体"/>
          <w:sz w:val="24"/>
          <w:szCs w:val="24"/>
          <w:lang w:val="en-US" w:eastAsia="zh-CN" w:bidi="zh-CN"/>
        </w:rPr>
        <w:t>方案</w:t>
      </w:r>
      <w:r>
        <w:rPr>
          <w:rFonts w:hint="eastAsia" w:ascii="宋体" w:hAnsi="宋体" w:eastAsia="宋体" w:cs="宋体"/>
          <w:sz w:val="24"/>
          <w:szCs w:val="24"/>
          <w:lang w:bidi="zh-CN"/>
        </w:rPr>
        <w:t>应符合</w:t>
      </w:r>
      <w:r>
        <w:rPr>
          <w:rFonts w:hint="eastAsia" w:ascii="宋体" w:hAnsi="宋体" w:eastAsia="宋体" w:cs="宋体"/>
          <w:sz w:val="24"/>
          <w:szCs w:val="24"/>
          <w:lang w:val="en-US" w:eastAsia="zh-CN" w:bidi="zh-CN"/>
        </w:rPr>
        <w:t>“黄河谣·陕州印象”自驾游陕州活动</w:t>
      </w:r>
      <w:r>
        <w:rPr>
          <w:rFonts w:hint="eastAsia" w:ascii="宋体" w:hAnsi="宋体" w:eastAsia="宋体" w:cs="宋体"/>
          <w:sz w:val="24"/>
          <w:szCs w:val="24"/>
          <w:lang w:bidi="zh-CN"/>
        </w:rPr>
        <w:t>发展预期，具体实施方案可执行性强，并根据双方约定开展</w:t>
      </w:r>
      <w:r>
        <w:rPr>
          <w:rFonts w:hint="eastAsia" w:ascii="宋体" w:hAnsi="宋体" w:eastAsia="宋体" w:cs="宋体"/>
          <w:sz w:val="24"/>
          <w:szCs w:val="24"/>
          <w:lang w:val="en-US" w:eastAsia="zh-CN" w:bidi="zh-CN"/>
        </w:rPr>
        <w:t>自驾游活动</w:t>
      </w:r>
      <w:r>
        <w:rPr>
          <w:rFonts w:hint="eastAsia" w:ascii="宋体" w:hAnsi="宋体" w:eastAsia="宋体" w:cs="宋体"/>
          <w:sz w:val="24"/>
          <w:szCs w:val="24"/>
          <w:lang w:bidi="zh-CN"/>
        </w:rPr>
        <w:t>运行工作。</w:t>
      </w:r>
    </w:p>
    <w:p w14:paraId="0F3BE8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四、</w:t>
      </w:r>
      <w:r>
        <w:rPr>
          <w:rFonts w:hint="eastAsia" w:ascii="宋体" w:hAnsi="宋体" w:eastAsia="宋体" w:cs="宋体"/>
          <w:sz w:val="24"/>
          <w:szCs w:val="24"/>
          <w:lang w:val="en-US" w:eastAsia="zh-CN"/>
        </w:rPr>
        <w:t>项目具体内容及要求</w:t>
      </w:r>
    </w:p>
    <w:p w14:paraId="42D02D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bidi="zh-CN"/>
        </w:rPr>
        <w:t>1.</w:t>
      </w:r>
      <w:r>
        <w:rPr>
          <w:rFonts w:hint="eastAsia" w:ascii="宋体" w:hAnsi="宋体" w:eastAsia="宋体" w:cs="宋体"/>
          <w:sz w:val="24"/>
          <w:szCs w:val="24"/>
          <w:lang w:bidi="zh-CN"/>
        </w:rPr>
        <w:t>人员组织规模：</w:t>
      </w:r>
      <w:r>
        <w:rPr>
          <w:rFonts w:hint="eastAsia" w:ascii="宋体" w:hAnsi="宋体" w:eastAsia="宋体" w:cs="宋体"/>
          <w:sz w:val="24"/>
          <w:szCs w:val="24"/>
          <w:lang w:val="en-US" w:bidi="zh-CN"/>
        </w:rPr>
        <w:t>参加活动车辆不少于100台，</w:t>
      </w:r>
      <w:r>
        <w:rPr>
          <w:rFonts w:hint="eastAsia" w:ascii="宋体" w:hAnsi="宋体" w:eastAsia="宋体" w:cs="宋体"/>
          <w:sz w:val="24"/>
          <w:szCs w:val="24"/>
          <w:lang w:bidi="zh-CN"/>
        </w:rPr>
        <w:t>人数拟定1000人</w:t>
      </w:r>
      <w:r>
        <w:rPr>
          <w:rFonts w:hint="eastAsia" w:ascii="宋体" w:hAnsi="宋体" w:eastAsia="宋体" w:cs="宋体"/>
          <w:sz w:val="24"/>
          <w:szCs w:val="24"/>
          <w:lang w:val="en-US" w:bidi="zh-CN"/>
        </w:rPr>
        <w:t>。</w:t>
      </w:r>
    </w:p>
    <w:p w14:paraId="5DA495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bidi="zh-CN"/>
        </w:rPr>
        <w:t>2</w:t>
      </w:r>
      <w:r>
        <w:rPr>
          <w:rFonts w:hint="eastAsia" w:ascii="宋体" w:hAnsi="宋体" w:eastAsia="宋体" w:cs="宋体"/>
          <w:sz w:val="24"/>
          <w:szCs w:val="24"/>
          <w:lang w:bidi="zh-CN"/>
        </w:rPr>
        <w:t>.</w:t>
      </w:r>
      <w:r>
        <w:rPr>
          <w:rFonts w:hint="eastAsia" w:ascii="宋体" w:hAnsi="宋体" w:eastAsia="宋体" w:cs="宋体"/>
          <w:sz w:val="24"/>
          <w:szCs w:val="24"/>
          <w:lang w:val="en-US" w:bidi="zh-CN"/>
        </w:rPr>
        <w:t>活动</w:t>
      </w:r>
      <w:r>
        <w:rPr>
          <w:rFonts w:hint="eastAsia" w:ascii="宋体" w:hAnsi="宋体" w:eastAsia="宋体" w:cs="宋体"/>
          <w:sz w:val="24"/>
          <w:szCs w:val="24"/>
          <w:lang w:bidi="zh-CN"/>
        </w:rPr>
        <w:t>场地、会场布置等须符合主办方要求。</w:t>
      </w:r>
    </w:p>
    <w:p w14:paraId="028835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bidi="zh-CN"/>
        </w:rPr>
        <w:t>3</w:t>
      </w:r>
      <w:r>
        <w:rPr>
          <w:rFonts w:hint="eastAsia" w:ascii="宋体" w:hAnsi="宋体" w:eastAsia="宋体" w:cs="宋体"/>
          <w:sz w:val="24"/>
          <w:szCs w:val="24"/>
          <w:lang w:bidi="zh-CN"/>
        </w:rPr>
        <w:t>.承办单位全权负责</w:t>
      </w:r>
      <w:r>
        <w:rPr>
          <w:rFonts w:hint="eastAsia" w:ascii="宋体" w:hAnsi="宋体" w:eastAsia="宋体" w:cs="宋体"/>
          <w:sz w:val="24"/>
          <w:szCs w:val="24"/>
          <w:lang w:val="en-US" w:bidi="zh-CN"/>
        </w:rPr>
        <w:t>活动</w:t>
      </w:r>
      <w:r>
        <w:rPr>
          <w:rFonts w:hint="eastAsia" w:ascii="宋体" w:hAnsi="宋体" w:eastAsia="宋体" w:cs="宋体"/>
          <w:sz w:val="24"/>
          <w:szCs w:val="24"/>
          <w:lang w:bidi="zh-CN"/>
        </w:rPr>
        <w:t>运营，</w:t>
      </w:r>
      <w:r>
        <w:rPr>
          <w:rFonts w:hint="eastAsia" w:ascii="宋体" w:hAnsi="宋体" w:eastAsia="宋体" w:cs="宋体"/>
          <w:sz w:val="24"/>
          <w:szCs w:val="24"/>
          <w:lang w:val="en-US" w:bidi="zh-CN"/>
        </w:rPr>
        <w:t>活动</w:t>
      </w:r>
      <w:r>
        <w:rPr>
          <w:rFonts w:hint="eastAsia" w:ascii="宋体" w:hAnsi="宋体" w:eastAsia="宋体" w:cs="宋体"/>
          <w:sz w:val="24"/>
          <w:szCs w:val="24"/>
          <w:lang w:bidi="zh-CN"/>
        </w:rPr>
        <w:t>报名、筹备、宣传、组织和活动方案等必须由主办方审定。</w:t>
      </w:r>
    </w:p>
    <w:p w14:paraId="03B4E8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bidi="zh-CN"/>
        </w:rPr>
        <w:t>3.</w:t>
      </w:r>
      <w:r>
        <w:rPr>
          <w:rFonts w:hint="eastAsia" w:ascii="宋体" w:hAnsi="宋体" w:eastAsia="宋体" w:cs="宋体"/>
          <w:sz w:val="24"/>
          <w:szCs w:val="24"/>
          <w:lang w:bidi="zh-CN"/>
        </w:rPr>
        <w:t>承办单位负责工作人员费用、所有人员保险、相关设施和器材的购置、</w:t>
      </w:r>
      <w:r>
        <w:rPr>
          <w:rFonts w:hint="eastAsia" w:ascii="宋体" w:hAnsi="宋体" w:eastAsia="宋体" w:cs="宋体"/>
          <w:sz w:val="24"/>
          <w:szCs w:val="24"/>
          <w:lang w:val="en-US" w:bidi="zh-CN"/>
        </w:rPr>
        <w:t>活动</w:t>
      </w:r>
      <w:r>
        <w:rPr>
          <w:rFonts w:hint="eastAsia" w:ascii="宋体" w:hAnsi="宋体" w:eastAsia="宋体" w:cs="宋体"/>
          <w:sz w:val="24"/>
          <w:szCs w:val="24"/>
          <w:lang w:bidi="zh-CN"/>
        </w:rPr>
        <w:t>所需资料的印制等项目开支。</w:t>
      </w:r>
    </w:p>
    <w:p w14:paraId="274618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eastAsia="zh-CN" w:bidi="zh-CN"/>
        </w:rPr>
        <w:t>4.</w:t>
      </w:r>
      <w:r>
        <w:rPr>
          <w:rFonts w:hint="eastAsia" w:ascii="宋体" w:hAnsi="宋体" w:eastAsia="宋体" w:cs="宋体"/>
          <w:sz w:val="24"/>
          <w:szCs w:val="24"/>
          <w:lang w:bidi="zh-CN"/>
        </w:rPr>
        <w:t>承办单位须有严密周全的</w:t>
      </w:r>
      <w:r>
        <w:rPr>
          <w:rFonts w:hint="eastAsia" w:ascii="宋体" w:hAnsi="宋体" w:eastAsia="宋体" w:cs="宋体"/>
          <w:sz w:val="24"/>
          <w:szCs w:val="24"/>
          <w:lang w:val="en-US" w:bidi="zh-CN"/>
        </w:rPr>
        <w:t>活动</w:t>
      </w:r>
      <w:r>
        <w:rPr>
          <w:rFonts w:hint="eastAsia" w:ascii="宋体" w:hAnsi="宋体" w:eastAsia="宋体" w:cs="宋体"/>
          <w:sz w:val="24"/>
          <w:szCs w:val="24"/>
          <w:lang w:bidi="zh-CN"/>
        </w:rPr>
        <w:t>组织方案和安全预防措施，确保</w:t>
      </w:r>
      <w:r>
        <w:rPr>
          <w:rFonts w:hint="eastAsia" w:ascii="宋体" w:hAnsi="宋体" w:eastAsia="宋体" w:cs="宋体"/>
          <w:sz w:val="24"/>
          <w:szCs w:val="24"/>
          <w:lang w:val="en-US" w:bidi="zh-CN"/>
        </w:rPr>
        <w:t>活动</w:t>
      </w:r>
      <w:r>
        <w:rPr>
          <w:rFonts w:hint="eastAsia" w:ascii="宋体" w:hAnsi="宋体" w:eastAsia="宋体" w:cs="宋体"/>
          <w:sz w:val="24"/>
          <w:szCs w:val="24"/>
          <w:lang w:bidi="zh-CN"/>
        </w:rPr>
        <w:t>顺利进行。</w:t>
      </w:r>
    </w:p>
    <w:p w14:paraId="1E86EE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bidi="zh-CN"/>
        </w:rPr>
        <w:t>5.</w:t>
      </w:r>
      <w:r>
        <w:rPr>
          <w:rFonts w:hint="eastAsia" w:ascii="宋体" w:hAnsi="宋体" w:eastAsia="宋体" w:cs="宋体"/>
          <w:sz w:val="24"/>
          <w:szCs w:val="24"/>
          <w:lang w:bidi="zh-CN"/>
        </w:rPr>
        <w:t>具有承</w:t>
      </w:r>
      <w:r>
        <w:rPr>
          <w:rFonts w:hint="eastAsia" w:ascii="宋体" w:hAnsi="宋体" w:eastAsia="宋体" w:cs="宋体"/>
          <w:sz w:val="24"/>
          <w:szCs w:val="24"/>
          <w:lang w:val="en-US" w:bidi="zh-CN"/>
        </w:rPr>
        <w:t>办自驾游活动</w:t>
      </w:r>
      <w:r>
        <w:rPr>
          <w:rFonts w:hint="eastAsia" w:ascii="宋体" w:hAnsi="宋体" w:eastAsia="宋体" w:cs="宋体"/>
          <w:sz w:val="24"/>
          <w:szCs w:val="24"/>
          <w:lang w:bidi="zh-CN"/>
        </w:rPr>
        <w:t>的经验。</w:t>
      </w:r>
    </w:p>
    <w:p w14:paraId="046FC8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bidi="zh-CN"/>
        </w:rPr>
      </w:pPr>
      <w:r>
        <w:rPr>
          <w:rFonts w:hint="eastAsia" w:ascii="宋体" w:hAnsi="宋体" w:eastAsia="宋体" w:cs="宋体"/>
          <w:sz w:val="24"/>
          <w:szCs w:val="24"/>
          <w:lang w:val="en-US" w:bidi="zh-CN"/>
        </w:rPr>
        <w:t>6.</w:t>
      </w:r>
      <w:r>
        <w:rPr>
          <w:rFonts w:hint="eastAsia" w:ascii="宋体" w:hAnsi="宋体" w:eastAsia="宋体" w:cs="宋体"/>
          <w:sz w:val="24"/>
          <w:szCs w:val="24"/>
          <w:lang w:bidi="zh-CN"/>
        </w:rPr>
        <w:t>本项目资金来源为财政资金，资金不足部分由</w:t>
      </w:r>
      <w:r>
        <w:rPr>
          <w:rFonts w:hint="eastAsia" w:ascii="宋体" w:hAnsi="宋体" w:eastAsia="宋体" w:cs="宋体"/>
          <w:sz w:val="24"/>
          <w:szCs w:val="24"/>
          <w:lang w:val="en-US" w:bidi="zh-CN"/>
        </w:rPr>
        <w:t>承办</w:t>
      </w:r>
      <w:r>
        <w:rPr>
          <w:rFonts w:hint="eastAsia" w:ascii="宋体" w:hAnsi="宋体" w:eastAsia="宋体" w:cs="宋体"/>
          <w:sz w:val="24"/>
          <w:szCs w:val="24"/>
          <w:lang w:bidi="zh-CN"/>
        </w:rPr>
        <w:t>单位自筹解决。</w:t>
      </w:r>
    </w:p>
    <w:p w14:paraId="4205C0EF">
      <w:pPr>
        <w:widowControl w:val="0"/>
        <w:numPr>
          <w:ilvl w:val="0"/>
          <w:numId w:val="0"/>
        </w:numPr>
        <w:jc w:val="both"/>
        <w:rPr>
          <w:rFonts w:hint="eastAsia" w:ascii="宋体" w:hAnsi="宋体" w:eastAsia="宋体" w:cs="宋体"/>
          <w:sz w:val="24"/>
          <w:szCs w:val="24"/>
          <w:lang w:val="en-US" w:eastAsia="zh-CN" w:bidi="zh-CN"/>
        </w:rPr>
      </w:pPr>
    </w:p>
    <w:p w14:paraId="30BCBE65">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outlineLvl w:val="0"/>
        <w:rPr>
          <w:rFonts w:hint="eastAsia"/>
          <w:b/>
          <w:color w:val="000000"/>
          <w:sz w:val="40"/>
          <w:szCs w:val="21"/>
        </w:rPr>
      </w:pPr>
      <w:r>
        <w:rPr>
          <w:rFonts w:hint="eastAsia" w:eastAsia="宋体"/>
          <w:b/>
          <w:bCs/>
          <w:sz w:val="48"/>
          <w:szCs w:val="48"/>
          <w:highlight w:val="none"/>
        </w:rPr>
        <w:br w:type="page"/>
      </w:r>
      <w:bookmarkStart w:id="309" w:name="_Toc16798"/>
      <w:bookmarkStart w:id="310" w:name="_Toc19911"/>
      <w:bookmarkStart w:id="311" w:name="_Toc19676"/>
      <w:bookmarkStart w:id="312" w:name="_Toc10514"/>
      <w:bookmarkStart w:id="313" w:name="_Toc11479"/>
      <w:bookmarkStart w:id="314" w:name="_Toc8000"/>
      <w:bookmarkStart w:id="315" w:name="_Toc26794"/>
      <w:bookmarkStart w:id="316" w:name="_Toc25120"/>
      <w:bookmarkStart w:id="317" w:name="_Toc3132"/>
      <w:bookmarkStart w:id="318" w:name="_Toc7151"/>
      <w:r>
        <w:rPr>
          <w:rFonts w:hint="eastAsia" w:ascii="宋体" w:hAnsi="宋体" w:eastAsia="宋体" w:cs="宋体"/>
          <w:b/>
          <w:bCs/>
          <w:sz w:val="44"/>
          <w:szCs w:val="44"/>
          <w:lang w:val="en-US" w:eastAsia="zh-CN"/>
        </w:rPr>
        <w:t>第四章  评审办法</w:t>
      </w:r>
      <w:bookmarkEnd w:id="308"/>
      <w:bookmarkEnd w:id="309"/>
      <w:bookmarkEnd w:id="310"/>
      <w:bookmarkEnd w:id="311"/>
      <w:bookmarkEnd w:id="312"/>
      <w:bookmarkEnd w:id="313"/>
      <w:bookmarkEnd w:id="314"/>
      <w:bookmarkEnd w:id="315"/>
      <w:bookmarkEnd w:id="316"/>
      <w:bookmarkEnd w:id="317"/>
      <w:bookmarkEnd w:id="318"/>
    </w:p>
    <w:p w14:paraId="4C68CC39">
      <w:pPr>
        <w:spacing w:line="360" w:lineRule="auto"/>
        <w:jc w:val="center"/>
        <w:outlineLvl w:val="1"/>
        <w:rPr>
          <w:rFonts w:hint="eastAsia"/>
          <w:b/>
          <w:bCs/>
          <w:snapToGrid w:val="0"/>
          <w:color w:val="000000"/>
          <w:sz w:val="24"/>
          <w:szCs w:val="24"/>
        </w:rPr>
      </w:pPr>
      <w:bookmarkStart w:id="319" w:name="_Toc10675"/>
      <w:bookmarkStart w:id="320" w:name="_Toc5540"/>
      <w:bookmarkStart w:id="321" w:name="_Toc3984"/>
      <w:bookmarkStart w:id="322" w:name="_Toc7137"/>
      <w:bookmarkStart w:id="323" w:name="_Toc16045"/>
      <w:bookmarkStart w:id="324" w:name="_Toc18548"/>
      <w:bookmarkStart w:id="325" w:name="_Toc22724"/>
      <w:r>
        <w:rPr>
          <w:rFonts w:hint="eastAsia"/>
          <w:b/>
          <w:bCs/>
          <w:snapToGrid w:val="0"/>
          <w:color w:val="000000"/>
          <w:sz w:val="24"/>
          <w:szCs w:val="24"/>
        </w:rPr>
        <w:t>一、评审方法</w:t>
      </w:r>
      <w:bookmarkEnd w:id="319"/>
      <w:bookmarkEnd w:id="320"/>
      <w:bookmarkEnd w:id="321"/>
      <w:bookmarkEnd w:id="322"/>
      <w:bookmarkEnd w:id="323"/>
      <w:bookmarkEnd w:id="324"/>
      <w:bookmarkEnd w:id="325"/>
    </w:p>
    <w:p w14:paraId="32747FF0">
      <w:pPr>
        <w:tabs>
          <w:tab w:val="left" w:pos="1086"/>
        </w:tabs>
        <w:spacing w:line="500" w:lineRule="exact"/>
        <w:outlineLvl w:val="9"/>
        <w:rPr>
          <w:rFonts w:hint="eastAsia"/>
          <w:b/>
          <w:color w:val="000000"/>
          <w:sz w:val="24"/>
          <w:szCs w:val="20"/>
        </w:rPr>
      </w:pPr>
      <w:bookmarkStart w:id="326" w:name="_Toc32555"/>
      <w:r>
        <w:rPr>
          <w:rFonts w:hint="eastAsia"/>
          <w:b/>
          <w:color w:val="000000"/>
          <w:sz w:val="24"/>
          <w:szCs w:val="20"/>
        </w:rPr>
        <w:t>1、评审方法</w:t>
      </w:r>
      <w:bookmarkEnd w:id="326"/>
    </w:p>
    <w:p w14:paraId="3F838E8D">
      <w:pPr>
        <w:tabs>
          <w:tab w:val="left" w:pos="1086"/>
        </w:tabs>
        <w:spacing w:line="500" w:lineRule="exact"/>
        <w:ind w:firstLine="480" w:firstLineChars="200"/>
        <w:outlineLvl w:val="9"/>
        <w:rPr>
          <w:rFonts w:hint="eastAsia"/>
          <w:color w:val="000000"/>
          <w:sz w:val="24"/>
          <w:szCs w:val="20"/>
        </w:rPr>
      </w:pPr>
      <w:r>
        <w:rPr>
          <w:rFonts w:hint="eastAsia"/>
          <w:color w:val="000000"/>
          <w:sz w:val="24"/>
          <w:szCs w:val="20"/>
        </w:rPr>
        <w:t>磋商小组采用综合评分法对提交最后报价的</w:t>
      </w:r>
      <w:r>
        <w:rPr>
          <w:rFonts w:hint="eastAsia"/>
          <w:color w:val="000000"/>
          <w:sz w:val="24"/>
          <w:szCs w:val="20"/>
          <w:lang w:eastAsia="zh-CN"/>
        </w:rPr>
        <w:t>响应人</w:t>
      </w:r>
      <w:r>
        <w:rPr>
          <w:rFonts w:hint="eastAsia"/>
          <w:color w:val="000000"/>
          <w:sz w:val="24"/>
          <w:szCs w:val="20"/>
        </w:rPr>
        <w:t>的响应文件和最后报价进行综合评分。综合评分法，是指响应文件满足磋商文件全部实质性要求且按评审因素的量化指标评审得分最高的</w:t>
      </w:r>
      <w:r>
        <w:rPr>
          <w:rFonts w:hint="eastAsia"/>
          <w:color w:val="000000"/>
          <w:sz w:val="24"/>
          <w:szCs w:val="20"/>
          <w:lang w:eastAsia="zh-CN"/>
        </w:rPr>
        <w:t>响应人</w:t>
      </w:r>
      <w:r>
        <w:rPr>
          <w:rFonts w:hint="eastAsia"/>
          <w:color w:val="000000"/>
          <w:sz w:val="24"/>
          <w:szCs w:val="20"/>
        </w:rPr>
        <w:t>为</w:t>
      </w:r>
      <w:r>
        <w:rPr>
          <w:rFonts w:hint="eastAsia"/>
          <w:color w:val="000000"/>
          <w:sz w:val="24"/>
          <w:szCs w:val="20"/>
          <w:lang w:eastAsia="zh-CN"/>
        </w:rPr>
        <w:t>成交候选人</w:t>
      </w:r>
      <w:r>
        <w:rPr>
          <w:rFonts w:hint="eastAsia"/>
          <w:color w:val="000000"/>
          <w:sz w:val="24"/>
          <w:szCs w:val="20"/>
        </w:rPr>
        <w:t>的评审方法。</w:t>
      </w:r>
    </w:p>
    <w:p w14:paraId="6A9C0FD1">
      <w:pPr>
        <w:tabs>
          <w:tab w:val="left" w:pos="1086"/>
        </w:tabs>
        <w:spacing w:line="500" w:lineRule="exact"/>
        <w:outlineLvl w:val="9"/>
        <w:rPr>
          <w:rFonts w:hint="eastAsia"/>
          <w:color w:val="000000"/>
          <w:sz w:val="20"/>
          <w:szCs w:val="20"/>
        </w:rPr>
      </w:pPr>
      <w:bookmarkStart w:id="327" w:name="_Toc18225"/>
      <w:r>
        <w:rPr>
          <w:rFonts w:hint="eastAsia"/>
          <w:b/>
          <w:color w:val="000000"/>
          <w:sz w:val="24"/>
          <w:szCs w:val="20"/>
        </w:rPr>
        <w:t>2、排序</w:t>
      </w:r>
      <w:bookmarkEnd w:id="327"/>
    </w:p>
    <w:p w14:paraId="39963FCD">
      <w:pPr>
        <w:spacing w:line="500" w:lineRule="exact"/>
        <w:ind w:firstLine="480" w:firstLineChars="200"/>
        <w:outlineLvl w:val="9"/>
        <w:rPr>
          <w:rFonts w:hint="eastAsia"/>
          <w:color w:val="000000"/>
          <w:sz w:val="24"/>
          <w:szCs w:val="20"/>
        </w:rPr>
      </w:pPr>
      <w:r>
        <w:rPr>
          <w:rFonts w:hint="eastAsia"/>
          <w:color w:val="000000"/>
          <w:sz w:val="24"/>
          <w:szCs w:val="20"/>
        </w:rPr>
        <w:t>磋商小组应当根据综合评分情况，按照评审得分由高到低的顺序推荐</w:t>
      </w:r>
      <w:r>
        <w:rPr>
          <w:rFonts w:hint="eastAsia"/>
          <w:color w:val="000000"/>
          <w:sz w:val="24"/>
          <w:szCs w:val="20"/>
          <w:lang w:eastAsia="zh-CN"/>
        </w:rPr>
        <w:t>成交候选人</w:t>
      </w:r>
      <w:r>
        <w:rPr>
          <w:rFonts w:hint="eastAsia"/>
          <w:color w:val="000000"/>
          <w:sz w:val="24"/>
          <w:szCs w:val="20"/>
        </w:rPr>
        <w:t>，并编写评审报告。评审得分相同的，按照最后报价由低到高的顺序推荐，评审得分且最后报价相同的，按照技术标优劣顺序推荐。</w:t>
      </w:r>
    </w:p>
    <w:p w14:paraId="5A6BBA39">
      <w:pPr>
        <w:spacing w:line="360" w:lineRule="auto"/>
        <w:jc w:val="center"/>
        <w:outlineLvl w:val="1"/>
        <w:rPr>
          <w:rFonts w:hint="eastAsia"/>
          <w:b/>
          <w:bCs/>
          <w:snapToGrid w:val="0"/>
          <w:color w:val="000000"/>
          <w:sz w:val="24"/>
          <w:szCs w:val="24"/>
        </w:rPr>
      </w:pPr>
      <w:bookmarkStart w:id="328" w:name="_Toc5450"/>
      <w:bookmarkStart w:id="329" w:name="_Toc22811"/>
      <w:bookmarkStart w:id="330" w:name="_Toc12661"/>
      <w:bookmarkStart w:id="331" w:name="_Toc8950"/>
      <w:bookmarkStart w:id="332" w:name="_Toc24522"/>
      <w:bookmarkStart w:id="333" w:name="_Toc13781"/>
      <w:bookmarkStart w:id="334" w:name="_Toc4568"/>
      <w:r>
        <w:rPr>
          <w:rFonts w:hint="eastAsia"/>
          <w:b/>
          <w:bCs/>
          <w:snapToGrid w:val="0"/>
          <w:color w:val="000000"/>
          <w:sz w:val="24"/>
          <w:szCs w:val="24"/>
        </w:rPr>
        <w:t>二、评审程序</w:t>
      </w:r>
      <w:bookmarkEnd w:id="328"/>
      <w:bookmarkEnd w:id="329"/>
      <w:bookmarkEnd w:id="330"/>
      <w:bookmarkEnd w:id="331"/>
      <w:bookmarkEnd w:id="332"/>
      <w:bookmarkEnd w:id="333"/>
      <w:bookmarkEnd w:id="334"/>
    </w:p>
    <w:p w14:paraId="78C4E6AA">
      <w:pPr>
        <w:tabs>
          <w:tab w:val="left" w:pos="1066"/>
        </w:tabs>
        <w:spacing w:line="500" w:lineRule="exact"/>
        <w:ind w:left="6"/>
        <w:outlineLvl w:val="9"/>
        <w:rPr>
          <w:rFonts w:hint="eastAsia"/>
          <w:b/>
          <w:color w:val="000000"/>
          <w:sz w:val="24"/>
          <w:szCs w:val="20"/>
        </w:rPr>
      </w:pPr>
      <w:bookmarkStart w:id="335" w:name="_Toc23661"/>
      <w:r>
        <w:rPr>
          <w:rFonts w:hint="eastAsia"/>
          <w:b/>
          <w:color w:val="000000"/>
          <w:sz w:val="24"/>
          <w:szCs w:val="20"/>
        </w:rPr>
        <w:t>3、评审工作按以下程序进行</w:t>
      </w:r>
      <w:bookmarkEnd w:id="335"/>
    </w:p>
    <w:p w14:paraId="5887A4C9">
      <w:pPr>
        <w:spacing w:line="500" w:lineRule="exact"/>
        <w:ind w:firstLine="480" w:firstLineChars="200"/>
        <w:outlineLvl w:val="9"/>
        <w:rPr>
          <w:rFonts w:hint="eastAsia"/>
          <w:color w:val="000000"/>
          <w:sz w:val="24"/>
          <w:szCs w:val="20"/>
        </w:rPr>
      </w:pPr>
      <w:r>
        <w:rPr>
          <w:rFonts w:hint="eastAsia"/>
          <w:color w:val="000000"/>
          <w:sz w:val="24"/>
          <w:szCs w:val="20"/>
        </w:rPr>
        <w:t>（1）响应文件初审；</w:t>
      </w:r>
    </w:p>
    <w:p w14:paraId="11E043F5">
      <w:pPr>
        <w:spacing w:line="500" w:lineRule="exact"/>
        <w:ind w:firstLine="480" w:firstLineChars="200"/>
        <w:outlineLvl w:val="9"/>
        <w:rPr>
          <w:rFonts w:hint="eastAsia"/>
          <w:color w:val="000000"/>
          <w:sz w:val="24"/>
          <w:szCs w:val="20"/>
        </w:rPr>
      </w:pPr>
      <w:r>
        <w:rPr>
          <w:rFonts w:hint="eastAsia"/>
          <w:color w:val="000000"/>
          <w:sz w:val="24"/>
          <w:szCs w:val="20"/>
        </w:rPr>
        <w:t>（2）澄清及算术修正；</w:t>
      </w:r>
    </w:p>
    <w:p w14:paraId="2C85F7FF">
      <w:pPr>
        <w:spacing w:line="500" w:lineRule="exact"/>
        <w:ind w:firstLine="480" w:firstLineChars="200"/>
        <w:outlineLvl w:val="9"/>
        <w:rPr>
          <w:rFonts w:hint="eastAsia"/>
          <w:color w:val="000000"/>
          <w:sz w:val="24"/>
          <w:szCs w:val="20"/>
        </w:rPr>
      </w:pPr>
      <w:r>
        <w:rPr>
          <w:rFonts w:hint="eastAsia"/>
          <w:color w:val="000000"/>
          <w:sz w:val="24"/>
          <w:szCs w:val="20"/>
        </w:rPr>
        <w:t>（3）磋商与最终报价；</w:t>
      </w:r>
    </w:p>
    <w:p w14:paraId="362B79B7">
      <w:pPr>
        <w:spacing w:line="500" w:lineRule="exact"/>
        <w:ind w:firstLine="480" w:firstLineChars="200"/>
        <w:outlineLvl w:val="9"/>
        <w:rPr>
          <w:rFonts w:hint="eastAsia"/>
          <w:color w:val="000000"/>
          <w:sz w:val="24"/>
          <w:szCs w:val="20"/>
        </w:rPr>
      </w:pPr>
      <w:r>
        <w:rPr>
          <w:rFonts w:hint="eastAsia"/>
          <w:color w:val="000000"/>
          <w:sz w:val="24"/>
          <w:szCs w:val="20"/>
        </w:rPr>
        <w:t>（4）比较与评价；</w:t>
      </w:r>
    </w:p>
    <w:p w14:paraId="1EF8F75F">
      <w:pPr>
        <w:spacing w:line="500" w:lineRule="exact"/>
        <w:ind w:firstLine="480" w:firstLineChars="200"/>
        <w:outlineLvl w:val="9"/>
        <w:rPr>
          <w:rFonts w:hint="eastAsia"/>
          <w:color w:val="000000"/>
          <w:sz w:val="24"/>
          <w:szCs w:val="20"/>
        </w:rPr>
      </w:pPr>
      <w:r>
        <w:rPr>
          <w:rFonts w:hint="eastAsia"/>
          <w:color w:val="000000"/>
          <w:sz w:val="24"/>
          <w:szCs w:val="20"/>
        </w:rPr>
        <w:t>（5）推荐</w:t>
      </w:r>
      <w:r>
        <w:rPr>
          <w:rFonts w:hint="eastAsia"/>
          <w:color w:val="000000"/>
          <w:sz w:val="24"/>
          <w:szCs w:val="20"/>
          <w:lang w:eastAsia="zh-CN"/>
        </w:rPr>
        <w:t>成交候选人</w:t>
      </w:r>
      <w:r>
        <w:rPr>
          <w:rFonts w:hint="eastAsia"/>
          <w:color w:val="000000"/>
          <w:sz w:val="24"/>
          <w:szCs w:val="20"/>
        </w:rPr>
        <w:t>名单；</w:t>
      </w:r>
    </w:p>
    <w:p w14:paraId="3B5366A9">
      <w:pPr>
        <w:spacing w:line="500" w:lineRule="exact"/>
        <w:ind w:firstLine="480" w:firstLineChars="200"/>
        <w:outlineLvl w:val="9"/>
        <w:rPr>
          <w:rFonts w:hint="eastAsia"/>
          <w:color w:val="000000"/>
          <w:sz w:val="24"/>
          <w:szCs w:val="20"/>
        </w:rPr>
      </w:pPr>
      <w:r>
        <w:rPr>
          <w:rFonts w:hint="eastAsia"/>
          <w:color w:val="000000"/>
          <w:sz w:val="24"/>
          <w:szCs w:val="20"/>
        </w:rPr>
        <w:t>（6）出具评审报告。</w:t>
      </w:r>
    </w:p>
    <w:p w14:paraId="6FBF373E">
      <w:pPr>
        <w:spacing w:line="500" w:lineRule="exact"/>
        <w:ind w:firstLine="480" w:firstLineChars="200"/>
        <w:outlineLvl w:val="9"/>
        <w:rPr>
          <w:rFonts w:hint="eastAsia"/>
          <w:color w:val="000000"/>
          <w:sz w:val="24"/>
          <w:szCs w:val="20"/>
        </w:rPr>
      </w:pPr>
      <w:r>
        <w:rPr>
          <w:rFonts w:hint="eastAsia"/>
          <w:color w:val="000000"/>
          <w:sz w:val="24"/>
          <w:szCs w:val="20"/>
        </w:rPr>
        <w:t>磋商小组按照上述程序审查</w:t>
      </w:r>
      <w:r>
        <w:rPr>
          <w:rFonts w:hint="eastAsia"/>
          <w:color w:val="000000"/>
          <w:sz w:val="24"/>
          <w:szCs w:val="20"/>
          <w:lang w:eastAsia="zh-CN"/>
        </w:rPr>
        <w:t>响应人</w:t>
      </w:r>
      <w:r>
        <w:rPr>
          <w:rFonts w:hint="eastAsia"/>
          <w:color w:val="000000"/>
          <w:sz w:val="24"/>
          <w:szCs w:val="20"/>
        </w:rPr>
        <w:t>的响应文件，评审程序中的前一项程序未通过的响应文件不再进入下一程序的评审。</w:t>
      </w:r>
    </w:p>
    <w:p w14:paraId="174EA078">
      <w:pPr>
        <w:spacing w:line="360" w:lineRule="auto"/>
        <w:jc w:val="center"/>
        <w:outlineLvl w:val="1"/>
        <w:rPr>
          <w:rFonts w:hint="eastAsia"/>
          <w:b/>
          <w:bCs/>
          <w:snapToGrid w:val="0"/>
          <w:color w:val="000000"/>
          <w:sz w:val="24"/>
          <w:szCs w:val="24"/>
        </w:rPr>
      </w:pPr>
      <w:bookmarkStart w:id="336" w:name="page20"/>
      <w:bookmarkEnd w:id="336"/>
      <w:bookmarkStart w:id="337" w:name="_Toc14667"/>
      <w:bookmarkStart w:id="338" w:name="_Toc25245"/>
      <w:bookmarkStart w:id="339" w:name="_Toc18169"/>
      <w:bookmarkStart w:id="340" w:name="_Toc5579"/>
      <w:bookmarkStart w:id="341" w:name="_Toc10887"/>
      <w:bookmarkStart w:id="342" w:name="_Toc11654"/>
      <w:bookmarkStart w:id="343" w:name="_Toc2539"/>
      <w:r>
        <w:rPr>
          <w:rFonts w:hint="eastAsia"/>
          <w:b/>
          <w:bCs/>
          <w:snapToGrid w:val="0"/>
          <w:color w:val="000000"/>
          <w:sz w:val="24"/>
          <w:szCs w:val="24"/>
        </w:rPr>
        <w:t>三、响应文件初审</w:t>
      </w:r>
      <w:bookmarkEnd w:id="337"/>
      <w:bookmarkEnd w:id="338"/>
      <w:bookmarkEnd w:id="339"/>
      <w:bookmarkEnd w:id="340"/>
      <w:bookmarkEnd w:id="341"/>
      <w:bookmarkEnd w:id="342"/>
      <w:bookmarkEnd w:id="343"/>
    </w:p>
    <w:p w14:paraId="02E303D2">
      <w:pPr>
        <w:tabs>
          <w:tab w:val="left" w:pos="1086"/>
        </w:tabs>
        <w:spacing w:line="500" w:lineRule="exact"/>
        <w:outlineLvl w:val="9"/>
        <w:rPr>
          <w:rFonts w:hint="eastAsia"/>
          <w:b/>
          <w:color w:val="000000"/>
          <w:sz w:val="24"/>
          <w:szCs w:val="20"/>
        </w:rPr>
      </w:pPr>
      <w:bookmarkStart w:id="344" w:name="_Toc29487"/>
      <w:r>
        <w:rPr>
          <w:rFonts w:hint="eastAsia"/>
          <w:b/>
          <w:color w:val="000000"/>
          <w:sz w:val="24"/>
          <w:szCs w:val="20"/>
        </w:rPr>
        <w:t>4、响应文件的有效性、完整性、响应程度检查。</w:t>
      </w:r>
      <w:bookmarkEnd w:id="344"/>
    </w:p>
    <w:p w14:paraId="3F6765FF">
      <w:pPr>
        <w:spacing w:line="500" w:lineRule="exact"/>
        <w:ind w:firstLine="480" w:firstLineChars="200"/>
        <w:outlineLvl w:val="9"/>
        <w:rPr>
          <w:rFonts w:hint="eastAsia"/>
          <w:color w:val="000000"/>
          <w:sz w:val="24"/>
          <w:szCs w:val="20"/>
        </w:rPr>
      </w:pPr>
      <w:r>
        <w:rPr>
          <w:rFonts w:hint="eastAsia"/>
          <w:color w:val="000000"/>
          <w:sz w:val="24"/>
          <w:szCs w:val="20"/>
        </w:rPr>
        <w:t>递交响应文件后，磋商小组将审查响应文件是否完整、是否恰当的签署、有否计算错误、是否大致编排有序、对竞争性磋商文件的响应程度等方面进行审查。</w:t>
      </w:r>
    </w:p>
    <w:p w14:paraId="36806EB1">
      <w:pPr>
        <w:spacing w:line="500" w:lineRule="exact"/>
        <w:ind w:firstLine="480" w:firstLineChars="200"/>
        <w:outlineLvl w:val="9"/>
        <w:rPr>
          <w:rFonts w:hint="eastAsia"/>
          <w:color w:val="000000"/>
          <w:sz w:val="24"/>
          <w:szCs w:val="20"/>
        </w:rPr>
      </w:pPr>
      <w:r>
        <w:rPr>
          <w:rFonts w:hint="eastAsia"/>
          <w:color w:val="000000"/>
          <w:sz w:val="24"/>
          <w:szCs w:val="20"/>
        </w:rPr>
        <w:t>磋商小组将拒绝符合前附表中规定的非响应性报价，</w:t>
      </w:r>
      <w:r>
        <w:rPr>
          <w:rFonts w:hint="eastAsia"/>
          <w:color w:val="000000"/>
          <w:sz w:val="24"/>
          <w:szCs w:val="20"/>
          <w:lang w:eastAsia="zh-CN"/>
        </w:rPr>
        <w:t>响应人</w:t>
      </w:r>
      <w:r>
        <w:rPr>
          <w:rFonts w:hint="eastAsia"/>
          <w:color w:val="000000"/>
          <w:sz w:val="24"/>
          <w:szCs w:val="20"/>
        </w:rPr>
        <w:t>不能通过修正或撤销不符之处而使其报价成为响应性报价。</w:t>
      </w:r>
    </w:p>
    <w:p w14:paraId="0E3EE708">
      <w:pPr>
        <w:tabs>
          <w:tab w:val="left" w:pos="1086"/>
        </w:tabs>
        <w:spacing w:line="500" w:lineRule="exact"/>
        <w:outlineLvl w:val="9"/>
        <w:rPr>
          <w:rFonts w:hint="eastAsia"/>
          <w:b/>
          <w:color w:val="000000"/>
          <w:sz w:val="24"/>
          <w:szCs w:val="20"/>
        </w:rPr>
      </w:pPr>
      <w:bookmarkStart w:id="345" w:name="_Toc3676"/>
      <w:r>
        <w:rPr>
          <w:rFonts w:hint="eastAsia"/>
          <w:b/>
          <w:color w:val="000000"/>
          <w:sz w:val="24"/>
          <w:szCs w:val="20"/>
        </w:rPr>
        <w:t>5、响应文件初审中有下列情况之一的，按照无效应答文件处理：</w:t>
      </w:r>
      <w:bookmarkEnd w:id="345"/>
    </w:p>
    <w:p w14:paraId="34B265CC">
      <w:pPr>
        <w:spacing w:line="500" w:lineRule="exact"/>
        <w:ind w:firstLine="480" w:firstLineChars="200"/>
        <w:outlineLvl w:val="9"/>
        <w:rPr>
          <w:rFonts w:hint="eastAsia"/>
          <w:color w:val="000000"/>
          <w:sz w:val="24"/>
          <w:szCs w:val="22"/>
        </w:rPr>
      </w:pPr>
      <w:r>
        <w:rPr>
          <w:rFonts w:hint="eastAsia"/>
          <w:color w:val="000000"/>
          <w:sz w:val="24"/>
          <w:szCs w:val="22"/>
        </w:rPr>
        <w:t>（1）响应文件未按竞争性磋商文件规定进行上传、签署、盖章的；</w:t>
      </w:r>
    </w:p>
    <w:p w14:paraId="18B5B472">
      <w:pPr>
        <w:spacing w:line="500" w:lineRule="exact"/>
        <w:ind w:firstLine="480" w:firstLineChars="200"/>
        <w:outlineLvl w:val="9"/>
        <w:rPr>
          <w:rFonts w:hint="eastAsia"/>
          <w:color w:val="000000"/>
          <w:sz w:val="24"/>
          <w:szCs w:val="22"/>
        </w:rPr>
      </w:pPr>
      <w:r>
        <w:rPr>
          <w:rFonts w:hint="eastAsia"/>
          <w:color w:val="000000"/>
          <w:sz w:val="24"/>
          <w:szCs w:val="22"/>
        </w:rPr>
        <w:t>（2）未按照竞争性磋商文件规定提交投标函的；</w:t>
      </w:r>
    </w:p>
    <w:p w14:paraId="1E2F897F">
      <w:pPr>
        <w:spacing w:line="500" w:lineRule="exact"/>
        <w:ind w:firstLine="480" w:firstLineChars="200"/>
        <w:outlineLvl w:val="9"/>
        <w:rPr>
          <w:rFonts w:hint="eastAsia"/>
          <w:color w:val="000000"/>
          <w:sz w:val="24"/>
          <w:szCs w:val="22"/>
        </w:rPr>
      </w:pPr>
      <w:r>
        <w:rPr>
          <w:rFonts w:hint="eastAsia"/>
          <w:color w:val="000000"/>
          <w:sz w:val="24"/>
          <w:szCs w:val="22"/>
        </w:rPr>
        <w:t>（3）不满足竞争性磋商文件资格要求的；</w:t>
      </w:r>
    </w:p>
    <w:p w14:paraId="5CE0697F">
      <w:pPr>
        <w:spacing w:line="500" w:lineRule="exact"/>
        <w:ind w:firstLine="480" w:firstLineChars="200"/>
        <w:outlineLvl w:val="9"/>
        <w:rPr>
          <w:rFonts w:hint="eastAsia"/>
          <w:color w:val="000000"/>
          <w:sz w:val="24"/>
          <w:szCs w:val="22"/>
        </w:rPr>
      </w:pPr>
      <w:r>
        <w:rPr>
          <w:rFonts w:hint="eastAsia"/>
          <w:color w:val="000000"/>
          <w:sz w:val="24"/>
          <w:szCs w:val="22"/>
        </w:rPr>
        <w:t>（4）不满足竞争性磋商文件中实质性要求和条件的；</w:t>
      </w:r>
    </w:p>
    <w:p w14:paraId="39A2AE0F">
      <w:pPr>
        <w:spacing w:line="500" w:lineRule="exact"/>
        <w:ind w:firstLine="480" w:firstLineChars="200"/>
        <w:outlineLvl w:val="9"/>
        <w:rPr>
          <w:rFonts w:hint="eastAsia"/>
          <w:color w:val="000000"/>
          <w:sz w:val="24"/>
          <w:szCs w:val="22"/>
        </w:rPr>
      </w:pPr>
      <w:r>
        <w:rPr>
          <w:rFonts w:hint="eastAsia"/>
          <w:color w:val="000000"/>
          <w:sz w:val="24"/>
          <w:szCs w:val="22"/>
        </w:rPr>
        <w:t>（5）磋商有效期不符合竞争性磋商文件要求的；</w:t>
      </w:r>
    </w:p>
    <w:p w14:paraId="73698C1D">
      <w:pPr>
        <w:spacing w:line="500" w:lineRule="exact"/>
        <w:ind w:firstLine="480" w:firstLineChars="200"/>
        <w:outlineLvl w:val="9"/>
        <w:rPr>
          <w:rFonts w:hint="eastAsia"/>
          <w:color w:val="000000"/>
          <w:sz w:val="24"/>
          <w:szCs w:val="22"/>
        </w:rPr>
      </w:pPr>
      <w:r>
        <w:rPr>
          <w:rFonts w:hint="eastAsia"/>
          <w:color w:val="000000"/>
          <w:sz w:val="24"/>
          <w:szCs w:val="22"/>
        </w:rPr>
        <w:t>（6）报价未按照竞争性磋商文件规定填报或磋商小组确认磋商报价明显低于成本，涉嫌恶意竞争的；</w:t>
      </w:r>
    </w:p>
    <w:p w14:paraId="29354194">
      <w:pPr>
        <w:tabs>
          <w:tab w:val="left" w:pos="1966"/>
        </w:tabs>
        <w:spacing w:line="500" w:lineRule="exact"/>
        <w:ind w:firstLine="480" w:firstLineChars="200"/>
        <w:outlineLvl w:val="9"/>
        <w:rPr>
          <w:rFonts w:hint="eastAsia"/>
          <w:color w:val="000000"/>
          <w:sz w:val="24"/>
          <w:szCs w:val="20"/>
        </w:rPr>
      </w:pPr>
      <w:r>
        <w:rPr>
          <w:rFonts w:hint="eastAsia"/>
          <w:color w:val="000000"/>
          <w:sz w:val="24"/>
          <w:szCs w:val="20"/>
        </w:rPr>
        <w:t>（7） 报价超过磋商文件限制的；</w:t>
      </w:r>
    </w:p>
    <w:p w14:paraId="54152A28">
      <w:pPr>
        <w:tabs>
          <w:tab w:val="left" w:pos="1966"/>
        </w:tabs>
        <w:spacing w:line="500" w:lineRule="exact"/>
        <w:ind w:firstLine="480" w:firstLineChars="200"/>
        <w:outlineLvl w:val="9"/>
        <w:rPr>
          <w:rFonts w:hint="eastAsia"/>
          <w:color w:val="000000"/>
          <w:sz w:val="24"/>
          <w:szCs w:val="20"/>
        </w:rPr>
      </w:pPr>
      <w:r>
        <w:rPr>
          <w:rFonts w:hint="eastAsia"/>
          <w:color w:val="000000"/>
          <w:sz w:val="24"/>
          <w:szCs w:val="20"/>
        </w:rPr>
        <w:t>（8） 提供虚假文件或者失实材料的；</w:t>
      </w:r>
    </w:p>
    <w:p w14:paraId="104C6447">
      <w:pPr>
        <w:tabs>
          <w:tab w:val="left" w:pos="1966"/>
        </w:tabs>
        <w:spacing w:line="500" w:lineRule="exact"/>
        <w:ind w:firstLine="480" w:firstLineChars="200"/>
        <w:outlineLvl w:val="9"/>
        <w:rPr>
          <w:rFonts w:hint="eastAsia"/>
          <w:color w:val="000000"/>
          <w:sz w:val="24"/>
          <w:szCs w:val="20"/>
        </w:rPr>
      </w:pPr>
      <w:r>
        <w:rPr>
          <w:rFonts w:hint="eastAsia"/>
          <w:color w:val="000000"/>
          <w:sz w:val="24"/>
          <w:szCs w:val="20"/>
        </w:rPr>
        <w:t>（9） 有串通磋商、弄虚作假、行贿等违法行为的；</w:t>
      </w:r>
    </w:p>
    <w:p w14:paraId="13E5124A">
      <w:pPr>
        <w:tabs>
          <w:tab w:val="left" w:pos="1966"/>
        </w:tabs>
        <w:spacing w:line="500" w:lineRule="exact"/>
        <w:ind w:left="528" w:leftChars="240"/>
        <w:outlineLvl w:val="9"/>
        <w:rPr>
          <w:rFonts w:hint="eastAsia"/>
          <w:color w:val="000000"/>
          <w:sz w:val="24"/>
          <w:szCs w:val="20"/>
        </w:rPr>
      </w:pPr>
      <w:r>
        <w:rPr>
          <w:rFonts w:hint="eastAsia"/>
          <w:color w:val="000000"/>
          <w:sz w:val="24"/>
          <w:szCs w:val="20"/>
        </w:rPr>
        <w:t>（10） 响应联合体没有提交联合体协议或联合体协议不符合要求的（如有）；</w:t>
      </w:r>
    </w:p>
    <w:p w14:paraId="7CB5D4DA">
      <w:pPr>
        <w:tabs>
          <w:tab w:val="left" w:pos="1966"/>
        </w:tabs>
        <w:spacing w:line="500" w:lineRule="exact"/>
        <w:ind w:left="528" w:leftChars="240"/>
        <w:outlineLvl w:val="9"/>
        <w:rPr>
          <w:rFonts w:hint="eastAsia"/>
          <w:color w:val="000000"/>
          <w:sz w:val="24"/>
          <w:szCs w:val="20"/>
        </w:rPr>
      </w:pPr>
      <w:r>
        <w:rPr>
          <w:rFonts w:hint="eastAsia"/>
          <w:color w:val="000000"/>
          <w:sz w:val="24"/>
          <w:szCs w:val="20"/>
        </w:rPr>
        <w:t>（11） 存在磋商文件中规定的否决响应的其他条款的。</w:t>
      </w:r>
    </w:p>
    <w:p w14:paraId="20272749">
      <w:pPr>
        <w:tabs>
          <w:tab w:val="left" w:pos="1966"/>
        </w:tabs>
        <w:spacing w:line="500" w:lineRule="exact"/>
        <w:ind w:left="528" w:leftChars="240"/>
        <w:outlineLvl w:val="9"/>
        <w:rPr>
          <w:rFonts w:hint="eastAsia"/>
          <w:color w:val="000000"/>
          <w:sz w:val="20"/>
          <w:szCs w:val="20"/>
        </w:rPr>
      </w:pPr>
      <w:r>
        <w:rPr>
          <w:rFonts w:hint="eastAsia"/>
          <w:color w:val="000000"/>
          <w:sz w:val="24"/>
          <w:szCs w:val="20"/>
        </w:rPr>
        <w:t>（12） 不符合法律法规和竞争性磋商文件中规定的其他实质性要求的。无效应答文件不能进入后续评审或磋商程序。</w:t>
      </w:r>
    </w:p>
    <w:p w14:paraId="4957180F">
      <w:pPr>
        <w:spacing w:line="360" w:lineRule="auto"/>
        <w:jc w:val="center"/>
        <w:outlineLvl w:val="1"/>
        <w:rPr>
          <w:rFonts w:hint="eastAsia"/>
          <w:b/>
          <w:bCs/>
          <w:snapToGrid w:val="0"/>
          <w:color w:val="000000"/>
          <w:sz w:val="24"/>
          <w:szCs w:val="24"/>
        </w:rPr>
      </w:pPr>
      <w:bookmarkStart w:id="346" w:name="_Toc18139"/>
      <w:bookmarkStart w:id="347" w:name="_Toc16529"/>
      <w:bookmarkStart w:id="348" w:name="_Toc29533"/>
      <w:bookmarkStart w:id="349" w:name="_Toc7227"/>
      <w:bookmarkStart w:id="350" w:name="_Toc10639"/>
      <w:bookmarkStart w:id="351" w:name="_Toc1382"/>
      <w:bookmarkStart w:id="352" w:name="_Toc23920"/>
      <w:r>
        <w:rPr>
          <w:rFonts w:hint="eastAsia"/>
          <w:b/>
          <w:bCs/>
          <w:snapToGrid w:val="0"/>
          <w:color w:val="000000"/>
          <w:sz w:val="24"/>
          <w:szCs w:val="24"/>
        </w:rPr>
        <w:t>四、澄清及偏差有关问题</w:t>
      </w:r>
      <w:bookmarkEnd w:id="346"/>
      <w:bookmarkEnd w:id="347"/>
      <w:bookmarkEnd w:id="348"/>
      <w:bookmarkEnd w:id="349"/>
      <w:bookmarkEnd w:id="350"/>
      <w:bookmarkEnd w:id="351"/>
      <w:bookmarkEnd w:id="352"/>
    </w:p>
    <w:p w14:paraId="2A6E9DE6">
      <w:pPr>
        <w:tabs>
          <w:tab w:val="left" w:pos="1086"/>
        </w:tabs>
        <w:spacing w:line="500" w:lineRule="exact"/>
        <w:outlineLvl w:val="9"/>
        <w:rPr>
          <w:rFonts w:hint="eastAsia"/>
          <w:b/>
          <w:color w:val="000000"/>
          <w:sz w:val="24"/>
          <w:szCs w:val="20"/>
        </w:rPr>
      </w:pPr>
      <w:bookmarkStart w:id="353" w:name="_Toc11890"/>
      <w:r>
        <w:rPr>
          <w:rFonts w:hint="eastAsia"/>
          <w:b/>
          <w:color w:val="000000"/>
          <w:sz w:val="24"/>
          <w:szCs w:val="20"/>
          <w:lang w:val="en-US" w:eastAsia="zh-CN"/>
        </w:rPr>
        <w:t>6</w:t>
      </w:r>
      <w:r>
        <w:rPr>
          <w:rFonts w:hint="eastAsia"/>
          <w:b/>
          <w:color w:val="000000"/>
          <w:sz w:val="24"/>
          <w:szCs w:val="20"/>
        </w:rPr>
        <w:t>、澄清</w:t>
      </w:r>
      <w:bookmarkEnd w:id="353"/>
    </w:p>
    <w:p w14:paraId="1BCF0DF2">
      <w:pPr>
        <w:tabs>
          <w:tab w:val="left" w:pos="1966"/>
        </w:tabs>
        <w:spacing w:line="500" w:lineRule="exact"/>
        <w:ind w:firstLine="480" w:firstLineChars="200"/>
        <w:outlineLvl w:val="9"/>
        <w:rPr>
          <w:rFonts w:hint="eastAsia"/>
          <w:color w:val="000000"/>
          <w:sz w:val="24"/>
          <w:szCs w:val="22"/>
        </w:rPr>
      </w:pPr>
      <w:r>
        <w:rPr>
          <w:rFonts w:hint="eastAsia"/>
          <w:color w:val="000000"/>
          <w:sz w:val="24"/>
          <w:szCs w:val="22"/>
          <w:lang w:val="en-US" w:eastAsia="zh-CN"/>
        </w:rPr>
        <w:t>6.1</w:t>
      </w:r>
      <w:r>
        <w:rPr>
          <w:rFonts w:hint="eastAsia"/>
          <w:color w:val="000000"/>
          <w:sz w:val="24"/>
          <w:szCs w:val="22"/>
        </w:rPr>
        <w:t>评审期间，</w:t>
      </w:r>
      <w:r>
        <w:rPr>
          <w:rFonts w:hint="eastAsia"/>
          <w:color w:val="000000"/>
          <w:sz w:val="24"/>
          <w:szCs w:val="22"/>
          <w:lang w:eastAsia="zh-CN"/>
        </w:rPr>
        <w:t>响应人</w:t>
      </w:r>
      <w:r>
        <w:rPr>
          <w:rFonts w:hint="eastAsia"/>
          <w:color w:val="000000"/>
          <w:sz w:val="24"/>
          <w:szCs w:val="22"/>
        </w:rPr>
        <w:t>法定代表人或其授权代表须时刻关注电子开标室并保持通讯畅通。如因通讯不畅导致</w:t>
      </w:r>
      <w:r>
        <w:rPr>
          <w:rFonts w:hint="eastAsia"/>
          <w:color w:val="000000"/>
          <w:sz w:val="24"/>
          <w:szCs w:val="22"/>
          <w:lang w:eastAsia="zh-CN"/>
        </w:rPr>
        <w:t>响应人</w:t>
      </w:r>
      <w:r>
        <w:rPr>
          <w:rFonts w:hint="eastAsia"/>
          <w:color w:val="000000"/>
          <w:sz w:val="24"/>
          <w:szCs w:val="22"/>
        </w:rPr>
        <w:t>无法及时澄清而被认定为无效响应等后果由</w:t>
      </w:r>
      <w:r>
        <w:rPr>
          <w:rFonts w:hint="eastAsia"/>
          <w:color w:val="000000"/>
          <w:sz w:val="24"/>
          <w:szCs w:val="22"/>
          <w:lang w:eastAsia="zh-CN"/>
        </w:rPr>
        <w:t>响应人</w:t>
      </w:r>
      <w:r>
        <w:rPr>
          <w:rFonts w:hint="eastAsia"/>
          <w:color w:val="000000"/>
          <w:sz w:val="24"/>
          <w:szCs w:val="22"/>
        </w:rPr>
        <w:t>自行承担。</w:t>
      </w:r>
    </w:p>
    <w:p w14:paraId="3A40A756">
      <w:pPr>
        <w:tabs>
          <w:tab w:val="left" w:pos="1966"/>
        </w:tabs>
        <w:spacing w:line="500" w:lineRule="exact"/>
        <w:ind w:firstLine="480" w:firstLineChars="200"/>
        <w:outlineLvl w:val="9"/>
        <w:rPr>
          <w:rFonts w:hint="eastAsia"/>
          <w:color w:val="000000"/>
          <w:sz w:val="24"/>
          <w:szCs w:val="22"/>
        </w:rPr>
      </w:pPr>
      <w:r>
        <w:rPr>
          <w:rFonts w:hint="eastAsia"/>
          <w:color w:val="000000"/>
          <w:sz w:val="24"/>
          <w:szCs w:val="22"/>
          <w:lang w:val="en-US" w:eastAsia="zh-CN"/>
        </w:rPr>
        <w:t>6</w:t>
      </w:r>
      <w:r>
        <w:rPr>
          <w:rFonts w:hint="eastAsia"/>
          <w:color w:val="000000"/>
          <w:sz w:val="24"/>
          <w:szCs w:val="22"/>
        </w:rPr>
        <w:t>.2为有助于对响应文件进行审查、评估和比较，磋商小组有权向</w:t>
      </w:r>
      <w:r>
        <w:rPr>
          <w:rFonts w:hint="eastAsia"/>
          <w:color w:val="000000"/>
          <w:sz w:val="24"/>
          <w:szCs w:val="22"/>
          <w:lang w:eastAsia="zh-CN"/>
        </w:rPr>
        <w:t>响应人</w:t>
      </w:r>
      <w:r>
        <w:rPr>
          <w:rFonts w:hint="eastAsia"/>
          <w:color w:val="000000"/>
          <w:sz w:val="24"/>
          <w:szCs w:val="22"/>
        </w:rPr>
        <w:t>提出质疑，请</w:t>
      </w:r>
      <w:r>
        <w:rPr>
          <w:rFonts w:hint="eastAsia"/>
          <w:color w:val="000000"/>
          <w:sz w:val="24"/>
          <w:szCs w:val="22"/>
          <w:lang w:eastAsia="zh-CN"/>
        </w:rPr>
        <w:t>响应人</w:t>
      </w:r>
      <w:r>
        <w:rPr>
          <w:rFonts w:hint="eastAsia"/>
          <w:color w:val="000000"/>
          <w:sz w:val="24"/>
          <w:szCs w:val="22"/>
        </w:rPr>
        <w:t>澄清其投标内容。</w:t>
      </w:r>
    </w:p>
    <w:p w14:paraId="0EBA5BDB">
      <w:pPr>
        <w:tabs>
          <w:tab w:val="left" w:pos="1966"/>
        </w:tabs>
        <w:spacing w:line="500" w:lineRule="exact"/>
        <w:ind w:firstLine="480" w:firstLineChars="200"/>
        <w:outlineLvl w:val="9"/>
        <w:rPr>
          <w:rFonts w:hint="eastAsia"/>
          <w:color w:val="000000"/>
          <w:sz w:val="24"/>
          <w:szCs w:val="22"/>
        </w:rPr>
      </w:pPr>
      <w:r>
        <w:rPr>
          <w:rFonts w:hint="eastAsia"/>
          <w:color w:val="000000"/>
          <w:sz w:val="24"/>
          <w:szCs w:val="22"/>
          <w:lang w:val="en-US" w:eastAsia="zh-CN"/>
        </w:rPr>
        <w:t>6</w:t>
      </w:r>
      <w:r>
        <w:rPr>
          <w:rFonts w:hint="eastAsia"/>
          <w:color w:val="000000"/>
          <w:sz w:val="24"/>
          <w:szCs w:val="22"/>
        </w:rPr>
        <w:t>.3磋商小组可以要求</w:t>
      </w:r>
      <w:r>
        <w:rPr>
          <w:rFonts w:hint="eastAsia"/>
          <w:color w:val="000000"/>
          <w:sz w:val="24"/>
          <w:szCs w:val="22"/>
          <w:lang w:eastAsia="zh-CN"/>
        </w:rPr>
        <w:t>响应人</w:t>
      </w:r>
      <w:r>
        <w:rPr>
          <w:rFonts w:hint="eastAsia"/>
          <w:color w:val="000000"/>
          <w:sz w:val="24"/>
          <w:szCs w:val="22"/>
        </w:rPr>
        <w:t>对响应文件中含义不明确、同类问题表述不一致或者有明显文字和计算错误的内容等作出必要的澄清、说明或者更正。</w:t>
      </w:r>
      <w:r>
        <w:rPr>
          <w:rFonts w:hint="eastAsia"/>
          <w:color w:val="000000"/>
          <w:sz w:val="24"/>
          <w:szCs w:val="22"/>
          <w:lang w:eastAsia="zh-CN"/>
        </w:rPr>
        <w:t>响应人</w:t>
      </w:r>
      <w:r>
        <w:rPr>
          <w:rFonts w:hint="eastAsia"/>
          <w:color w:val="000000"/>
          <w:sz w:val="24"/>
          <w:szCs w:val="22"/>
        </w:rPr>
        <w:t>的澄清、说明或者更正不得超出响应文件的范围或者改变响应文件的实质性内容。</w:t>
      </w:r>
    </w:p>
    <w:p w14:paraId="6877D310">
      <w:pPr>
        <w:tabs>
          <w:tab w:val="left" w:pos="1966"/>
        </w:tabs>
        <w:spacing w:line="500" w:lineRule="exact"/>
        <w:ind w:firstLine="480" w:firstLineChars="200"/>
        <w:outlineLvl w:val="9"/>
        <w:rPr>
          <w:rFonts w:hint="eastAsia"/>
          <w:color w:val="000000"/>
          <w:sz w:val="24"/>
          <w:szCs w:val="22"/>
        </w:rPr>
      </w:pPr>
      <w:r>
        <w:rPr>
          <w:rFonts w:hint="eastAsia"/>
          <w:color w:val="000000"/>
          <w:sz w:val="24"/>
          <w:szCs w:val="22"/>
          <w:lang w:val="en-US" w:eastAsia="zh-CN"/>
        </w:rPr>
        <w:t>6</w:t>
      </w:r>
      <w:r>
        <w:rPr>
          <w:rFonts w:hint="eastAsia"/>
          <w:color w:val="000000"/>
          <w:sz w:val="24"/>
          <w:szCs w:val="22"/>
        </w:rPr>
        <w:t>.4</w:t>
      </w:r>
      <w:r>
        <w:rPr>
          <w:rFonts w:hint="eastAsia"/>
          <w:color w:val="000000"/>
          <w:sz w:val="24"/>
          <w:szCs w:val="22"/>
          <w:lang w:eastAsia="zh-CN"/>
        </w:rPr>
        <w:t>响应人</w:t>
      </w:r>
      <w:r>
        <w:rPr>
          <w:rFonts w:hint="eastAsia"/>
          <w:color w:val="000000"/>
          <w:sz w:val="24"/>
          <w:szCs w:val="22"/>
        </w:rPr>
        <w:t>的澄清、说明或者补正应当采用书面形式，并加盖电子签章，或者由法定代表人加盖电子签名。并将澄清内容作为附件上传至系统中。</w:t>
      </w:r>
    </w:p>
    <w:p w14:paraId="4FDD5E2D">
      <w:pPr>
        <w:tabs>
          <w:tab w:val="left" w:pos="1966"/>
        </w:tabs>
        <w:spacing w:line="500" w:lineRule="exact"/>
        <w:ind w:firstLine="480" w:firstLineChars="200"/>
        <w:outlineLvl w:val="9"/>
        <w:rPr>
          <w:rFonts w:hint="eastAsia"/>
          <w:color w:val="000000"/>
          <w:sz w:val="24"/>
          <w:szCs w:val="22"/>
        </w:rPr>
      </w:pPr>
      <w:r>
        <w:rPr>
          <w:rFonts w:hint="eastAsia"/>
          <w:color w:val="000000"/>
          <w:sz w:val="24"/>
          <w:szCs w:val="22"/>
          <w:lang w:val="en-US" w:eastAsia="zh-CN"/>
        </w:rPr>
        <w:t>6</w:t>
      </w:r>
      <w:r>
        <w:rPr>
          <w:rFonts w:hint="eastAsia"/>
          <w:color w:val="000000"/>
          <w:sz w:val="24"/>
          <w:szCs w:val="22"/>
        </w:rPr>
        <w:t>.5</w:t>
      </w:r>
      <w:r>
        <w:rPr>
          <w:rFonts w:hint="eastAsia"/>
          <w:color w:val="000000"/>
          <w:sz w:val="24"/>
          <w:szCs w:val="22"/>
          <w:lang w:eastAsia="zh-CN"/>
        </w:rPr>
        <w:t>响应人</w:t>
      </w:r>
      <w:r>
        <w:rPr>
          <w:rFonts w:hint="eastAsia"/>
          <w:color w:val="000000"/>
          <w:sz w:val="24"/>
          <w:szCs w:val="22"/>
        </w:rPr>
        <w:t>的澄清文件是响应文件的组成部分，并取代响应文件中被澄清的部分。</w:t>
      </w:r>
    </w:p>
    <w:p w14:paraId="44ED6304">
      <w:pPr>
        <w:tabs>
          <w:tab w:val="left" w:pos="1966"/>
        </w:tabs>
        <w:spacing w:line="500" w:lineRule="exact"/>
        <w:ind w:firstLine="480" w:firstLineChars="200"/>
        <w:outlineLvl w:val="9"/>
        <w:rPr>
          <w:rFonts w:hint="eastAsia"/>
          <w:color w:val="000000"/>
          <w:sz w:val="24"/>
          <w:szCs w:val="22"/>
        </w:rPr>
      </w:pPr>
      <w:r>
        <w:rPr>
          <w:rFonts w:hint="eastAsia"/>
          <w:color w:val="000000"/>
          <w:sz w:val="24"/>
          <w:szCs w:val="22"/>
          <w:lang w:val="en-US" w:eastAsia="zh-CN"/>
        </w:rPr>
        <w:t>6</w:t>
      </w:r>
      <w:r>
        <w:rPr>
          <w:rFonts w:hint="eastAsia"/>
          <w:color w:val="000000"/>
          <w:sz w:val="24"/>
          <w:szCs w:val="22"/>
        </w:rPr>
        <w:t>.6澄清文件应按磋商小组规定的时间提交。</w:t>
      </w:r>
    </w:p>
    <w:p w14:paraId="3122479F">
      <w:pPr>
        <w:tabs>
          <w:tab w:val="left" w:pos="1966"/>
        </w:tabs>
        <w:spacing w:line="500" w:lineRule="exact"/>
        <w:outlineLvl w:val="9"/>
        <w:rPr>
          <w:rFonts w:hint="eastAsia"/>
          <w:b/>
          <w:color w:val="000000"/>
          <w:sz w:val="24"/>
          <w:szCs w:val="20"/>
        </w:rPr>
      </w:pPr>
      <w:bookmarkStart w:id="354" w:name="_Toc21976"/>
      <w:r>
        <w:rPr>
          <w:rFonts w:hint="eastAsia"/>
          <w:b/>
          <w:color w:val="000000"/>
          <w:sz w:val="24"/>
          <w:szCs w:val="20"/>
          <w:lang w:val="en-US" w:eastAsia="zh-CN"/>
        </w:rPr>
        <w:t>7</w:t>
      </w:r>
      <w:r>
        <w:rPr>
          <w:rFonts w:hint="eastAsia"/>
          <w:b/>
          <w:color w:val="000000"/>
          <w:sz w:val="24"/>
          <w:szCs w:val="20"/>
        </w:rPr>
        <w:t>、偏差</w:t>
      </w:r>
      <w:bookmarkEnd w:id="354"/>
    </w:p>
    <w:p w14:paraId="3EE6796E">
      <w:pPr>
        <w:spacing w:line="500" w:lineRule="exact"/>
        <w:ind w:right="120" w:firstLine="480" w:firstLineChars="200"/>
        <w:outlineLvl w:val="9"/>
        <w:rPr>
          <w:rFonts w:hint="eastAsia"/>
          <w:color w:val="000000"/>
          <w:sz w:val="24"/>
          <w:szCs w:val="20"/>
          <w:highlight w:val="none"/>
        </w:rPr>
      </w:pPr>
      <w:r>
        <w:rPr>
          <w:rFonts w:hint="eastAsia"/>
          <w:color w:val="000000"/>
          <w:sz w:val="24"/>
          <w:szCs w:val="20"/>
          <w:highlight w:val="none"/>
        </w:rPr>
        <w:t>响应文件的大写金额和小写金额不一致的，以大写金额为准；</w:t>
      </w:r>
      <w:r>
        <w:rPr>
          <w:rFonts w:hint="eastAsia"/>
          <w:color w:val="000000"/>
          <w:sz w:val="24"/>
          <w:szCs w:val="20"/>
          <w:highlight w:val="none"/>
          <w:lang w:val="en-US" w:eastAsia="zh-CN"/>
        </w:rPr>
        <w:t>报价函</w:t>
      </w:r>
      <w:r>
        <w:rPr>
          <w:rFonts w:hint="eastAsia"/>
          <w:color w:val="000000"/>
          <w:sz w:val="24"/>
          <w:szCs w:val="20"/>
          <w:highlight w:val="none"/>
        </w:rPr>
        <w:t>金额与</w:t>
      </w:r>
      <w:r>
        <w:rPr>
          <w:rFonts w:hint="eastAsia"/>
          <w:color w:val="000000"/>
          <w:sz w:val="24"/>
          <w:szCs w:val="20"/>
          <w:highlight w:val="none"/>
          <w:lang w:val="en-US" w:eastAsia="zh-CN"/>
        </w:rPr>
        <w:t>报价一览表</w:t>
      </w:r>
      <w:r>
        <w:rPr>
          <w:rFonts w:hint="eastAsia"/>
          <w:color w:val="000000"/>
          <w:sz w:val="24"/>
          <w:szCs w:val="20"/>
          <w:highlight w:val="none"/>
        </w:rPr>
        <w:t>金额不一致的，以</w:t>
      </w:r>
      <w:r>
        <w:rPr>
          <w:rFonts w:hint="eastAsia"/>
          <w:color w:val="000000"/>
          <w:sz w:val="24"/>
          <w:szCs w:val="20"/>
          <w:highlight w:val="none"/>
          <w:lang w:val="en-US" w:eastAsia="zh-CN"/>
        </w:rPr>
        <w:t>报价一览表</w:t>
      </w:r>
      <w:r>
        <w:rPr>
          <w:rFonts w:hint="eastAsia"/>
          <w:color w:val="000000"/>
          <w:sz w:val="24"/>
          <w:szCs w:val="20"/>
          <w:highlight w:val="none"/>
        </w:rPr>
        <w:t>金额计算结果为准；</w:t>
      </w:r>
      <w:r>
        <w:rPr>
          <w:rFonts w:hint="eastAsia"/>
          <w:color w:val="000000"/>
          <w:sz w:val="24"/>
          <w:szCs w:val="20"/>
          <w:highlight w:val="none"/>
          <w:lang w:val="en-US" w:eastAsia="zh-CN"/>
        </w:rPr>
        <w:t>报价一览表</w:t>
      </w:r>
      <w:r>
        <w:rPr>
          <w:rFonts w:hint="eastAsia"/>
          <w:color w:val="000000"/>
          <w:sz w:val="24"/>
          <w:szCs w:val="20"/>
          <w:highlight w:val="none"/>
        </w:rPr>
        <w:t>金额小数点有明显错位的，应以</w:t>
      </w:r>
      <w:r>
        <w:rPr>
          <w:rFonts w:hint="eastAsia"/>
          <w:color w:val="000000"/>
          <w:sz w:val="24"/>
          <w:szCs w:val="20"/>
          <w:highlight w:val="none"/>
          <w:lang w:val="en-US" w:eastAsia="zh-CN"/>
        </w:rPr>
        <w:t>报价函</w:t>
      </w:r>
      <w:r>
        <w:rPr>
          <w:rFonts w:hint="eastAsia"/>
          <w:color w:val="000000"/>
          <w:sz w:val="24"/>
          <w:szCs w:val="20"/>
          <w:highlight w:val="none"/>
        </w:rPr>
        <w:t>为准，并修</w:t>
      </w:r>
      <w:r>
        <w:rPr>
          <w:rFonts w:hint="eastAsia"/>
          <w:color w:val="000000"/>
          <w:sz w:val="24"/>
          <w:szCs w:val="20"/>
          <w:highlight w:val="none"/>
          <w:lang w:val="en-US" w:eastAsia="zh-CN"/>
        </w:rPr>
        <w:t>正报价一览表</w:t>
      </w:r>
      <w:r>
        <w:rPr>
          <w:rFonts w:hint="eastAsia"/>
          <w:color w:val="000000"/>
          <w:sz w:val="24"/>
          <w:szCs w:val="20"/>
          <w:highlight w:val="none"/>
        </w:rPr>
        <w:t>。如果</w:t>
      </w:r>
      <w:r>
        <w:rPr>
          <w:rFonts w:hint="eastAsia"/>
          <w:color w:val="000000"/>
          <w:sz w:val="24"/>
          <w:szCs w:val="20"/>
          <w:highlight w:val="none"/>
          <w:lang w:eastAsia="zh-CN"/>
        </w:rPr>
        <w:t>响应人</w:t>
      </w:r>
      <w:r>
        <w:rPr>
          <w:rFonts w:hint="eastAsia"/>
          <w:color w:val="000000"/>
          <w:sz w:val="24"/>
          <w:szCs w:val="20"/>
          <w:highlight w:val="none"/>
        </w:rPr>
        <w:t>不接受对其算术错误的更正，其响应文件可能被否决。</w:t>
      </w:r>
    </w:p>
    <w:p w14:paraId="48DC2D75">
      <w:pPr>
        <w:spacing w:line="500" w:lineRule="exact"/>
        <w:ind w:right="120" w:firstLine="480" w:firstLineChars="200"/>
        <w:outlineLvl w:val="9"/>
        <w:rPr>
          <w:rFonts w:hint="eastAsia"/>
          <w:color w:val="000000"/>
          <w:sz w:val="24"/>
          <w:szCs w:val="20"/>
        </w:rPr>
      </w:pPr>
      <w:r>
        <w:rPr>
          <w:rFonts w:hint="eastAsia"/>
          <w:color w:val="000000"/>
          <w:sz w:val="24"/>
          <w:szCs w:val="20"/>
        </w:rPr>
        <w:t>对于响应文件中不构成实质性偏差的不正规、不一致或不规则，磋商小组可以接受，但这种接受不能损害或影响任何</w:t>
      </w:r>
      <w:r>
        <w:rPr>
          <w:rFonts w:hint="eastAsia"/>
          <w:color w:val="000000"/>
          <w:sz w:val="24"/>
          <w:szCs w:val="20"/>
          <w:lang w:eastAsia="zh-CN"/>
        </w:rPr>
        <w:t>响应人</w:t>
      </w:r>
      <w:r>
        <w:rPr>
          <w:rFonts w:hint="eastAsia"/>
          <w:color w:val="000000"/>
          <w:sz w:val="24"/>
          <w:szCs w:val="20"/>
        </w:rPr>
        <w:t>的相对排序。</w:t>
      </w:r>
    </w:p>
    <w:p w14:paraId="387410BB">
      <w:pPr>
        <w:spacing w:line="360" w:lineRule="auto"/>
        <w:jc w:val="center"/>
        <w:outlineLvl w:val="1"/>
        <w:rPr>
          <w:rFonts w:hint="eastAsia"/>
          <w:b/>
          <w:bCs/>
          <w:snapToGrid w:val="0"/>
          <w:color w:val="000000"/>
          <w:sz w:val="24"/>
          <w:szCs w:val="24"/>
        </w:rPr>
      </w:pPr>
      <w:bookmarkStart w:id="355" w:name="_Toc31232"/>
      <w:bookmarkStart w:id="356" w:name="_Toc5308"/>
      <w:bookmarkStart w:id="357" w:name="_Toc29550"/>
      <w:bookmarkStart w:id="358" w:name="_Toc31849"/>
      <w:bookmarkStart w:id="359" w:name="_Toc25707"/>
      <w:bookmarkStart w:id="360" w:name="_Toc20710"/>
      <w:bookmarkStart w:id="361" w:name="_Toc13223"/>
      <w:r>
        <w:rPr>
          <w:rFonts w:hint="eastAsia"/>
          <w:b/>
          <w:bCs/>
          <w:snapToGrid w:val="0"/>
          <w:color w:val="000000"/>
          <w:sz w:val="24"/>
          <w:szCs w:val="24"/>
        </w:rPr>
        <w:t>五、磋商与最终报价</w:t>
      </w:r>
      <w:bookmarkEnd w:id="355"/>
      <w:bookmarkEnd w:id="356"/>
      <w:bookmarkEnd w:id="357"/>
      <w:bookmarkEnd w:id="358"/>
      <w:bookmarkEnd w:id="359"/>
      <w:bookmarkEnd w:id="360"/>
      <w:bookmarkEnd w:id="361"/>
    </w:p>
    <w:p w14:paraId="2EA518D7">
      <w:pPr>
        <w:tabs>
          <w:tab w:val="left" w:pos="1086"/>
        </w:tabs>
        <w:spacing w:line="500" w:lineRule="exact"/>
        <w:outlineLvl w:val="9"/>
        <w:rPr>
          <w:rFonts w:hint="eastAsia"/>
          <w:b/>
          <w:color w:val="000000"/>
          <w:sz w:val="24"/>
          <w:szCs w:val="20"/>
        </w:rPr>
      </w:pPr>
      <w:bookmarkStart w:id="362" w:name="_Toc23145"/>
      <w:r>
        <w:rPr>
          <w:rFonts w:hint="eastAsia"/>
          <w:b/>
          <w:color w:val="000000"/>
          <w:sz w:val="24"/>
          <w:szCs w:val="20"/>
          <w:lang w:val="en-US" w:eastAsia="zh-CN"/>
        </w:rPr>
        <w:t>8</w:t>
      </w:r>
      <w:r>
        <w:rPr>
          <w:rFonts w:hint="eastAsia"/>
          <w:b/>
          <w:color w:val="000000"/>
          <w:sz w:val="24"/>
          <w:szCs w:val="20"/>
        </w:rPr>
        <w:t>、磋商</w:t>
      </w:r>
      <w:bookmarkEnd w:id="362"/>
    </w:p>
    <w:p w14:paraId="1010256A">
      <w:pPr>
        <w:spacing w:line="500" w:lineRule="exact"/>
        <w:ind w:right="120" w:firstLine="480" w:firstLineChars="200"/>
        <w:outlineLvl w:val="9"/>
        <w:rPr>
          <w:rFonts w:hint="eastAsia"/>
          <w:color w:val="000000"/>
          <w:sz w:val="24"/>
          <w:szCs w:val="20"/>
        </w:rPr>
      </w:pPr>
      <w:r>
        <w:rPr>
          <w:rFonts w:hint="eastAsia"/>
          <w:color w:val="000000"/>
          <w:sz w:val="24"/>
          <w:szCs w:val="20"/>
        </w:rPr>
        <w:t>磋商小组将按照递交响应文件的顺序分别依次与通过响应文件初审的</w:t>
      </w:r>
      <w:r>
        <w:rPr>
          <w:rFonts w:hint="eastAsia"/>
          <w:color w:val="000000"/>
          <w:sz w:val="24"/>
          <w:szCs w:val="20"/>
          <w:lang w:eastAsia="zh-CN"/>
        </w:rPr>
        <w:t>响应人</w:t>
      </w:r>
      <w:r>
        <w:rPr>
          <w:rFonts w:hint="eastAsia"/>
          <w:color w:val="000000"/>
          <w:sz w:val="24"/>
          <w:szCs w:val="20"/>
        </w:rPr>
        <w:t>授权代表进行磋商。磋商内容包括技术响应方案、合同等非实质性条款。</w:t>
      </w:r>
      <w:bookmarkStart w:id="363" w:name="page22"/>
      <w:bookmarkEnd w:id="363"/>
    </w:p>
    <w:p w14:paraId="2BDF0D08">
      <w:pPr>
        <w:spacing w:line="500" w:lineRule="exact"/>
        <w:ind w:right="120" w:firstLine="480" w:firstLineChars="200"/>
        <w:outlineLvl w:val="9"/>
        <w:rPr>
          <w:rFonts w:hint="eastAsia"/>
          <w:color w:val="000000"/>
          <w:sz w:val="24"/>
          <w:szCs w:val="20"/>
        </w:rPr>
      </w:pPr>
      <w:r>
        <w:rPr>
          <w:rFonts w:hint="eastAsia"/>
          <w:color w:val="000000"/>
          <w:sz w:val="24"/>
          <w:szCs w:val="20"/>
        </w:rPr>
        <w:t>在磋商过程中，磋商小组可以根据磋商文件和磋商情况变动服务需求中的技术、服务要求以及合同非实质性条款，但不得变动磋商文件中的其他内容。如果确实涉及实质性变动的内容，须经采购人代表确认。</w:t>
      </w:r>
    </w:p>
    <w:p w14:paraId="08D7C993">
      <w:pPr>
        <w:spacing w:line="500" w:lineRule="exact"/>
        <w:ind w:right="120" w:firstLine="480" w:firstLineChars="200"/>
        <w:outlineLvl w:val="9"/>
        <w:rPr>
          <w:rFonts w:hint="eastAsia"/>
          <w:color w:val="000000"/>
          <w:sz w:val="24"/>
          <w:szCs w:val="20"/>
        </w:rPr>
      </w:pPr>
      <w:r>
        <w:rPr>
          <w:rFonts w:hint="eastAsia"/>
          <w:color w:val="000000"/>
          <w:sz w:val="24"/>
          <w:szCs w:val="20"/>
        </w:rPr>
        <w:t>对磋商文件作出的实质性变动是磋商文件的有效组成部分，磋商小组应当及时以书面形式同时通知所有参加磋商的</w:t>
      </w:r>
      <w:r>
        <w:rPr>
          <w:rFonts w:hint="eastAsia"/>
          <w:color w:val="000000"/>
          <w:sz w:val="24"/>
          <w:szCs w:val="20"/>
          <w:lang w:eastAsia="zh-CN"/>
        </w:rPr>
        <w:t>响应人</w:t>
      </w:r>
      <w:r>
        <w:rPr>
          <w:rFonts w:hint="eastAsia"/>
          <w:color w:val="000000"/>
          <w:sz w:val="24"/>
          <w:szCs w:val="20"/>
        </w:rPr>
        <w:t>。</w:t>
      </w:r>
    </w:p>
    <w:p w14:paraId="2DC3C246">
      <w:pPr>
        <w:tabs>
          <w:tab w:val="left" w:pos="1086"/>
        </w:tabs>
        <w:spacing w:line="500" w:lineRule="exact"/>
        <w:outlineLvl w:val="9"/>
        <w:rPr>
          <w:rFonts w:hint="eastAsia"/>
          <w:b/>
          <w:color w:val="000000"/>
          <w:sz w:val="24"/>
          <w:szCs w:val="20"/>
        </w:rPr>
      </w:pPr>
      <w:bookmarkStart w:id="364" w:name="_Toc8840"/>
      <w:r>
        <w:rPr>
          <w:rFonts w:hint="eastAsia"/>
          <w:b/>
          <w:color w:val="000000"/>
          <w:sz w:val="24"/>
          <w:szCs w:val="20"/>
          <w:lang w:val="en-US" w:eastAsia="zh-CN"/>
        </w:rPr>
        <w:t>9</w:t>
      </w:r>
      <w:r>
        <w:rPr>
          <w:rFonts w:hint="eastAsia"/>
          <w:b/>
          <w:color w:val="000000"/>
          <w:sz w:val="24"/>
          <w:szCs w:val="20"/>
        </w:rPr>
        <w:t>、最终报价</w:t>
      </w:r>
      <w:r>
        <w:rPr>
          <w:rFonts w:hint="eastAsia"/>
          <w:b/>
          <w:bCs/>
          <w:color w:val="000000"/>
          <w:sz w:val="24"/>
          <w:szCs w:val="20"/>
        </w:rPr>
        <w:t>（这里指第二次报价）</w:t>
      </w:r>
      <w:bookmarkEnd w:id="364"/>
    </w:p>
    <w:p w14:paraId="514D22BC">
      <w:pPr>
        <w:spacing w:line="500" w:lineRule="exact"/>
        <w:ind w:right="120" w:firstLine="480" w:firstLineChars="200"/>
        <w:outlineLvl w:val="9"/>
        <w:rPr>
          <w:rFonts w:hint="eastAsia"/>
          <w:color w:val="000000"/>
          <w:sz w:val="24"/>
          <w:szCs w:val="20"/>
        </w:rPr>
      </w:pPr>
      <w:r>
        <w:rPr>
          <w:rFonts w:hint="eastAsia"/>
          <w:color w:val="000000"/>
          <w:sz w:val="24"/>
          <w:szCs w:val="20"/>
        </w:rPr>
        <w:t>磋商结束后，磋商小组应当要求所有实质性响应的</w:t>
      </w:r>
      <w:r>
        <w:rPr>
          <w:rFonts w:hint="eastAsia"/>
          <w:color w:val="000000"/>
          <w:sz w:val="24"/>
          <w:szCs w:val="20"/>
          <w:lang w:eastAsia="zh-CN"/>
        </w:rPr>
        <w:t>响应人</w:t>
      </w:r>
      <w:r>
        <w:rPr>
          <w:rFonts w:hint="eastAsia"/>
          <w:color w:val="000000"/>
          <w:sz w:val="24"/>
          <w:szCs w:val="20"/>
        </w:rPr>
        <w:t>在规定时间内提交最后报价。超过规定时间递交的报价将被视为无效报价。最终报价是</w:t>
      </w:r>
      <w:r>
        <w:rPr>
          <w:rFonts w:hint="eastAsia"/>
          <w:color w:val="000000"/>
          <w:sz w:val="24"/>
          <w:szCs w:val="20"/>
          <w:lang w:eastAsia="zh-CN"/>
        </w:rPr>
        <w:t>响应人</w:t>
      </w:r>
      <w:r>
        <w:rPr>
          <w:rFonts w:hint="eastAsia"/>
          <w:color w:val="000000"/>
          <w:sz w:val="24"/>
          <w:szCs w:val="20"/>
        </w:rPr>
        <w:t>响应文件的有效组成部分。</w:t>
      </w:r>
    </w:p>
    <w:p w14:paraId="6C17315A">
      <w:pPr>
        <w:spacing w:line="500" w:lineRule="exact"/>
        <w:ind w:right="120"/>
        <w:outlineLvl w:val="9"/>
        <w:rPr>
          <w:rFonts w:hint="eastAsia"/>
          <w:b/>
          <w:bCs/>
          <w:color w:val="000000"/>
          <w:sz w:val="24"/>
          <w:szCs w:val="20"/>
        </w:rPr>
      </w:pPr>
      <w:bookmarkStart w:id="365" w:name="_Toc24102"/>
      <w:bookmarkStart w:id="366" w:name="_Toc504125565"/>
      <w:bookmarkStart w:id="367" w:name="_Toc515882139"/>
      <w:bookmarkStart w:id="368" w:name="_Toc513045040"/>
      <w:bookmarkStart w:id="369" w:name="_Toc511036362"/>
      <w:r>
        <w:rPr>
          <w:rFonts w:hint="eastAsia"/>
          <w:b/>
          <w:bCs/>
          <w:color w:val="000000"/>
          <w:sz w:val="24"/>
          <w:szCs w:val="20"/>
          <w:lang w:val="en-US" w:eastAsia="zh-CN"/>
        </w:rPr>
        <w:t>10</w:t>
      </w:r>
      <w:r>
        <w:rPr>
          <w:rFonts w:hint="eastAsia"/>
          <w:b/>
          <w:bCs/>
          <w:color w:val="000000"/>
          <w:sz w:val="24"/>
          <w:szCs w:val="20"/>
        </w:rPr>
        <w:t>、政府采购促进中小企业发展扶持政策</w:t>
      </w:r>
      <w:bookmarkEnd w:id="365"/>
      <w:bookmarkEnd w:id="366"/>
      <w:bookmarkEnd w:id="367"/>
      <w:bookmarkEnd w:id="368"/>
      <w:bookmarkEnd w:id="369"/>
    </w:p>
    <w:p w14:paraId="2BB3A9F3">
      <w:pPr>
        <w:spacing w:line="500" w:lineRule="exact"/>
        <w:ind w:firstLine="480" w:firstLineChars="200"/>
        <w:outlineLvl w:val="9"/>
        <w:rPr>
          <w:rFonts w:hint="eastAsia"/>
          <w:b w:val="0"/>
          <w:bCs/>
          <w:color w:val="000000"/>
          <w:sz w:val="24"/>
          <w:szCs w:val="20"/>
        </w:rPr>
      </w:pPr>
      <w:r>
        <w:rPr>
          <w:rFonts w:hint="eastAsia"/>
          <w:b w:val="0"/>
          <w:bCs/>
          <w:color w:val="000000"/>
          <w:sz w:val="24"/>
          <w:szCs w:val="20"/>
          <w:lang w:val="en-US" w:eastAsia="zh-CN"/>
        </w:rPr>
        <w:t>10.1</w:t>
      </w:r>
      <w:r>
        <w:rPr>
          <w:rFonts w:hint="eastAsia"/>
          <w:b w:val="0"/>
          <w:bCs/>
          <w:color w:val="000000"/>
          <w:sz w:val="24"/>
          <w:szCs w:val="20"/>
        </w:rPr>
        <w:t>本项目</w:t>
      </w:r>
      <w:r>
        <w:rPr>
          <w:rFonts w:hint="eastAsia"/>
          <w:b w:val="0"/>
          <w:bCs/>
          <w:color w:val="000000"/>
          <w:sz w:val="24"/>
          <w:szCs w:val="20"/>
          <w:lang w:val="en-US" w:eastAsia="zh-CN"/>
        </w:rPr>
        <w:t>不</w:t>
      </w:r>
      <w:r>
        <w:rPr>
          <w:rFonts w:hint="eastAsia"/>
          <w:b w:val="0"/>
          <w:bCs/>
          <w:color w:val="000000"/>
          <w:sz w:val="24"/>
          <w:szCs w:val="20"/>
        </w:rPr>
        <w:t>专门面向中小微企业采购，进行价格扣除。参加政府采购活动的中小微企业应当提供《中小企业声明函》；</w:t>
      </w:r>
    </w:p>
    <w:p w14:paraId="2DEDFA63">
      <w:pPr>
        <w:spacing w:line="500" w:lineRule="exact"/>
        <w:ind w:firstLine="480" w:firstLineChars="200"/>
        <w:outlineLvl w:val="9"/>
        <w:rPr>
          <w:rFonts w:hint="eastAsia"/>
          <w:b w:val="0"/>
          <w:bCs/>
          <w:color w:val="000000"/>
          <w:sz w:val="24"/>
          <w:szCs w:val="20"/>
        </w:rPr>
      </w:pPr>
      <w:r>
        <w:rPr>
          <w:rFonts w:hint="eastAsia"/>
          <w:b w:val="0"/>
          <w:bCs/>
          <w:color w:val="000000"/>
          <w:sz w:val="24"/>
          <w:szCs w:val="20"/>
          <w:lang w:val="en-US" w:eastAsia="zh-CN"/>
        </w:rPr>
        <w:t>10.2</w:t>
      </w:r>
      <w:r>
        <w:rPr>
          <w:rFonts w:hint="eastAsia"/>
          <w:b w:val="0"/>
          <w:bCs/>
          <w:color w:val="000000"/>
          <w:sz w:val="24"/>
          <w:szCs w:val="20"/>
        </w:rPr>
        <w:t>关于监狱企业：视同小微企业。须提供由省级以上监狱管理局、戒毒管理局（含新疆生产建设兵团）出具的属于监狱企业的证明文件；</w:t>
      </w:r>
    </w:p>
    <w:p w14:paraId="325273ED">
      <w:pPr>
        <w:spacing w:line="500" w:lineRule="exact"/>
        <w:ind w:firstLine="480" w:firstLineChars="200"/>
        <w:outlineLvl w:val="9"/>
        <w:rPr>
          <w:rFonts w:hint="eastAsia"/>
          <w:b w:val="0"/>
          <w:bCs/>
          <w:color w:val="000000"/>
          <w:sz w:val="24"/>
          <w:szCs w:val="20"/>
        </w:rPr>
      </w:pPr>
      <w:r>
        <w:rPr>
          <w:rFonts w:hint="eastAsia"/>
          <w:b w:val="0"/>
          <w:bCs/>
          <w:color w:val="000000"/>
          <w:sz w:val="24"/>
          <w:szCs w:val="20"/>
          <w:lang w:val="en-US" w:eastAsia="zh-CN"/>
        </w:rPr>
        <w:t>10.3</w:t>
      </w:r>
      <w:r>
        <w:rPr>
          <w:rFonts w:hint="eastAsia"/>
          <w:b w:val="0"/>
          <w:bCs/>
          <w:color w:val="000000"/>
          <w:sz w:val="24"/>
          <w:szCs w:val="20"/>
        </w:rPr>
        <w:t>关于残疾人福利性单位：视同小微企业。须提供完整的“残疾人福利性单位声明函”。</w:t>
      </w:r>
    </w:p>
    <w:p w14:paraId="11DD06D7">
      <w:pPr>
        <w:spacing w:line="360" w:lineRule="auto"/>
        <w:jc w:val="center"/>
        <w:outlineLvl w:val="1"/>
        <w:rPr>
          <w:rFonts w:hint="eastAsia"/>
          <w:b/>
          <w:bCs/>
          <w:snapToGrid w:val="0"/>
          <w:color w:val="000000"/>
          <w:sz w:val="24"/>
          <w:szCs w:val="24"/>
        </w:rPr>
      </w:pPr>
      <w:bookmarkStart w:id="370" w:name="_Toc30167"/>
      <w:bookmarkStart w:id="371" w:name="_Toc27025"/>
      <w:bookmarkStart w:id="372" w:name="_Toc28514"/>
      <w:bookmarkStart w:id="373" w:name="_Toc31425"/>
      <w:bookmarkStart w:id="374" w:name="_Toc21924"/>
      <w:bookmarkStart w:id="375" w:name="_Toc15967"/>
      <w:bookmarkStart w:id="376" w:name="_Toc4435"/>
      <w:r>
        <w:rPr>
          <w:rFonts w:hint="eastAsia"/>
          <w:b/>
          <w:bCs/>
          <w:snapToGrid w:val="0"/>
          <w:color w:val="000000"/>
          <w:sz w:val="24"/>
          <w:szCs w:val="24"/>
        </w:rPr>
        <w:t>六、比较与评价</w:t>
      </w:r>
      <w:bookmarkEnd w:id="370"/>
      <w:bookmarkEnd w:id="371"/>
      <w:bookmarkEnd w:id="372"/>
      <w:bookmarkEnd w:id="373"/>
      <w:bookmarkEnd w:id="374"/>
      <w:bookmarkEnd w:id="375"/>
      <w:bookmarkEnd w:id="376"/>
    </w:p>
    <w:p w14:paraId="14AB54A9">
      <w:pPr>
        <w:tabs>
          <w:tab w:val="left" w:pos="1074"/>
        </w:tabs>
        <w:spacing w:line="500" w:lineRule="exact"/>
        <w:ind w:right="120" w:firstLine="480" w:firstLineChars="200"/>
        <w:outlineLvl w:val="9"/>
        <w:rPr>
          <w:rFonts w:hint="eastAsia"/>
          <w:color w:val="000000"/>
          <w:sz w:val="24"/>
          <w:szCs w:val="20"/>
        </w:rPr>
      </w:pPr>
      <w:r>
        <w:rPr>
          <w:rFonts w:hint="eastAsia"/>
          <w:color w:val="000000"/>
          <w:sz w:val="24"/>
          <w:szCs w:val="20"/>
        </w:rPr>
        <w:t>1</w:t>
      </w:r>
      <w:r>
        <w:rPr>
          <w:rFonts w:hint="eastAsia"/>
          <w:color w:val="000000"/>
          <w:sz w:val="24"/>
          <w:szCs w:val="20"/>
          <w:lang w:val="en-US" w:eastAsia="zh-CN"/>
        </w:rPr>
        <w:t>1</w:t>
      </w:r>
      <w:r>
        <w:rPr>
          <w:rFonts w:hint="eastAsia"/>
          <w:color w:val="000000"/>
          <w:sz w:val="24"/>
          <w:szCs w:val="20"/>
        </w:rPr>
        <w:t>、经磋商确定最终服务需求和提交最后报价的</w:t>
      </w:r>
      <w:r>
        <w:rPr>
          <w:rFonts w:hint="eastAsia"/>
          <w:color w:val="000000"/>
          <w:sz w:val="24"/>
          <w:szCs w:val="20"/>
          <w:lang w:eastAsia="zh-CN"/>
        </w:rPr>
        <w:t>响应人</w:t>
      </w:r>
      <w:r>
        <w:rPr>
          <w:rFonts w:hint="eastAsia"/>
          <w:color w:val="000000"/>
          <w:sz w:val="24"/>
          <w:szCs w:val="20"/>
        </w:rPr>
        <w:t>后，由磋商小组采用综合评分法对提交最后报价的</w:t>
      </w:r>
      <w:r>
        <w:rPr>
          <w:rFonts w:hint="eastAsia"/>
          <w:color w:val="000000"/>
          <w:sz w:val="24"/>
          <w:szCs w:val="20"/>
          <w:lang w:eastAsia="zh-CN"/>
        </w:rPr>
        <w:t>响应人</w:t>
      </w:r>
      <w:r>
        <w:rPr>
          <w:rFonts w:hint="eastAsia"/>
          <w:color w:val="000000"/>
          <w:sz w:val="24"/>
          <w:szCs w:val="20"/>
        </w:rPr>
        <w:t>的响应文件和最后报价进行综合评分。综合评分法，是指响应文件满足磋商文件全部实质性要求且按评审因素的量化指标评审得分最高的</w:t>
      </w:r>
      <w:r>
        <w:rPr>
          <w:rFonts w:hint="eastAsia"/>
          <w:color w:val="000000"/>
          <w:sz w:val="24"/>
          <w:szCs w:val="20"/>
          <w:lang w:eastAsia="zh-CN"/>
        </w:rPr>
        <w:t>响应人</w:t>
      </w:r>
      <w:r>
        <w:rPr>
          <w:rFonts w:hint="eastAsia"/>
          <w:color w:val="000000"/>
          <w:sz w:val="24"/>
          <w:szCs w:val="20"/>
        </w:rPr>
        <w:t>为</w:t>
      </w:r>
      <w:r>
        <w:rPr>
          <w:rFonts w:hint="eastAsia"/>
          <w:color w:val="000000"/>
          <w:sz w:val="24"/>
          <w:szCs w:val="20"/>
          <w:lang w:eastAsia="zh-CN"/>
        </w:rPr>
        <w:t>成交候选人</w:t>
      </w:r>
      <w:r>
        <w:rPr>
          <w:rFonts w:hint="eastAsia"/>
          <w:color w:val="000000"/>
          <w:sz w:val="24"/>
          <w:szCs w:val="20"/>
        </w:rPr>
        <w:t>的评审方法。</w:t>
      </w:r>
    </w:p>
    <w:p w14:paraId="70CE256D">
      <w:pPr>
        <w:tabs>
          <w:tab w:val="left" w:pos="1074"/>
        </w:tabs>
        <w:spacing w:line="500" w:lineRule="exact"/>
        <w:ind w:right="120" w:firstLine="480" w:firstLineChars="200"/>
        <w:outlineLvl w:val="9"/>
        <w:rPr>
          <w:rFonts w:hint="eastAsia"/>
          <w:color w:val="000000"/>
          <w:sz w:val="24"/>
          <w:szCs w:val="20"/>
        </w:rPr>
      </w:pPr>
      <w:r>
        <w:rPr>
          <w:rFonts w:hint="eastAsia"/>
          <w:color w:val="000000"/>
          <w:sz w:val="24"/>
          <w:szCs w:val="20"/>
        </w:rPr>
        <w:t>12、按磋商文件中规定的详细评审方法和标准，对资格性</w:t>
      </w:r>
      <w:r>
        <w:rPr>
          <w:rFonts w:hint="eastAsia"/>
          <w:color w:val="000000"/>
          <w:sz w:val="24"/>
          <w:szCs w:val="20"/>
          <w:lang w:eastAsia="zh-CN"/>
        </w:rPr>
        <w:t>、</w:t>
      </w:r>
      <w:r>
        <w:rPr>
          <w:rFonts w:hint="eastAsia"/>
          <w:color w:val="000000"/>
          <w:sz w:val="24"/>
          <w:szCs w:val="20"/>
        </w:rPr>
        <w:t>符合性和</w:t>
      </w:r>
      <w:r>
        <w:rPr>
          <w:rFonts w:hint="eastAsia"/>
          <w:color w:val="000000"/>
          <w:sz w:val="24"/>
          <w:szCs w:val="20"/>
          <w:lang w:val="en-US" w:eastAsia="zh-CN"/>
        </w:rPr>
        <w:t>实质性</w:t>
      </w:r>
      <w:r>
        <w:rPr>
          <w:rFonts w:hint="eastAsia"/>
          <w:color w:val="000000"/>
          <w:sz w:val="24"/>
          <w:szCs w:val="20"/>
        </w:rPr>
        <w:t>检查合格的响应文件进行详细评审。</w:t>
      </w:r>
    </w:p>
    <w:p w14:paraId="78E34DE8">
      <w:pPr>
        <w:tabs>
          <w:tab w:val="left" w:pos="1074"/>
        </w:tabs>
        <w:spacing w:line="500" w:lineRule="exact"/>
        <w:ind w:right="120" w:firstLine="480" w:firstLineChars="200"/>
        <w:outlineLvl w:val="9"/>
        <w:rPr>
          <w:rFonts w:hint="eastAsia"/>
          <w:color w:val="000000"/>
          <w:sz w:val="24"/>
          <w:szCs w:val="20"/>
        </w:rPr>
      </w:pPr>
      <w:r>
        <w:rPr>
          <w:rFonts w:hint="eastAsia"/>
          <w:color w:val="000000"/>
          <w:sz w:val="24"/>
          <w:szCs w:val="20"/>
        </w:rPr>
        <w:t>13、磋商小组各成员按规定的量化指标和分值独立对每个有效响应的文件进行打分，然后汇总每个</w:t>
      </w:r>
      <w:r>
        <w:rPr>
          <w:rFonts w:hint="eastAsia"/>
          <w:color w:val="000000"/>
          <w:sz w:val="24"/>
          <w:szCs w:val="20"/>
          <w:lang w:eastAsia="zh-CN"/>
        </w:rPr>
        <w:t>响应人</w:t>
      </w:r>
      <w:r>
        <w:rPr>
          <w:rFonts w:hint="eastAsia"/>
          <w:color w:val="000000"/>
          <w:sz w:val="24"/>
          <w:szCs w:val="20"/>
        </w:rPr>
        <w:t>每项评分因素的得分。</w:t>
      </w:r>
    </w:p>
    <w:p w14:paraId="1E1BE6E2">
      <w:pPr>
        <w:tabs>
          <w:tab w:val="left" w:pos="1074"/>
        </w:tabs>
        <w:spacing w:line="500" w:lineRule="exact"/>
        <w:ind w:right="120" w:firstLine="480" w:firstLineChars="200"/>
        <w:outlineLvl w:val="9"/>
        <w:rPr>
          <w:rFonts w:hint="eastAsia"/>
          <w:color w:val="000000"/>
          <w:sz w:val="24"/>
          <w:szCs w:val="20"/>
        </w:rPr>
      </w:pPr>
      <w:r>
        <w:rPr>
          <w:rFonts w:hint="eastAsia"/>
          <w:color w:val="000000"/>
          <w:sz w:val="24"/>
          <w:szCs w:val="20"/>
        </w:rPr>
        <w:t>14、汇总全体磋商小组对各</w:t>
      </w:r>
      <w:r>
        <w:rPr>
          <w:rFonts w:hint="eastAsia"/>
          <w:color w:val="000000"/>
          <w:sz w:val="24"/>
          <w:szCs w:val="20"/>
          <w:lang w:eastAsia="zh-CN"/>
        </w:rPr>
        <w:t>响应人</w:t>
      </w:r>
      <w:r>
        <w:rPr>
          <w:rFonts w:hint="eastAsia"/>
          <w:color w:val="000000"/>
          <w:sz w:val="24"/>
          <w:szCs w:val="20"/>
        </w:rPr>
        <w:t>的打分并计算算术平均值，即</w:t>
      </w:r>
      <w:r>
        <w:rPr>
          <w:rFonts w:hint="eastAsia"/>
          <w:color w:val="000000"/>
          <w:sz w:val="24"/>
          <w:szCs w:val="20"/>
          <w:lang w:eastAsia="zh-CN"/>
        </w:rPr>
        <w:t>响应人</w:t>
      </w:r>
      <w:r>
        <w:rPr>
          <w:rFonts w:hint="eastAsia"/>
          <w:color w:val="000000"/>
          <w:sz w:val="24"/>
          <w:szCs w:val="20"/>
        </w:rPr>
        <w:t>的最终评审得分；</w:t>
      </w:r>
    </w:p>
    <w:p w14:paraId="5F583A27">
      <w:pPr>
        <w:tabs>
          <w:tab w:val="left" w:pos="1086"/>
        </w:tabs>
        <w:spacing w:line="500" w:lineRule="exact"/>
        <w:ind w:right="120" w:firstLine="480" w:firstLineChars="200"/>
        <w:outlineLvl w:val="9"/>
        <w:rPr>
          <w:rFonts w:hint="eastAsia"/>
          <w:color w:val="000000"/>
          <w:sz w:val="20"/>
          <w:szCs w:val="20"/>
        </w:rPr>
      </w:pPr>
      <w:r>
        <w:rPr>
          <w:rFonts w:hint="eastAsia"/>
          <w:color w:val="000000"/>
          <w:sz w:val="24"/>
          <w:szCs w:val="20"/>
        </w:rPr>
        <w:t>15、评分分值计算保留小数点后两位，小数点后第三位“四舍五入”。</w:t>
      </w:r>
    </w:p>
    <w:p w14:paraId="05617D3F">
      <w:pPr>
        <w:spacing w:line="360" w:lineRule="auto"/>
        <w:jc w:val="center"/>
        <w:outlineLvl w:val="1"/>
        <w:rPr>
          <w:rFonts w:hint="eastAsia"/>
          <w:b/>
          <w:bCs/>
          <w:snapToGrid w:val="0"/>
          <w:color w:val="000000"/>
          <w:sz w:val="24"/>
          <w:szCs w:val="24"/>
        </w:rPr>
      </w:pPr>
      <w:bookmarkStart w:id="377" w:name="_Toc29252"/>
      <w:bookmarkStart w:id="378" w:name="_Toc669"/>
      <w:bookmarkStart w:id="379" w:name="_Toc24047"/>
      <w:bookmarkStart w:id="380" w:name="_Toc22330"/>
      <w:bookmarkStart w:id="381" w:name="_Toc10126"/>
      <w:bookmarkStart w:id="382" w:name="_Toc655"/>
      <w:bookmarkStart w:id="383" w:name="_Toc19279"/>
      <w:r>
        <w:rPr>
          <w:rFonts w:hint="eastAsia"/>
          <w:b/>
          <w:bCs/>
          <w:snapToGrid w:val="0"/>
          <w:color w:val="000000"/>
          <w:sz w:val="24"/>
          <w:szCs w:val="24"/>
        </w:rPr>
        <w:t>七、 推荐</w:t>
      </w:r>
      <w:r>
        <w:rPr>
          <w:rFonts w:hint="eastAsia"/>
          <w:b/>
          <w:bCs/>
          <w:snapToGrid w:val="0"/>
          <w:color w:val="000000"/>
          <w:sz w:val="24"/>
          <w:szCs w:val="24"/>
          <w:lang w:eastAsia="zh-CN"/>
        </w:rPr>
        <w:t>成交候选人</w:t>
      </w:r>
      <w:r>
        <w:rPr>
          <w:rFonts w:hint="eastAsia"/>
          <w:b/>
          <w:bCs/>
          <w:snapToGrid w:val="0"/>
          <w:color w:val="000000"/>
          <w:sz w:val="24"/>
          <w:szCs w:val="24"/>
        </w:rPr>
        <w:t>名单</w:t>
      </w:r>
      <w:bookmarkEnd w:id="377"/>
      <w:bookmarkEnd w:id="378"/>
      <w:bookmarkEnd w:id="379"/>
      <w:bookmarkEnd w:id="380"/>
      <w:bookmarkEnd w:id="381"/>
      <w:bookmarkEnd w:id="382"/>
      <w:bookmarkEnd w:id="383"/>
    </w:p>
    <w:p w14:paraId="373421AE">
      <w:pPr>
        <w:tabs>
          <w:tab w:val="left" w:pos="1074"/>
        </w:tabs>
        <w:spacing w:line="500" w:lineRule="exact"/>
        <w:ind w:firstLine="480" w:firstLineChars="200"/>
        <w:outlineLvl w:val="9"/>
        <w:rPr>
          <w:rFonts w:hint="eastAsia"/>
          <w:color w:val="000000"/>
          <w:sz w:val="24"/>
          <w:szCs w:val="20"/>
        </w:rPr>
      </w:pPr>
      <w:r>
        <w:rPr>
          <w:rFonts w:hint="eastAsia"/>
          <w:color w:val="000000"/>
          <w:sz w:val="24"/>
          <w:szCs w:val="20"/>
        </w:rPr>
        <w:t>16、磋商小组按照综合评审得分由高到低的顺序推荐前3名为</w:t>
      </w:r>
      <w:r>
        <w:rPr>
          <w:rFonts w:hint="eastAsia"/>
          <w:color w:val="000000"/>
          <w:sz w:val="24"/>
          <w:szCs w:val="20"/>
          <w:lang w:eastAsia="zh-CN"/>
        </w:rPr>
        <w:t>成交候选人</w:t>
      </w:r>
      <w:r>
        <w:rPr>
          <w:rFonts w:hint="eastAsia"/>
          <w:color w:val="000000"/>
          <w:sz w:val="24"/>
          <w:szCs w:val="20"/>
        </w:rPr>
        <w:t>。评审得分相同的，按照最后报价由低到高的顺序推荐，评审得分且最后报价相同的，按照技术标优劣顺序推荐。</w:t>
      </w:r>
    </w:p>
    <w:p w14:paraId="24879A1D">
      <w:pPr>
        <w:tabs>
          <w:tab w:val="left" w:pos="1206"/>
        </w:tabs>
        <w:spacing w:line="500" w:lineRule="exact"/>
        <w:ind w:firstLine="480" w:firstLineChars="200"/>
        <w:outlineLvl w:val="9"/>
        <w:rPr>
          <w:rFonts w:hint="eastAsia"/>
          <w:color w:val="000000"/>
          <w:sz w:val="24"/>
          <w:szCs w:val="20"/>
        </w:rPr>
      </w:pPr>
      <w:bookmarkStart w:id="384" w:name="_Toc2214"/>
      <w:r>
        <w:rPr>
          <w:rFonts w:hint="eastAsia"/>
          <w:color w:val="000000"/>
          <w:sz w:val="24"/>
          <w:szCs w:val="20"/>
        </w:rPr>
        <w:t>17、磋商小组完成评审后，应当向采购人提交书面评审报告。</w:t>
      </w:r>
      <w:bookmarkEnd w:id="384"/>
    </w:p>
    <w:p w14:paraId="40999BF5">
      <w:pPr>
        <w:tabs>
          <w:tab w:val="left" w:pos="1074"/>
        </w:tabs>
        <w:spacing w:line="500" w:lineRule="exact"/>
        <w:ind w:right="120" w:firstLine="480" w:firstLineChars="200"/>
        <w:outlineLvl w:val="9"/>
        <w:rPr>
          <w:rFonts w:hint="eastAsia"/>
          <w:color w:val="000000"/>
          <w:sz w:val="24"/>
          <w:szCs w:val="20"/>
        </w:rPr>
      </w:pPr>
      <w:r>
        <w:rPr>
          <w:rFonts w:hint="eastAsia"/>
          <w:color w:val="000000"/>
          <w:sz w:val="24"/>
          <w:szCs w:val="20"/>
        </w:rPr>
        <w:t>18、评审报告将由磋商小组全体人员签字认可。磋商小组成员对评审报告有异议的，磋商小组按照少数服从多数的原则推荐</w:t>
      </w:r>
      <w:r>
        <w:rPr>
          <w:rFonts w:hint="eastAsia"/>
          <w:color w:val="000000"/>
          <w:sz w:val="24"/>
          <w:szCs w:val="20"/>
          <w:lang w:eastAsia="zh-CN"/>
        </w:rPr>
        <w:t>成交候选人</w:t>
      </w:r>
      <w:r>
        <w:rPr>
          <w:rFonts w:hint="eastAsia"/>
          <w:color w:val="000000"/>
          <w:sz w:val="24"/>
          <w:szCs w:val="20"/>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bookmarkStart w:id="385" w:name="page26"/>
      <w:bookmarkEnd w:id="385"/>
      <w:bookmarkStart w:id="386" w:name="page25"/>
      <w:bookmarkEnd w:id="386"/>
    </w:p>
    <w:p w14:paraId="5E6B1510">
      <w:pPr>
        <w:rPr>
          <w:rFonts w:hint="eastAsia"/>
          <w:color w:val="000000"/>
          <w:sz w:val="24"/>
          <w:szCs w:val="20"/>
        </w:rPr>
      </w:pPr>
      <w:r>
        <w:rPr>
          <w:rFonts w:hint="eastAsia"/>
          <w:color w:val="000000"/>
          <w:sz w:val="24"/>
          <w:szCs w:val="20"/>
        </w:rPr>
        <w:br w:type="page"/>
      </w:r>
    </w:p>
    <w:tbl>
      <w:tblPr>
        <w:tblStyle w:val="14"/>
        <w:tblpPr w:leftFromText="180" w:rightFromText="180" w:vertAnchor="text" w:horzAnchor="page" w:tblpX="1207" w:tblpY="296"/>
        <w:tblOverlap w:val="never"/>
        <w:tblW w:w="9745" w:type="dxa"/>
        <w:tblInd w:w="0" w:type="dxa"/>
        <w:tblLayout w:type="fixed"/>
        <w:tblCellMar>
          <w:top w:w="0" w:type="dxa"/>
          <w:left w:w="108" w:type="dxa"/>
          <w:bottom w:w="0" w:type="dxa"/>
          <w:right w:w="108" w:type="dxa"/>
        </w:tblCellMar>
      </w:tblPr>
      <w:tblGrid>
        <w:gridCol w:w="895"/>
        <w:gridCol w:w="795"/>
        <w:gridCol w:w="2040"/>
        <w:gridCol w:w="6015"/>
      </w:tblGrid>
      <w:tr w14:paraId="70C57A5C">
        <w:tblPrEx>
          <w:tblCellMar>
            <w:top w:w="0" w:type="dxa"/>
            <w:left w:w="108" w:type="dxa"/>
            <w:bottom w:w="0" w:type="dxa"/>
            <w:right w:w="108" w:type="dxa"/>
          </w:tblCellMar>
        </w:tblPrEx>
        <w:trPr>
          <w:trHeight w:val="40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0D85243A">
            <w:pPr>
              <w:adjustRightInd w:val="0"/>
              <w:spacing w:line="360" w:lineRule="auto"/>
              <w:jc w:val="center"/>
              <w:textAlignment w:val="baseline"/>
              <w:rPr>
                <w:rFonts w:hint="eastAsia" w:hAnsi="宋体" w:eastAsia="宋体" w:cs="宋体"/>
                <w:b/>
                <w:bCs/>
                <w:sz w:val="24"/>
                <w:szCs w:val="20"/>
                <w:highlight w:val="none"/>
                <w:lang w:eastAsia="zh-CN"/>
              </w:rPr>
            </w:pPr>
            <w:r>
              <w:rPr>
                <w:rFonts w:hint="eastAsia"/>
                <w:b/>
                <w:bCs/>
                <w:color w:val="000000"/>
                <w:sz w:val="24"/>
                <w:szCs w:val="20"/>
                <w:highlight w:val="yellow"/>
                <w:lang w:val="en-US" w:eastAsia="zh-CN"/>
              </w:rPr>
              <w:br w:type="page"/>
            </w:r>
            <w:r>
              <w:rPr>
                <w:rFonts w:hint="eastAsia"/>
                <w:b/>
                <w:bCs/>
                <w:color w:val="000000"/>
                <w:sz w:val="24"/>
                <w:szCs w:val="20"/>
                <w:highlight w:val="none"/>
                <w:lang w:val="en-US" w:eastAsia="zh-CN"/>
              </w:rPr>
              <w:br w:type="page"/>
            </w:r>
            <w:r>
              <w:rPr>
                <w:rFonts w:hint="eastAsia"/>
                <w:b/>
                <w:bCs/>
                <w:color w:val="000000"/>
                <w:sz w:val="24"/>
                <w:szCs w:val="20"/>
                <w:highlight w:val="none"/>
                <w:lang w:val="en-US" w:eastAsia="zh-CN"/>
              </w:rPr>
              <w:t>序号</w:t>
            </w:r>
          </w:p>
        </w:tc>
        <w:tc>
          <w:tcPr>
            <w:tcW w:w="2835" w:type="dxa"/>
            <w:gridSpan w:val="2"/>
            <w:tcBorders>
              <w:top w:val="single" w:color="auto" w:sz="4" w:space="0"/>
              <w:left w:val="nil"/>
              <w:bottom w:val="single" w:color="auto" w:sz="4" w:space="0"/>
              <w:right w:val="single" w:color="auto" w:sz="4" w:space="0"/>
            </w:tcBorders>
            <w:noWrap w:val="0"/>
            <w:vAlign w:val="center"/>
          </w:tcPr>
          <w:p w14:paraId="5FE277D6">
            <w:pPr>
              <w:pStyle w:val="17"/>
              <w:widowControl/>
              <w:spacing w:line="360" w:lineRule="auto"/>
              <w:jc w:val="center"/>
              <w:rPr>
                <w:rFonts w:hint="eastAsia" w:hAnsi="宋体" w:cs="宋体"/>
                <w:b/>
                <w:bCs/>
                <w:sz w:val="24"/>
                <w:szCs w:val="20"/>
                <w:highlight w:val="none"/>
              </w:rPr>
            </w:pPr>
            <w:r>
              <w:rPr>
                <w:rFonts w:hint="eastAsia" w:hAnsi="宋体" w:cs="宋体"/>
                <w:b/>
                <w:bCs/>
                <w:sz w:val="24"/>
                <w:szCs w:val="20"/>
                <w:highlight w:val="none"/>
              </w:rPr>
              <w:t>评审因素</w:t>
            </w:r>
          </w:p>
        </w:tc>
        <w:tc>
          <w:tcPr>
            <w:tcW w:w="6015" w:type="dxa"/>
            <w:tcBorders>
              <w:top w:val="single" w:color="auto" w:sz="4" w:space="0"/>
              <w:left w:val="nil"/>
              <w:bottom w:val="single" w:color="auto" w:sz="4" w:space="0"/>
              <w:right w:val="single" w:color="auto" w:sz="4" w:space="0"/>
            </w:tcBorders>
            <w:noWrap w:val="0"/>
            <w:vAlign w:val="center"/>
          </w:tcPr>
          <w:p w14:paraId="11C0DFFE">
            <w:pPr>
              <w:pStyle w:val="17"/>
              <w:widowControl/>
              <w:spacing w:line="360" w:lineRule="auto"/>
              <w:jc w:val="center"/>
              <w:rPr>
                <w:rFonts w:hint="eastAsia" w:hAnsi="宋体" w:cs="宋体"/>
                <w:b/>
                <w:bCs/>
                <w:sz w:val="24"/>
                <w:szCs w:val="20"/>
                <w:highlight w:val="none"/>
              </w:rPr>
            </w:pPr>
            <w:r>
              <w:rPr>
                <w:rFonts w:hint="eastAsia" w:hAnsi="宋体" w:cs="宋体"/>
                <w:b/>
                <w:bCs/>
                <w:sz w:val="24"/>
                <w:szCs w:val="20"/>
                <w:highlight w:val="none"/>
              </w:rPr>
              <w:t>评审标准</w:t>
            </w:r>
          </w:p>
        </w:tc>
      </w:tr>
      <w:tr w14:paraId="456A19D0">
        <w:tblPrEx>
          <w:tblCellMar>
            <w:top w:w="0" w:type="dxa"/>
            <w:left w:w="108" w:type="dxa"/>
            <w:bottom w:w="0" w:type="dxa"/>
            <w:right w:w="108" w:type="dxa"/>
          </w:tblCellMar>
        </w:tblPrEx>
        <w:trPr>
          <w:cantSplit/>
          <w:trHeight w:val="490" w:hRule="atLeast"/>
        </w:trPr>
        <w:tc>
          <w:tcPr>
            <w:tcW w:w="895" w:type="dxa"/>
            <w:vMerge w:val="restart"/>
            <w:tcBorders>
              <w:left w:val="single" w:color="auto" w:sz="4" w:space="0"/>
              <w:right w:val="single" w:color="auto" w:sz="4" w:space="0"/>
            </w:tcBorders>
            <w:noWrap w:val="0"/>
            <w:vAlign w:val="center"/>
          </w:tcPr>
          <w:p w14:paraId="081382E6">
            <w:pPr>
              <w:spacing w:line="360" w:lineRule="auto"/>
              <w:rPr>
                <w:rFonts w:hint="eastAsia"/>
                <w:color w:val="000000"/>
                <w:sz w:val="24"/>
                <w:szCs w:val="24"/>
                <w:highlight w:val="none"/>
              </w:rPr>
            </w:pPr>
          </w:p>
        </w:tc>
        <w:tc>
          <w:tcPr>
            <w:tcW w:w="795" w:type="dxa"/>
            <w:vMerge w:val="restart"/>
            <w:tcBorders>
              <w:left w:val="nil"/>
              <w:right w:val="single" w:color="auto" w:sz="4" w:space="0"/>
            </w:tcBorders>
            <w:noWrap w:val="0"/>
            <w:vAlign w:val="center"/>
          </w:tcPr>
          <w:p w14:paraId="504B14A5">
            <w:pPr>
              <w:spacing w:line="360" w:lineRule="auto"/>
              <w:jc w:val="center"/>
              <w:rPr>
                <w:rFonts w:hint="eastAsia"/>
                <w:color w:val="000000"/>
                <w:sz w:val="24"/>
                <w:szCs w:val="24"/>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09AE6DA9">
            <w:pPr>
              <w:adjustRightInd w:val="0"/>
              <w:spacing w:line="360" w:lineRule="auto"/>
              <w:jc w:val="center"/>
              <w:rPr>
                <w:rFonts w:hint="eastAsia" w:eastAsia="宋体"/>
                <w:color w:val="000000"/>
                <w:sz w:val="24"/>
                <w:szCs w:val="24"/>
                <w:highlight w:val="none"/>
                <w:lang w:val="en-US" w:eastAsia="zh-CN"/>
              </w:rPr>
            </w:pPr>
            <w:bookmarkStart w:id="387" w:name="OLE_LINK27"/>
            <w:r>
              <w:rPr>
                <w:rFonts w:hint="eastAsia"/>
                <w:color w:val="000000"/>
                <w:sz w:val="24"/>
                <w:szCs w:val="24"/>
                <w:highlight w:val="none"/>
                <w:lang w:val="en-US" w:eastAsia="zh-CN"/>
              </w:rPr>
              <w:t>营业执照</w:t>
            </w:r>
            <w:bookmarkEnd w:id="387"/>
          </w:p>
        </w:tc>
        <w:tc>
          <w:tcPr>
            <w:tcW w:w="6015" w:type="dxa"/>
            <w:tcBorders>
              <w:top w:val="single" w:color="auto" w:sz="4" w:space="0"/>
              <w:left w:val="nil"/>
              <w:bottom w:val="single" w:color="auto" w:sz="4" w:space="0"/>
              <w:right w:val="single" w:color="auto" w:sz="4" w:space="0"/>
            </w:tcBorders>
            <w:noWrap w:val="0"/>
            <w:vAlign w:val="center"/>
          </w:tcPr>
          <w:p w14:paraId="173A8907">
            <w:pPr>
              <w:snapToGrid w:val="0"/>
              <w:spacing w:line="360" w:lineRule="auto"/>
              <w:rPr>
                <w:rFonts w:hint="eastAsia"/>
                <w:color w:val="000000"/>
                <w:sz w:val="24"/>
                <w:szCs w:val="24"/>
                <w:highlight w:val="none"/>
              </w:rPr>
            </w:pPr>
            <w:bookmarkStart w:id="388" w:name="OLE_LINK28"/>
            <w:r>
              <w:rPr>
                <w:rFonts w:hint="eastAsia"/>
                <w:color w:val="000000"/>
                <w:sz w:val="24"/>
                <w:szCs w:val="24"/>
                <w:highlight w:val="none"/>
              </w:rPr>
              <w:t>响应人须具有合法有效的营业执照。</w:t>
            </w:r>
            <w:bookmarkEnd w:id="388"/>
          </w:p>
        </w:tc>
      </w:tr>
      <w:tr w14:paraId="1353A6BB">
        <w:tblPrEx>
          <w:tblCellMar>
            <w:top w:w="0" w:type="dxa"/>
            <w:left w:w="108" w:type="dxa"/>
            <w:bottom w:w="0" w:type="dxa"/>
            <w:right w:w="108" w:type="dxa"/>
          </w:tblCellMar>
        </w:tblPrEx>
        <w:trPr>
          <w:cantSplit/>
          <w:trHeight w:val="506" w:hRule="atLeast"/>
        </w:trPr>
        <w:tc>
          <w:tcPr>
            <w:tcW w:w="895" w:type="dxa"/>
            <w:vMerge w:val="continue"/>
            <w:tcBorders>
              <w:left w:val="single" w:color="auto" w:sz="4" w:space="0"/>
              <w:right w:val="single" w:color="auto" w:sz="4" w:space="0"/>
            </w:tcBorders>
            <w:noWrap w:val="0"/>
            <w:vAlign w:val="center"/>
          </w:tcPr>
          <w:p w14:paraId="6849837F">
            <w:pPr>
              <w:spacing w:line="360" w:lineRule="auto"/>
              <w:rPr>
                <w:rFonts w:hint="eastAsia"/>
                <w:color w:val="000000"/>
                <w:sz w:val="24"/>
                <w:szCs w:val="24"/>
                <w:highlight w:val="none"/>
              </w:rPr>
            </w:pPr>
            <w:bookmarkStart w:id="389" w:name="OLE_LINK30" w:colFirst="3" w:colLast="3"/>
          </w:p>
        </w:tc>
        <w:tc>
          <w:tcPr>
            <w:tcW w:w="795" w:type="dxa"/>
            <w:vMerge w:val="continue"/>
            <w:tcBorders>
              <w:left w:val="nil"/>
              <w:right w:val="single" w:color="auto" w:sz="4" w:space="0"/>
            </w:tcBorders>
            <w:noWrap w:val="0"/>
            <w:vAlign w:val="center"/>
          </w:tcPr>
          <w:p w14:paraId="68496D93">
            <w:pPr>
              <w:spacing w:line="360" w:lineRule="auto"/>
              <w:jc w:val="center"/>
              <w:rPr>
                <w:rFonts w:hint="eastAsia"/>
                <w:color w:val="000000"/>
                <w:sz w:val="24"/>
                <w:szCs w:val="24"/>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110F282A">
            <w:pPr>
              <w:adjustRightInd w:val="0"/>
              <w:spacing w:line="360" w:lineRule="auto"/>
              <w:ind w:firstLine="240" w:firstLineChars="100"/>
              <w:jc w:val="center"/>
              <w:rPr>
                <w:rFonts w:hint="eastAsia"/>
                <w:color w:val="000000"/>
                <w:sz w:val="24"/>
                <w:szCs w:val="24"/>
                <w:highlight w:val="none"/>
              </w:rPr>
            </w:pPr>
            <w:bookmarkStart w:id="390" w:name="OLE_LINK29"/>
            <w:r>
              <w:rPr>
                <w:rFonts w:hint="eastAsia"/>
                <w:color w:val="000000"/>
                <w:sz w:val="24"/>
                <w:szCs w:val="24"/>
                <w:highlight w:val="none"/>
              </w:rPr>
              <w:t>承诺书</w:t>
            </w:r>
            <w:bookmarkEnd w:id="390"/>
          </w:p>
        </w:tc>
        <w:tc>
          <w:tcPr>
            <w:tcW w:w="6015" w:type="dxa"/>
            <w:tcBorders>
              <w:top w:val="single" w:color="auto" w:sz="4" w:space="0"/>
              <w:left w:val="nil"/>
              <w:bottom w:val="single" w:color="auto" w:sz="4" w:space="0"/>
              <w:right w:val="single" w:color="auto" w:sz="4" w:space="0"/>
            </w:tcBorders>
            <w:noWrap w:val="0"/>
            <w:vAlign w:val="center"/>
          </w:tcPr>
          <w:p w14:paraId="3FB7EF6F">
            <w:pPr>
              <w:spacing w:line="360" w:lineRule="auto"/>
              <w:rPr>
                <w:rFonts w:hint="eastAsia"/>
                <w:color w:val="000000"/>
                <w:sz w:val="24"/>
                <w:szCs w:val="24"/>
                <w:highlight w:val="none"/>
              </w:rPr>
            </w:pPr>
            <w:r>
              <w:rPr>
                <w:rFonts w:hint="eastAsia"/>
                <w:color w:val="000000"/>
                <w:sz w:val="24"/>
                <w:szCs w:val="24"/>
                <w:highlight w:val="none"/>
              </w:rPr>
              <w:t>响应人须提供本企业无商业贿赂及不正当行为承诺书。</w:t>
            </w:r>
          </w:p>
        </w:tc>
      </w:tr>
      <w:bookmarkEnd w:id="389"/>
      <w:tr w14:paraId="4CEACB23">
        <w:tblPrEx>
          <w:tblCellMar>
            <w:top w:w="0" w:type="dxa"/>
            <w:left w:w="108" w:type="dxa"/>
            <w:bottom w:w="0" w:type="dxa"/>
            <w:right w:w="108" w:type="dxa"/>
          </w:tblCellMar>
        </w:tblPrEx>
        <w:trPr>
          <w:cantSplit/>
          <w:trHeight w:val="3213" w:hRule="atLeast"/>
        </w:trPr>
        <w:tc>
          <w:tcPr>
            <w:tcW w:w="895" w:type="dxa"/>
            <w:vMerge w:val="continue"/>
            <w:tcBorders>
              <w:left w:val="single" w:color="auto" w:sz="4" w:space="0"/>
              <w:right w:val="single" w:color="auto" w:sz="4" w:space="0"/>
            </w:tcBorders>
            <w:noWrap w:val="0"/>
            <w:vAlign w:val="center"/>
          </w:tcPr>
          <w:p w14:paraId="28207BEE">
            <w:pPr>
              <w:spacing w:line="360" w:lineRule="auto"/>
              <w:rPr>
                <w:rFonts w:hint="eastAsia"/>
                <w:color w:val="000000"/>
                <w:sz w:val="24"/>
                <w:szCs w:val="24"/>
                <w:highlight w:val="none"/>
              </w:rPr>
            </w:pPr>
          </w:p>
        </w:tc>
        <w:tc>
          <w:tcPr>
            <w:tcW w:w="795" w:type="dxa"/>
            <w:vMerge w:val="continue"/>
            <w:tcBorders>
              <w:left w:val="nil"/>
              <w:right w:val="single" w:color="auto" w:sz="4" w:space="0"/>
            </w:tcBorders>
            <w:noWrap w:val="0"/>
            <w:vAlign w:val="center"/>
          </w:tcPr>
          <w:p w14:paraId="307DF557">
            <w:pPr>
              <w:spacing w:line="360" w:lineRule="auto"/>
              <w:jc w:val="center"/>
              <w:rPr>
                <w:rFonts w:hint="eastAsia"/>
                <w:color w:val="000000"/>
                <w:sz w:val="24"/>
                <w:szCs w:val="24"/>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5C3DBF59">
            <w:pPr>
              <w:adjustRightInd w:val="0"/>
              <w:spacing w:line="360" w:lineRule="auto"/>
              <w:jc w:val="center"/>
              <w:rPr>
                <w:rFonts w:hint="default" w:eastAsia="宋体"/>
                <w:color w:val="000000"/>
                <w:sz w:val="24"/>
                <w:szCs w:val="24"/>
                <w:highlight w:val="none"/>
                <w:lang w:val="en-US" w:eastAsia="zh-CN"/>
              </w:rPr>
            </w:pPr>
            <w:bookmarkStart w:id="391" w:name="OLE_LINK31"/>
            <w:r>
              <w:rPr>
                <w:rFonts w:hint="eastAsia"/>
                <w:color w:val="000000"/>
                <w:sz w:val="24"/>
                <w:szCs w:val="24"/>
                <w:highlight w:val="none"/>
                <w:lang w:val="en-US" w:eastAsia="zh-CN"/>
              </w:rPr>
              <w:t>信用查询</w:t>
            </w:r>
            <w:bookmarkEnd w:id="391"/>
          </w:p>
        </w:tc>
        <w:tc>
          <w:tcPr>
            <w:tcW w:w="6015" w:type="dxa"/>
            <w:tcBorders>
              <w:top w:val="single" w:color="auto" w:sz="4" w:space="0"/>
              <w:left w:val="nil"/>
              <w:bottom w:val="single" w:color="auto" w:sz="4" w:space="0"/>
              <w:right w:val="single" w:color="auto" w:sz="4" w:space="0"/>
            </w:tcBorders>
            <w:noWrap w:val="0"/>
            <w:vAlign w:val="center"/>
          </w:tcPr>
          <w:p w14:paraId="41E3BD28">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eastAsia="宋体"/>
                <w:color w:val="000000"/>
                <w:sz w:val="24"/>
                <w:szCs w:val="24"/>
                <w:highlight w:val="none"/>
                <w:lang w:eastAsia="zh-CN"/>
              </w:rPr>
            </w:pPr>
            <w:bookmarkStart w:id="392" w:name="OLE_LINK32"/>
            <w:r>
              <w:rPr>
                <w:rFonts w:hint="eastAsia" w:eastAsia="宋体"/>
                <w:color w:val="000000"/>
                <w:sz w:val="24"/>
                <w:szCs w:val="24"/>
                <w:highlight w:val="none"/>
                <w:lang w:eastAsia="zh-CN"/>
              </w:rPr>
              <w:t>根据《关于在政府采购活动中查询及使用信用记录有关问题的通知》(财库[2016]125号)和豫财购【2016】15号的规定，对列入失信被执行人和重大税收违法失信主体、政府采购严重违法失信行为记录名单的供应商，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提供网站的查询结果截图。</w:t>
            </w:r>
            <w:bookmarkEnd w:id="392"/>
          </w:p>
        </w:tc>
      </w:tr>
      <w:tr w14:paraId="0CA7B2E0">
        <w:tblPrEx>
          <w:tblCellMar>
            <w:top w:w="0" w:type="dxa"/>
            <w:left w:w="108" w:type="dxa"/>
            <w:bottom w:w="0" w:type="dxa"/>
            <w:right w:w="108" w:type="dxa"/>
          </w:tblCellMar>
        </w:tblPrEx>
        <w:trPr>
          <w:cantSplit/>
          <w:trHeight w:val="629" w:hRule="atLeast"/>
        </w:trPr>
        <w:tc>
          <w:tcPr>
            <w:tcW w:w="895" w:type="dxa"/>
            <w:vMerge w:val="continue"/>
            <w:tcBorders>
              <w:left w:val="single" w:color="auto" w:sz="4" w:space="0"/>
              <w:right w:val="single" w:color="auto" w:sz="4" w:space="0"/>
            </w:tcBorders>
            <w:noWrap w:val="0"/>
            <w:vAlign w:val="center"/>
          </w:tcPr>
          <w:p w14:paraId="75BCFF64">
            <w:pPr>
              <w:spacing w:line="360" w:lineRule="auto"/>
              <w:rPr>
                <w:rFonts w:hint="eastAsia"/>
                <w:color w:val="000000"/>
                <w:sz w:val="24"/>
                <w:szCs w:val="24"/>
                <w:highlight w:val="none"/>
              </w:rPr>
            </w:pPr>
          </w:p>
        </w:tc>
        <w:tc>
          <w:tcPr>
            <w:tcW w:w="795" w:type="dxa"/>
            <w:vMerge w:val="continue"/>
            <w:tcBorders>
              <w:left w:val="nil"/>
              <w:right w:val="single" w:color="auto" w:sz="4" w:space="0"/>
            </w:tcBorders>
            <w:noWrap w:val="0"/>
            <w:vAlign w:val="center"/>
          </w:tcPr>
          <w:p w14:paraId="018541BF">
            <w:pPr>
              <w:spacing w:line="360" w:lineRule="auto"/>
              <w:jc w:val="center"/>
              <w:rPr>
                <w:rFonts w:hint="eastAsia"/>
                <w:color w:val="000000"/>
                <w:sz w:val="24"/>
                <w:szCs w:val="24"/>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6F199A1A">
            <w:pPr>
              <w:adjustRightInd w:val="0"/>
              <w:spacing w:line="360" w:lineRule="auto"/>
              <w:jc w:val="center"/>
              <w:rPr>
                <w:rFonts w:hint="default" w:eastAsia="宋体"/>
                <w:color w:val="000000"/>
                <w:sz w:val="24"/>
                <w:szCs w:val="24"/>
                <w:highlight w:val="none"/>
                <w:lang w:val="en-US" w:eastAsia="zh-CN"/>
              </w:rPr>
            </w:pPr>
            <w:bookmarkStart w:id="393" w:name="OLE_LINK33"/>
            <w:r>
              <w:rPr>
                <w:rFonts w:hint="eastAsia"/>
                <w:color w:val="000000"/>
                <w:sz w:val="24"/>
                <w:szCs w:val="24"/>
                <w:highlight w:val="none"/>
                <w:lang w:val="en-US" w:eastAsia="zh-CN"/>
              </w:rPr>
              <w:t>非联合体承诺书</w:t>
            </w:r>
            <w:bookmarkEnd w:id="393"/>
          </w:p>
        </w:tc>
        <w:tc>
          <w:tcPr>
            <w:tcW w:w="6015" w:type="dxa"/>
            <w:tcBorders>
              <w:top w:val="single" w:color="auto" w:sz="4" w:space="0"/>
              <w:left w:val="nil"/>
              <w:bottom w:val="single" w:color="auto" w:sz="4" w:space="0"/>
              <w:right w:val="single" w:color="auto" w:sz="4" w:space="0"/>
            </w:tcBorders>
            <w:noWrap w:val="0"/>
            <w:vAlign w:val="center"/>
          </w:tcPr>
          <w:p w14:paraId="15CBC13A">
            <w:pPr>
              <w:adjustRightInd w:val="0"/>
              <w:spacing w:line="360" w:lineRule="auto"/>
              <w:jc w:val="both"/>
              <w:rPr>
                <w:rFonts w:hint="eastAsia"/>
                <w:color w:val="000000"/>
                <w:kern w:val="2"/>
                <w:sz w:val="24"/>
                <w:szCs w:val="24"/>
                <w:highlight w:val="none"/>
              </w:rPr>
            </w:pPr>
            <w:bookmarkStart w:id="394" w:name="OLE_LINK34"/>
            <w:r>
              <w:rPr>
                <w:rFonts w:hint="eastAsia"/>
                <w:color w:val="000000"/>
                <w:sz w:val="24"/>
                <w:szCs w:val="24"/>
                <w:highlight w:val="none"/>
              </w:rPr>
              <w:t>本项目不接受联合体磋商。</w:t>
            </w:r>
            <w:bookmarkEnd w:id="394"/>
          </w:p>
        </w:tc>
      </w:tr>
      <w:tr w14:paraId="1148F5F1">
        <w:tblPrEx>
          <w:tblCellMar>
            <w:top w:w="0" w:type="dxa"/>
            <w:left w:w="108" w:type="dxa"/>
            <w:bottom w:w="0" w:type="dxa"/>
            <w:right w:w="108" w:type="dxa"/>
          </w:tblCellMar>
        </w:tblPrEx>
        <w:trPr>
          <w:cantSplit/>
          <w:trHeight w:val="508" w:hRule="atLeast"/>
        </w:trPr>
        <w:tc>
          <w:tcPr>
            <w:tcW w:w="895" w:type="dxa"/>
            <w:vMerge w:val="restart"/>
            <w:tcBorders>
              <w:top w:val="single" w:color="auto" w:sz="4" w:space="0"/>
              <w:left w:val="single" w:color="auto" w:sz="4" w:space="0"/>
              <w:right w:val="single" w:color="auto" w:sz="4" w:space="0"/>
            </w:tcBorders>
            <w:noWrap w:val="0"/>
            <w:vAlign w:val="center"/>
          </w:tcPr>
          <w:p w14:paraId="7612BB51">
            <w:pPr>
              <w:pStyle w:val="17"/>
              <w:widowControl/>
              <w:spacing w:line="360" w:lineRule="auto"/>
              <w:jc w:val="center"/>
              <w:rPr>
                <w:rFonts w:hint="eastAsia" w:hAnsi="宋体" w:cs="宋体"/>
                <w:sz w:val="24"/>
                <w:szCs w:val="20"/>
                <w:highlight w:val="none"/>
              </w:rPr>
            </w:pPr>
            <w:r>
              <w:rPr>
                <w:rFonts w:hint="eastAsia" w:hAnsi="宋体" w:cs="宋体"/>
                <w:sz w:val="24"/>
                <w:szCs w:val="20"/>
                <w:highlight w:val="none"/>
              </w:rPr>
              <w:t>2.1.2</w:t>
            </w:r>
          </w:p>
        </w:tc>
        <w:tc>
          <w:tcPr>
            <w:tcW w:w="795" w:type="dxa"/>
            <w:vMerge w:val="restart"/>
            <w:tcBorders>
              <w:top w:val="single" w:color="auto" w:sz="4" w:space="0"/>
              <w:left w:val="nil"/>
              <w:bottom w:val="single" w:color="auto" w:sz="4" w:space="0"/>
              <w:right w:val="single" w:color="auto" w:sz="4" w:space="0"/>
            </w:tcBorders>
            <w:noWrap w:val="0"/>
            <w:vAlign w:val="center"/>
          </w:tcPr>
          <w:p w14:paraId="5980802D">
            <w:pPr>
              <w:pStyle w:val="17"/>
              <w:widowControl/>
              <w:spacing w:line="360" w:lineRule="auto"/>
              <w:jc w:val="center"/>
              <w:rPr>
                <w:rFonts w:hint="eastAsia" w:hAnsi="宋体" w:cs="宋体"/>
                <w:sz w:val="24"/>
                <w:szCs w:val="20"/>
                <w:highlight w:val="none"/>
              </w:rPr>
            </w:pPr>
            <w:r>
              <w:rPr>
                <w:rFonts w:hint="eastAsia" w:hAnsi="宋体" w:cs="宋体"/>
                <w:sz w:val="24"/>
                <w:szCs w:val="20"/>
                <w:highlight w:val="none"/>
              </w:rPr>
              <w:t>符合</w:t>
            </w:r>
          </w:p>
          <w:p w14:paraId="2684D6F1">
            <w:pPr>
              <w:pStyle w:val="17"/>
              <w:widowControl/>
              <w:spacing w:line="360" w:lineRule="auto"/>
              <w:jc w:val="center"/>
              <w:rPr>
                <w:rFonts w:hint="eastAsia" w:hAnsi="宋体" w:cs="宋体"/>
                <w:sz w:val="24"/>
                <w:szCs w:val="20"/>
                <w:highlight w:val="none"/>
              </w:rPr>
            </w:pPr>
            <w:r>
              <w:rPr>
                <w:rFonts w:hint="eastAsia" w:hAnsi="宋体" w:cs="宋体"/>
                <w:sz w:val="24"/>
                <w:szCs w:val="20"/>
                <w:highlight w:val="none"/>
              </w:rPr>
              <w:t>评审</w:t>
            </w:r>
          </w:p>
          <w:p w14:paraId="265A940F">
            <w:pPr>
              <w:pStyle w:val="17"/>
              <w:widowControl/>
              <w:spacing w:line="360" w:lineRule="auto"/>
              <w:jc w:val="center"/>
              <w:rPr>
                <w:rFonts w:hint="eastAsia" w:hAnsi="宋体" w:cs="宋体"/>
                <w:sz w:val="24"/>
                <w:szCs w:val="20"/>
                <w:highlight w:val="none"/>
              </w:rPr>
            </w:pPr>
            <w:r>
              <w:rPr>
                <w:rFonts w:hint="eastAsia" w:hAnsi="宋体" w:cs="宋体"/>
                <w:sz w:val="24"/>
                <w:szCs w:val="20"/>
                <w:highlight w:val="none"/>
              </w:rPr>
              <w:t>标准</w:t>
            </w:r>
          </w:p>
        </w:tc>
        <w:tc>
          <w:tcPr>
            <w:tcW w:w="2040" w:type="dxa"/>
            <w:tcBorders>
              <w:top w:val="single" w:color="auto" w:sz="4" w:space="0"/>
              <w:left w:val="nil"/>
              <w:bottom w:val="single" w:color="auto" w:sz="4" w:space="0"/>
              <w:right w:val="single" w:color="auto" w:sz="4" w:space="0"/>
            </w:tcBorders>
            <w:noWrap w:val="0"/>
            <w:vAlign w:val="center"/>
          </w:tcPr>
          <w:p w14:paraId="751B7B2C">
            <w:pPr>
              <w:pStyle w:val="17"/>
              <w:widowControl/>
              <w:spacing w:line="360" w:lineRule="auto"/>
              <w:jc w:val="center"/>
              <w:rPr>
                <w:rFonts w:hint="eastAsia" w:hAnsi="宋体" w:cs="宋体"/>
                <w:sz w:val="24"/>
                <w:szCs w:val="20"/>
                <w:highlight w:val="none"/>
              </w:rPr>
            </w:pPr>
            <w:bookmarkStart w:id="395" w:name="OLE_LINK21"/>
            <w:r>
              <w:rPr>
                <w:rFonts w:hint="eastAsia" w:hAnsi="宋体" w:cs="宋体"/>
                <w:sz w:val="24"/>
                <w:szCs w:val="20"/>
                <w:highlight w:val="none"/>
                <w:lang w:eastAsia="zh-CN"/>
              </w:rPr>
              <w:t>响应人</w:t>
            </w:r>
            <w:r>
              <w:rPr>
                <w:rFonts w:hint="eastAsia" w:hAnsi="宋体" w:cs="宋体"/>
                <w:sz w:val="24"/>
                <w:szCs w:val="20"/>
                <w:highlight w:val="none"/>
              </w:rPr>
              <w:t>名称</w:t>
            </w:r>
            <w:bookmarkEnd w:id="395"/>
          </w:p>
        </w:tc>
        <w:tc>
          <w:tcPr>
            <w:tcW w:w="6015" w:type="dxa"/>
            <w:tcBorders>
              <w:top w:val="single" w:color="auto" w:sz="4" w:space="0"/>
              <w:left w:val="nil"/>
              <w:bottom w:val="single" w:color="auto" w:sz="4" w:space="0"/>
              <w:right w:val="single" w:color="auto" w:sz="4" w:space="0"/>
            </w:tcBorders>
            <w:noWrap w:val="0"/>
            <w:vAlign w:val="center"/>
          </w:tcPr>
          <w:p w14:paraId="759D2E59">
            <w:pPr>
              <w:pStyle w:val="18"/>
              <w:spacing w:line="360" w:lineRule="auto"/>
              <w:rPr>
                <w:rFonts w:hint="eastAsia" w:ascii="宋体" w:hAnsi="宋体" w:cs="宋体"/>
                <w:color w:val="000000"/>
                <w:kern w:val="0"/>
                <w:sz w:val="24"/>
                <w:szCs w:val="24"/>
                <w:highlight w:val="none"/>
              </w:rPr>
            </w:pPr>
            <w:bookmarkStart w:id="396" w:name="OLE_LINK22"/>
            <w:r>
              <w:rPr>
                <w:rFonts w:hint="eastAsia" w:ascii="宋体" w:hAnsi="宋体" w:cs="宋体"/>
                <w:color w:val="000000"/>
                <w:kern w:val="0"/>
                <w:sz w:val="24"/>
                <w:szCs w:val="24"/>
                <w:highlight w:val="none"/>
              </w:rPr>
              <w:t>与营业执照一致</w:t>
            </w:r>
            <w:bookmarkEnd w:id="396"/>
          </w:p>
        </w:tc>
      </w:tr>
      <w:tr w14:paraId="20FA7961">
        <w:tblPrEx>
          <w:tblCellMar>
            <w:top w:w="0" w:type="dxa"/>
            <w:left w:w="108" w:type="dxa"/>
            <w:bottom w:w="0" w:type="dxa"/>
            <w:right w:w="108" w:type="dxa"/>
          </w:tblCellMar>
        </w:tblPrEx>
        <w:trPr>
          <w:cantSplit/>
          <w:trHeight w:val="533" w:hRule="atLeast"/>
        </w:trPr>
        <w:tc>
          <w:tcPr>
            <w:tcW w:w="895" w:type="dxa"/>
            <w:vMerge w:val="continue"/>
            <w:tcBorders>
              <w:left w:val="single" w:color="auto" w:sz="4" w:space="0"/>
              <w:right w:val="single" w:color="auto" w:sz="4" w:space="0"/>
            </w:tcBorders>
            <w:noWrap w:val="0"/>
            <w:vAlign w:val="center"/>
          </w:tcPr>
          <w:p w14:paraId="6F82AF9D">
            <w:pPr>
              <w:spacing w:line="360" w:lineRule="auto"/>
              <w:rPr>
                <w:rFonts w:hint="eastAsia"/>
                <w:color w:val="000000"/>
                <w:sz w:val="24"/>
                <w:szCs w:val="24"/>
                <w:highlight w:val="none"/>
              </w:rPr>
            </w:pPr>
          </w:p>
        </w:tc>
        <w:tc>
          <w:tcPr>
            <w:tcW w:w="795" w:type="dxa"/>
            <w:vMerge w:val="continue"/>
            <w:tcBorders>
              <w:top w:val="nil"/>
              <w:left w:val="nil"/>
              <w:bottom w:val="single" w:color="auto" w:sz="4" w:space="0"/>
              <w:right w:val="single" w:color="auto" w:sz="4" w:space="0"/>
            </w:tcBorders>
            <w:noWrap w:val="0"/>
            <w:vAlign w:val="center"/>
          </w:tcPr>
          <w:p w14:paraId="48955BC4">
            <w:pPr>
              <w:spacing w:line="360" w:lineRule="auto"/>
              <w:jc w:val="center"/>
              <w:rPr>
                <w:rFonts w:hint="eastAsia"/>
                <w:color w:val="000000"/>
                <w:sz w:val="24"/>
                <w:szCs w:val="24"/>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63974CD6">
            <w:pPr>
              <w:pStyle w:val="17"/>
              <w:widowControl/>
              <w:spacing w:line="360" w:lineRule="auto"/>
              <w:jc w:val="center"/>
              <w:rPr>
                <w:rFonts w:hint="eastAsia" w:hAnsi="宋体" w:cs="宋体"/>
                <w:sz w:val="24"/>
                <w:szCs w:val="20"/>
                <w:highlight w:val="none"/>
              </w:rPr>
            </w:pPr>
            <w:bookmarkStart w:id="397" w:name="OLE_LINK23"/>
            <w:r>
              <w:rPr>
                <w:rFonts w:hint="eastAsia" w:hAnsi="宋体" w:cs="宋体"/>
                <w:sz w:val="24"/>
                <w:szCs w:val="20"/>
                <w:highlight w:val="none"/>
                <w:lang w:val="en-US" w:eastAsia="zh-CN"/>
              </w:rPr>
              <w:t>报价</w:t>
            </w:r>
            <w:bookmarkStart w:id="647" w:name="_GoBack"/>
            <w:bookmarkEnd w:id="647"/>
            <w:r>
              <w:rPr>
                <w:rFonts w:hint="eastAsia" w:hAnsi="宋体" w:cs="宋体"/>
                <w:sz w:val="24"/>
                <w:szCs w:val="20"/>
                <w:highlight w:val="none"/>
              </w:rPr>
              <w:t>函电子签章</w:t>
            </w:r>
            <w:bookmarkEnd w:id="397"/>
          </w:p>
        </w:tc>
        <w:tc>
          <w:tcPr>
            <w:tcW w:w="6015" w:type="dxa"/>
            <w:tcBorders>
              <w:top w:val="single" w:color="auto" w:sz="4" w:space="0"/>
              <w:left w:val="nil"/>
              <w:bottom w:val="single" w:color="auto" w:sz="4" w:space="0"/>
              <w:right w:val="single" w:color="auto" w:sz="4" w:space="0"/>
            </w:tcBorders>
            <w:noWrap w:val="0"/>
            <w:vAlign w:val="center"/>
          </w:tcPr>
          <w:p w14:paraId="1EC34448">
            <w:pPr>
              <w:pStyle w:val="17"/>
              <w:widowControl/>
              <w:spacing w:line="360" w:lineRule="auto"/>
              <w:jc w:val="both"/>
              <w:rPr>
                <w:rFonts w:hint="eastAsia" w:hAnsi="宋体" w:cs="宋体"/>
                <w:sz w:val="24"/>
                <w:szCs w:val="20"/>
                <w:highlight w:val="none"/>
              </w:rPr>
            </w:pPr>
            <w:bookmarkStart w:id="398" w:name="OLE_LINK24"/>
            <w:r>
              <w:rPr>
                <w:rFonts w:hint="eastAsia" w:hAnsi="宋体" w:cs="宋体"/>
                <w:sz w:val="24"/>
                <w:szCs w:val="20"/>
                <w:highlight w:val="none"/>
              </w:rPr>
              <w:t>有</w:t>
            </w:r>
            <w:r>
              <w:rPr>
                <w:rFonts w:hint="eastAsia" w:hAnsi="宋体" w:cs="宋体"/>
                <w:sz w:val="24"/>
                <w:szCs w:val="20"/>
                <w:highlight w:val="none"/>
                <w:lang w:eastAsia="zh-CN"/>
              </w:rPr>
              <w:t>单位电子公章</w:t>
            </w:r>
            <w:r>
              <w:rPr>
                <w:rFonts w:hint="eastAsia" w:hAnsi="宋体" w:cs="宋体"/>
                <w:sz w:val="24"/>
                <w:szCs w:val="20"/>
                <w:highlight w:val="none"/>
              </w:rPr>
              <w:t>和法定代表人电子签章</w:t>
            </w:r>
            <w:bookmarkEnd w:id="398"/>
          </w:p>
        </w:tc>
      </w:tr>
      <w:tr w14:paraId="434854CE">
        <w:tblPrEx>
          <w:tblCellMar>
            <w:top w:w="0" w:type="dxa"/>
            <w:left w:w="108" w:type="dxa"/>
            <w:bottom w:w="0" w:type="dxa"/>
            <w:right w:w="108" w:type="dxa"/>
          </w:tblCellMar>
        </w:tblPrEx>
        <w:trPr>
          <w:cantSplit/>
          <w:trHeight w:val="253" w:hRule="atLeast"/>
        </w:trPr>
        <w:tc>
          <w:tcPr>
            <w:tcW w:w="895" w:type="dxa"/>
            <w:vMerge w:val="continue"/>
            <w:tcBorders>
              <w:left w:val="single" w:color="auto" w:sz="4" w:space="0"/>
              <w:bottom w:val="single" w:color="auto" w:sz="4" w:space="0"/>
              <w:right w:val="single" w:color="auto" w:sz="4" w:space="0"/>
            </w:tcBorders>
            <w:noWrap w:val="0"/>
            <w:vAlign w:val="center"/>
          </w:tcPr>
          <w:p w14:paraId="79B50839">
            <w:pPr>
              <w:spacing w:line="360" w:lineRule="auto"/>
              <w:rPr>
                <w:rFonts w:hint="eastAsia"/>
                <w:color w:val="000000"/>
                <w:sz w:val="24"/>
                <w:szCs w:val="24"/>
                <w:highlight w:val="none"/>
              </w:rPr>
            </w:pPr>
          </w:p>
        </w:tc>
        <w:tc>
          <w:tcPr>
            <w:tcW w:w="795" w:type="dxa"/>
            <w:vMerge w:val="continue"/>
            <w:tcBorders>
              <w:top w:val="nil"/>
              <w:left w:val="nil"/>
              <w:bottom w:val="single" w:color="auto" w:sz="4" w:space="0"/>
              <w:right w:val="single" w:color="auto" w:sz="4" w:space="0"/>
            </w:tcBorders>
            <w:noWrap w:val="0"/>
            <w:vAlign w:val="center"/>
          </w:tcPr>
          <w:p w14:paraId="63280AD7">
            <w:pPr>
              <w:spacing w:line="360" w:lineRule="auto"/>
              <w:jc w:val="center"/>
              <w:rPr>
                <w:rFonts w:hint="eastAsia"/>
                <w:color w:val="000000"/>
                <w:sz w:val="24"/>
                <w:szCs w:val="24"/>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048D20D6">
            <w:pPr>
              <w:pStyle w:val="17"/>
              <w:widowControl/>
              <w:spacing w:line="360" w:lineRule="auto"/>
              <w:jc w:val="center"/>
              <w:rPr>
                <w:rFonts w:hint="eastAsia" w:hAnsi="宋体" w:cs="宋体"/>
                <w:sz w:val="24"/>
                <w:szCs w:val="20"/>
                <w:highlight w:val="none"/>
              </w:rPr>
            </w:pPr>
            <w:bookmarkStart w:id="399" w:name="OLE_LINK25"/>
            <w:r>
              <w:rPr>
                <w:rFonts w:hint="eastAsia" w:hAnsi="宋体" w:cs="宋体"/>
                <w:sz w:val="24"/>
                <w:szCs w:val="20"/>
                <w:highlight w:val="none"/>
              </w:rPr>
              <w:t>报价唯一</w:t>
            </w:r>
            <w:bookmarkEnd w:id="399"/>
          </w:p>
        </w:tc>
        <w:tc>
          <w:tcPr>
            <w:tcW w:w="6015" w:type="dxa"/>
            <w:tcBorders>
              <w:top w:val="single" w:color="auto" w:sz="4" w:space="0"/>
              <w:left w:val="nil"/>
              <w:bottom w:val="single" w:color="auto" w:sz="4" w:space="0"/>
              <w:right w:val="single" w:color="auto" w:sz="4" w:space="0"/>
            </w:tcBorders>
            <w:noWrap w:val="0"/>
            <w:vAlign w:val="center"/>
          </w:tcPr>
          <w:p w14:paraId="58FC156E">
            <w:pPr>
              <w:pStyle w:val="17"/>
              <w:widowControl/>
              <w:spacing w:line="360" w:lineRule="auto"/>
              <w:jc w:val="both"/>
              <w:rPr>
                <w:rFonts w:hint="eastAsia" w:hAnsi="宋体" w:cs="宋体"/>
                <w:sz w:val="24"/>
                <w:szCs w:val="20"/>
                <w:highlight w:val="none"/>
              </w:rPr>
            </w:pPr>
            <w:bookmarkStart w:id="400" w:name="OLE_LINK26"/>
            <w:r>
              <w:rPr>
                <w:rFonts w:hint="eastAsia" w:hAnsi="宋体" w:cs="宋体"/>
                <w:sz w:val="24"/>
                <w:szCs w:val="20"/>
                <w:highlight w:val="none"/>
              </w:rPr>
              <w:t>只能有一个有效报价且不超出采购预算价</w:t>
            </w:r>
            <w:bookmarkEnd w:id="400"/>
          </w:p>
        </w:tc>
      </w:tr>
      <w:tr w14:paraId="51E3B1B3">
        <w:tblPrEx>
          <w:tblCellMar>
            <w:top w:w="0" w:type="dxa"/>
            <w:left w:w="108" w:type="dxa"/>
            <w:bottom w:w="0" w:type="dxa"/>
            <w:right w:w="108" w:type="dxa"/>
          </w:tblCellMar>
        </w:tblPrEx>
        <w:trPr>
          <w:cantSplit/>
          <w:trHeight w:val="669" w:hRule="atLeast"/>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14:paraId="25A4CE1C">
            <w:pPr>
              <w:pStyle w:val="17"/>
              <w:widowControl/>
              <w:spacing w:line="360" w:lineRule="auto"/>
              <w:jc w:val="center"/>
              <w:rPr>
                <w:rFonts w:hint="eastAsia" w:hAnsi="宋体" w:cs="宋体"/>
                <w:sz w:val="24"/>
                <w:szCs w:val="20"/>
                <w:highlight w:val="none"/>
              </w:rPr>
            </w:pPr>
            <w:r>
              <w:rPr>
                <w:rFonts w:hint="eastAsia" w:hAnsi="宋体" w:cs="宋体"/>
                <w:sz w:val="24"/>
                <w:szCs w:val="20"/>
                <w:highlight w:val="none"/>
              </w:rPr>
              <w:t>2.1.3</w:t>
            </w:r>
          </w:p>
        </w:tc>
        <w:tc>
          <w:tcPr>
            <w:tcW w:w="795" w:type="dxa"/>
            <w:vMerge w:val="restart"/>
            <w:tcBorders>
              <w:top w:val="nil"/>
              <w:left w:val="nil"/>
              <w:bottom w:val="single" w:color="auto" w:sz="4" w:space="0"/>
              <w:right w:val="single" w:color="auto" w:sz="4" w:space="0"/>
            </w:tcBorders>
            <w:noWrap w:val="0"/>
            <w:vAlign w:val="center"/>
          </w:tcPr>
          <w:p w14:paraId="75D34AB0">
            <w:pPr>
              <w:pStyle w:val="17"/>
              <w:widowControl/>
              <w:spacing w:line="360" w:lineRule="auto"/>
              <w:jc w:val="center"/>
              <w:rPr>
                <w:rFonts w:hint="eastAsia" w:hAnsi="宋体" w:cs="宋体"/>
                <w:sz w:val="24"/>
                <w:szCs w:val="20"/>
                <w:highlight w:val="none"/>
              </w:rPr>
            </w:pPr>
            <w:r>
              <w:rPr>
                <w:rFonts w:hint="eastAsia" w:hAnsi="宋体" w:cs="宋体"/>
                <w:sz w:val="24"/>
                <w:szCs w:val="20"/>
                <w:highlight w:val="none"/>
              </w:rPr>
              <w:t>实质</w:t>
            </w:r>
          </w:p>
          <w:p w14:paraId="5CB6823C">
            <w:pPr>
              <w:pStyle w:val="17"/>
              <w:widowControl/>
              <w:spacing w:line="360" w:lineRule="auto"/>
              <w:jc w:val="center"/>
              <w:rPr>
                <w:rFonts w:hint="eastAsia" w:hAnsi="宋体" w:cs="宋体"/>
                <w:sz w:val="24"/>
                <w:szCs w:val="20"/>
                <w:highlight w:val="none"/>
              </w:rPr>
            </w:pPr>
            <w:r>
              <w:rPr>
                <w:rFonts w:hint="eastAsia" w:hAnsi="宋体" w:cs="宋体"/>
                <w:sz w:val="24"/>
                <w:szCs w:val="20"/>
                <w:highlight w:val="none"/>
              </w:rPr>
              <w:t>评审</w:t>
            </w:r>
          </w:p>
          <w:p w14:paraId="70F19A0B">
            <w:pPr>
              <w:pStyle w:val="17"/>
              <w:widowControl/>
              <w:spacing w:line="360" w:lineRule="auto"/>
              <w:jc w:val="center"/>
              <w:rPr>
                <w:rFonts w:hint="eastAsia" w:hAnsi="宋体" w:cs="宋体"/>
                <w:sz w:val="24"/>
                <w:szCs w:val="20"/>
                <w:highlight w:val="none"/>
              </w:rPr>
            </w:pPr>
            <w:r>
              <w:rPr>
                <w:rFonts w:hint="eastAsia" w:hAnsi="宋体" w:cs="宋体"/>
                <w:sz w:val="24"/>
                <w:szCs w:val="20"/>
                <w:highlight w:val="none"/>
              </w:rPr>
              <w:t>标准</w:t>
            </w:r>
          </w:p>
        </w:tc>
        <w:tc>
          <w:tcPr>
            <w:tcW w:w="2040" w:type="dxa"/>
            <w:tcBorders>
              <w:top w:val="single" w:color="auto" w:sz="4" w:space="0"/>
              <w:left w:val="nil"/>
              <w:right w:val="single" w:color="auto" w:sz="4" w:space="0"/>
            </w:tcBorders>
            <w:noWrap w:val="0"/>
            <w:vAlign w:val="center"/>
          </w:tcPr>
          <w:p w14:paraId="56A26A6D">
            <w:pPr>
              <w:pStyle w:val="17"/>
              <w:widowControl/>
              <w:spacing w:line="360" w:lineRule="auto"/>
              <w:jc w:val="center"/>
              <w:rPr>
                <w:rFonts w:hint="eastAsia" w:hAnsi="宋体" w:cs="宋体"/>
                <w:sz w:val="24"/>
                <w:szCs w:val="20"/>
                <w:highlight w:val="none"/>
              </w:rPr>
            </w:pPr>
            <w:bookmarkStart w:id="401" w:name="OLE_LINK35"/>
            <w:r>
              <w:rPr>
                <w:rFonts w:hint="eastAsia" w:hAnsi="宋体" w:cs="宋体"/>
                <w:sz w:val="24"/>
                <w:szCs w:val="22"/>
                <w:highlight w:val="none"/>
              </w:rPr>
              <w:t>服务地点</w:t>
            </w:r>
            <w:bookmarkEnd w:id="401"/>
          </w:p>
        </w:tc>
        <w:tc>
          <w:tcPr>
            <w:tcW w:w="6015" w:type="dxa"/>
            <w:tcBorders>
              <w:top w:val="single" w:color="auto" w:sz="4" w:space="0"/>
              <w:left w:val="nil"/>
              <w:bottom w:val="single" w:color="auto" w:sz="4" w:space="0"/>
              <w:right w:val="single" w:color="auto" w:sz="4" w:space="0"/>
            </w:tcBorders>
            <w:noWrap w:val="0"/>
            <w:vAlign w:val="center"/>
          </w:tcPr>
          <w:p w14:paraId="6DC9E5B7">
            <w:pPr>
              <w:spacing w:line="360" w:lineRule="auto"/>
              <w:rPr>
                <w:rFonts w:hint="eastAsia"/>
                <w:color w:val="000000"/>
                <w:sz w:val="24"/>
                <w:szCs w:val="24"/>
                <w:highlight w:val="none"/>
              </w:rPr>
            </w:pPr>
            <w:bookmarkStart w:id="402" w:name="OLE_LINK36"/>
            <w:r>
              <w:rPr>
                <w:rFonts w:hint="eastAsia"/>
                <w:color w:val="000000"/>
                <w:sz w:val="24"/>
                <w:szCs w:val="24"/>
                <w:highlight w:val="none"/>
              </w:rPr>
              <w:t>采购人指定地点</w:t>
            </w:r>
            <w:bookmarkEnd w:id="402"/>
          </w:p>
        </w:tc>
      </w:tr>
      <w:tr w14:paraId="306031B4">
        <w:tblPrEx>
          <w:tblCellMar>
            <w:top w:w="0" w:type="dxa"/>
            <w:left w:w="108" w:type="dxa"/>
            <w:bottom w:w="0" w:type="dxa"/>
            <w:right w:w="108" w:type="dxa"/>
          </w:tblCellMar>
        </w:tblPrEx>
        <w:trPr>
          <w:cantSplit/>
          <w:trHeight w:val="579" w:hRule="atLeast"/>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14:paraId="01FBB62B">
            <w:pPr>
              <w:pStyle w:val="17"/>
              <w:widowControl/>
              <w:spacing w:line="360" w:lineRule="auto"/>
              <w:jc w:val="center"/>
              <w:rPr>
                <w:rFonts w:hint="eastAsia" w:hAnsi="宋体" w:cs="宋体"/>
                <w:sz w:val="24"/>
                <w:szCs w:val="20"/>
                <w:highlight w:val="none"/>
              </w:rPr>
            </w:pPr>
          </w:p>
        </w:tc>
        <w:tc>
          <w:tcPr>
            <w:tcW w:w="795" w:type="dxa"/>
            <w:vMerge w:val="continue"/>
            <w:tcBorders>
              <w:top w:val="nil"/>
              <w:left w:val="nil"/>
              <w:bottom w:val="single" w:color="auto" w:sz="4" w:space="0"/>
              <w:right w:val="single" w:color="auto" w:sz="4" w:space="0"/>
            </w:tcBorders>
            <w:noWrap w:val="0"/>
            <w:vAlign w:val="center"/>
          </w:tcPr>
          <w:p w14:paraId="4A276EA6">
            <w:pPr>
              <w:pStyle w:val="17"/>
              <w:widowControl/>
              <w:spacing w:line="360" w:lineRule="auto"/>
              <w:jc w:val="center"/>
              <w:rPr>
                <w:rFonts w:hint="eastAsia" w:hAnsi="宋体" w:cs="宋体"/>
                <w:sz w:val="24"/>
                <w:szCs w:val="20"/>
                <w:highlight w:val="none"/>
              </w:rPr>
            </w:pPr>
          </w:p>
        </w:tc>
        <w:tc>
          <w:tcPr>
            <w:tcW w:w="2040" w:type="dxa"/>
            <w:tcBorders>
              <w:top w:val="single" w:color="auto" w:sz="4" w:space="0"/>
              <w:left w:val="nil"/>
              <w:right w:val="single" w:color="auto" w:sz="4" w:space="0"/>
            </w:tcBorders>
            <w:noWrap w:val="0"/>
            <w:vAlign w:val="center"/>
          </w:tcPr>
          <w:p w14:paraId="48A21CE6">
            <w:pPr>
              <w:pStyle w:val="17"/>
              <w:widowControl/>
              <w:spacing w:line="360" w:lineRule="auto"/>
              <w:jc w:val="center"/>
              <w:rPr>
                <w:rFonts w:hint="eastAsia" w:hAnsi="宋体" w:cs="宋体"/>
                <w:sz w:val="24"/>
                <w:szCs w:val="22"/>
                <w:highlight w:val="none"/>
              </w:rPr>
            </w:pPr>
            <w:bookmarkStart w:id="403" w:name="OLE_LINK37"/>
            <w:r>
              <w:rPr>
                <w:rFonts w:hint="eastAsia" w:hAnsi="宋体" w:cs="宋体"/>
                <w:sz w:val="24"/>
                <w:szCs w:val="24"/>
                <w:highlight w:val="none"/>
                <w:lang w:val="zh-CN" w:bidi="ar"/>
              </w:rPr>
              <w:t>服务期限</w:t>
            </w:r>
            <w:bookmarkEnd w:id="403"/>
          </w:p>
        </w:tc>
        <w:tc>
          <w:tcPr>
            <w:tcW w:w="6015" w:type="dxa"/>
            <w:tcBorders>
              <w:top w:val="single" w:color="auto" w:sz="4" w:space="0"/>
              <w:left w:val="nil"/>
              <w:bottom w:val="single" w:color="auto" w:sz="4" w:space="0"/>
              <w:right w:val="single" w:color="auto" w:sz="4" w:space="0"/>
            </w:tcBorders>
            <w:noWrap w:val="0"/>
            <w:vAlign w:val="center"/>
          </w:tcPr>
          <w:p w14:paraId="14CF562C">
            <w:pPr>
              <w:spacing w:line="360" w:lineRule="auto"/>
              <w:rPr>
                <w:rFonts w:hint="default" w:eastAsia="宋体"/>
                <w:color w:val="000000"/>
                <w:sz w:val="24"/>
                <w:szCs w:val="24"/>
                <w:highlight w:val="none"/>
                <w:lang w:val="en-US" w:eastAsia="zh-CN"/>
              </w:rPr>
            </w:pPr>
            <w:bookmarkStart w:id="404" w:name="OLE_LINK38"/>
            <w:r>
              <w:rPr>
                <w:rFonts w:hint="eastAsia"/>
                <w:color w:val="000000"/>
                <w:sz w:val="24"/>
                <w:szCs w:val="24"/>
                <w:highlight w:val="none"/>
                <w:lang w:val="en-US" w:eastAsia="zh-CN" w:bidi="ar"/>
              </w:rPr>
              <w:t>至圆满完成本次承办赛事</w:t>
            </w:r>
            <w:bookmarkEnd w:id="404"/>
          </w:p>
        </w:tc>
      </w:tr>
      <w:tr w14:paraId="0F2A5814">
        <w:tblPrEx>
          <w:tblCellMar>
            <w:top w:w="0" w:type="dxa"/>
            <w:left w:w="108" w:type="dxa"/>
            <w:bottom w:w="0" w:type="dxa"/>
            <w:right w:w="108" w:type="dxa"/>
          </w:tblCellMar>
        </w:tblPrEx>
        <w:trPr>
          <w:cantSplit/>
          <w:trHeight w:val="588" w:hRule="atLeast"/>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14:paraId="6C135726">
            <w:pPr>
              <w:spacing w:line="360" w:lineRule="auto"/>
              <w:rPr>
                <w:rFonts w:hint="eastAsia"/>
                <w:color w:val="000000"/>
                <w:sz w:val="24"/>
                <w:szCs w:val="24"/>
                <w:highlight w:val="none"/>
              </w:rPr>
            </w:pPr>
          </w:p>
        </w:tc>
        <w:tc>
          <w:tcPr>
            <w:tcW w:w="795" w:type="dxa"/>
            <w:vMerge w:val="continue"/>
            <w:tcBorders>
              <w:top w:val="nil"/>
              <w:left w:val="nil"/>
              <w:bottom w:val="single" w:color="auto" w:sz="4" w:space="0"/>
              <w:right w:val="single" w:color="auto" w:sz="4" w:space="0"/>
            </w:tcBorders>
            <w:noWrap w:val="0"/>
            <w:vAlign w:val="center"/>
          </w:tcPr>
          <w:p w14:paraId="22F41A79">
            <w:pPr>
              <w:spacing w:line="360" w:lineRule="auto"/>
              <w:jc w:val="center"/>
              <w:rPr>
                <w:rFonts w:hint="eastAsia"/>
                <w:color w:val="000000"/>
                <w:sz w:val="24"/>
                <w:szCs w:val="24"/>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64945521">
            <w:pPr>
              <w:pStyle w:val="17"/>
              <w:widowControl/>
              <w:spacing w:line="360" w:lineRule="auto"/>
              <w:jc w:val="center"/>
              <w:rPr>
                <w:rFonts w:hint="eastAsia" w:hAnsi="宋体" w:cs="宋体"/>
                <w:sz w:val="24"/>
                <w:szCs w:val="20"/>
                <w:highlight w:val="none"/>
              </w:rPr>
            </w:pPr>
            <w:bookmarkStart w:id="405" w:name="OLE_LINK39"/>
            <w:r>
              <w:rPr>
                <w:rFonts w:hint="eastAsia" w:hAnsi="宋体" w:cs="宋体"/>
                <w:sz w:val="24"/>
                <w:szCs w:val="20"/>
                <w:highlight w:val="none"/>
              </w:rPr>
              <w:t>服务要求</w:t>
            </w:r>
            <w:bookmarkEnd w:id="405"/>
          </w:p>
        </w:tc>
        <w:tc>
          <w:tcPr>
            <w:tcW w:w="6015" w:type="dxa"/>
            <w:tcBorders>
              <w:top w:val="single" w:color="auto" w:sz="4" w:space="0"/>
              <w:left w:val="nil"/>
              <w:bottom w:val="single" w:color="auto" w:sz="4" w:space="0"/>
              <w:right w:val="single" w:color="auto" w:sz="4" w:space="0"/>
            </w:tcBorders>
            <w:noWrap w:val="0"/>
            <w:vAlign w:val="center"/>
          </w:tcPr>
          <w:p w14:paraId="3DE8D17A">
            <w:pPr>
              <w:spacing w:line="360" w:lineRule="auto"/>
              <w:rPr>
                <w:rFonts w:hint="eastAsia" w:eastAsia="宋体"/>
                <w:color w:val="000000"/>
                <w:sz w:val="24"/>
                <w:szCs w:val="24"/>
                <w:highlight w:val="none"/>
                <w:lang w:eastAsia="zh-CN"/>
              </w:rPr>
            </w:pPr>
            <w:bookmarkStart w:id="406" w:name="OLE_LINK40"/>
            <w:r>
              <w:rPr>
                <w:rFonts w:hint="eastAsia"/>
                <w:color w:val="000000"/>
                <w:sz w:val="24"/>
                <w:szCs w:val="24"/>
                <w:highlight w:val="none"/>
                <w:lang w:eastAsia="zh-CN"/>
              </w:rPr>
              <w:t>符合国家行业有关标准并满足采购人要求</w:t>
            </w:r>
            <w:bookmarkEnd w:id="406"/>
          </w:p>
        </w:tc>
      </w:tr>
    </w:tbl>
    <w:tbl>
      <w:tblPr>
        <w:tblStyle w:val="14"/>
        <w:tblpPr w:leftFromText="180" w:rightFromText="180" w:vertAnchor="text" w:horzAnchor="page" w:tblpX="1192" w:tblpY="502"/>
        <w:tblOverlap w:val="never"/>
        <w:tblW w:w="971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5"/>
        <w:gridCol w:w="1065"/>
        <w:gridCol w:w="6105"/>
        <w:gridCol w:w="1244"/>
      </w:tblGrid>
      <w:tr w14:paraId="51A705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370" w:type="dxa"/>
            <w:gridSpan w:val="2"/>
            <w:noWrap w:val="0"/>
            <w:vAlign w:val="center"/>
          </w:tcPr>
          <w:p w14:paraId="389F3FDB">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105" w:type="dxa"/>
            <w:noWrap w:val="0"/>
            <w:vAlign w:val="center"/>
          </w:tcPr>
          <w:p w14:paraId="26970E9D">
            <w:pPr>
              <w:spacing w:line="360" w:lineRule="auto"/>
              <w:ind w:firstLine="482"/>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1244" w:type="dxa"/>
            <w:noWrap w:val="0"/>
            <w:vAlign w:val="center"/>
          </w:tcPr>
          <w:p w14:paraId="050D7597">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最高分值</w:t>
            </w:r>
          </w:p>
        </w:tc>
      </w:tr>
      <w:tr w14:paraId="3CBF11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99" w:hRule="atLeast"/>
        </w:trPr>
        <w:tc>
          <w:tcPr>
            <w:tcW w:w="2370" w:type="dxa"/>
            <w:gridSpan w:val="2"/>
            <w:noWrap w:val="0"/>
            <w:vAlign w:val="center"/>
          </w:tcPr>
          <w:p w14:paraId="063DA258">
            <w:pPr>
              <w:pStyle w:val="4"/>
              <w:spacing w:line="360" w:lineRule="auto"/>
              <w:ind w:left="0" w:firstLine="0" w:firstLineChars="0"/>
              <w:jc w:val="center"/>
              <w:rPr>
                <w:rFonts w:hint="eastAsia" w:ascii="宋体" w:hAnsi="宋体" w:eastAsia="宋体" w:cs="宋体"/>
                <w:sz w:val="24"/>
                <w:szCs w:val="24"/>
              </w:rPr>
            </w:pPr>
            <w:bookmarkStart w:id="407" w:name="OLE_LINK41"/>
            <w:r>
              <w:rPr>
                <w:rFonts w:hint="eastAsia" w:ascii="宋体" w:hAnsi="宋体" w:eastAsia="宋体" w:cs="宋体"/>
                <w:sz w:val="24"/>
                <w:szCs w:val="24"/>
              </w:rPr>
              <w:t>价格部分</w:t>
            </w:r>
          </w:p>
          <w:bookmarkEnd w:id="407"/>
          <w:p w14:paraId="4D0694F1">
            <w:pPr>
              <w:pStyle w:val="4"/>
              <w:spacing w:line="360" w:lineRule="auto"/>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20</w:t>
            </w:r>
            <w:r>
              <w:rPr>
                <w:rFonts w:hint="eastAsia" w:ascii="宋体" w:hAnsi="宋体" w:eastAsia="宋体" w:cs="宋体"/>
                <w:sz w:val="24"/>
                <w:szCs w:val="24"/>
              </w:rPr>
              <w:t>分）</w:t>
            </w:r>
          </w:p>
        </w:tc>
        <w:tc>
          <w:tcPr>
            <w:tcW w:w="6105" w:type="dxa"/>
            <w:noWrap w:val="0"/>
            <w:vAlign w:val="center"/>
          </w:tcPr>
          <w:p w14:paraId="6D1B7E13">
            <w:pPr>
              <w:pStyle w:val="19"/>
              <w:numPr>
                <w:ilvl w:val="0"/>
                <w:numId w:val="0"/>
              </w:numPr>
              <w:tabs>
                <w:tab w:val="left" w:pos="343"/>
              </w:tabs>
              <w:adjustRightInd w:val="0"/>
              <w:snapToGrid w:val="0"/>
              <w:spacing w:line="440" w:lineRule="exact"/>
              <w:jc w:val="left"/>
              <w:rPr>
                <w:rFonts w:hint="eastAsia" w:ascii="宋体" w:hAnsi="宋体" w:eastAsia="宋体" w:cs="宋体"/>
                <w:kern w:val="0"/>
                <w:sz w:val="24"/>
                <w:szCs w:val="24"/>
                <w:highlight w:val="none"/>
                <w:lang w:val="en-US" w:eastAsia="zh-CN"/>
              </w:rPr>
            </w:pPr>
            <w:bookmarkStart w:id="408" w:name="OLE_LINK48"/>
            <w:r>
              <w:rPr>
                <w:rFonts w:hint="eastAsia" w:ascii="宋体" w:hAnsi="宋体" w:eastAsia="宋体" w:cs="宋体"/>
                <w:kern w:val="0"/>
                <w:sz w:val="24"/>
                <w:szCs w:val="24"/>
                <w:highlight w:val="none"/>
                <w:lang w:val="en-US" w:eastAsia="zh-CN"/>
              </w:rPr>
              <w:t>1. 评标基准价：系指满足竞争性磋商文件要求且最终报价最低的报价；</w:t>
            </w:r>
          </w:p>
          <w:p w14:paraId="2CAC8DF4">
            <w:pPr>
              <w:pStyle w:val="19"/>
              <w:numPr>
                <w:ilvl w:val="0"/>
                <w:numId w:val="0"/>
              </w:numPr>
              <w:tabs>
                <w:tab w:val="left" w:pos="343"/>
              </w:tabs>
              <w:adjustRightInd w:val="0"/>
              <w:snapToGrid w:val="0"/>
              <w:spacing w:line="44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 磋商报价得分＝（评标基准价/最后磋商报价）×</w:t>
            </w:r>
            <w:r>
              <w:rPr>
                <w:rFonts w:hint="eastAsia"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0，得分保留至小数点后两位。</w:t>
            </w:r>
          </w:p>
          <w:p w14:paraId="0BDB0474">
            <w:pPr>
              <w:pStyle w:val="19"/>
              <w:numPr>
                <w:ilvl w:val="0"/>
                <w:numId w:val="0"/>
              </w:numPr>
              <w:tabs>
                <w:tab w:val="left" w:pos="343"/>
              </w:tabs>
              <w:adjustRightInd w:val="0"/>
              <w:snapToGrid w:val="0"/>
              <w:spacing w:line="44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为了促进中小企业发展，根据《三门峡市财政局关于进一步加大政府采购支持中小企业发展有关事项的通知》（三财购﹝2022﹞9号）的规定，对小微企业产品的价格给予10%～20%的扣除，本项目小微企业按20%扣除，用扣除后的价格参加评审（采购项目含有多个采购标的，只有当响应人提供的每个标的均由小微企业制造，才能享受价格扣除政策。如果小微响应人提供的货物既有中型企业制造货物，也有小微企业制造货物的，不享受价格扣除相关政策）。中小企业划型标准见《关于印发中小企业划型标准规定的通知》（工信部联企业[2011]300号）。</w:t>
            </w:r>
          </w:p>
          <w:p w14:paraId="3C8C8857">
            <w:pPr>
              <w:pStyle w:val="19"/>
              <w:numPr>
                <w:ilvl w:val="0"/>
                <w:numId w:val="0"/>
              </w:numPr>
              <w:tabs>
                <w:tab w:val="left" w:pos="343"/>
              </w:tabs>
              <w:adjustRightInd w:val="0"/>
              <w:snapToGrid w:val="0"/>
              <w:spacing w:line="44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为了发挥政府采购促进残疾人就业的作用，进一步保障残疾人权益，根据财库【2017】141号的规定，给予残疾人福利性单位（磋商响应人为残疾人福利性单位且提供的所有投标产品均为残疾人福利性单位产品）价格20%的扣除，用扣除后的价格参与评审，残疾人福利性单位投标报价=残疾人福利性单位报价×（1-20%）。</w:t>
            </w:r>
          </w:p>
          <w:p w14:paraId="21CF761A">
            <w:pPr>
              <w:pStyle w:val="19"/>
              <w:numPr>
                <w:ilvl w:val="0"/>
                <w:numId w:val="0"/>
              </w:numPr>
              <w:tabs>
                <w:tab w:val="left" w:pos="343"/>
              </w:tabs>
              <w:adjustRightInd w:val="0"/>
              <w:snapToGrid w:val="0"/>
              <w:spacing w:line="44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（3）根据《关于政府采购支持监狱企业发展有关问题的通知》（财库[2014]68 号）文件规定，监狱企业视同小型、微型企业，评审中享受价格20%扣除，用扣除后的价格参与评审，监狱企业产 品投标报价=监狱企业产品报价×（1-20%）。（须提供由省级以上监狱管理局、戒毒管理局（含新疆生产建设兵团）出具的属于监狱企业的证明文件）。</w:t>
            </w:r>
          </w:p>
          <w:p w14:paraId="29EFE1C8">
            <w:pPr>
              <w:pStyle w:val="19"/>
              <w:numPr>
                <w:ilvl w:val="0"/>
                <w:numId w:val="0"/>
              </w:numPr>
              <w:tabs>
                <w:tab w:val="left" w:pos="343"/>
              </w:tabs>
              <w:adjustRightInd w:val="0"/>
              <w:snapToGrid w:val="0"/>
              <w:spacing w:line="44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（4）监狱企业、残疾人福利性单位属于小型、微型企业的，不重复享受政策，仅给予一次价格20%的扣除。</w:t>
            </w:r>
          </w:p>
          <w:p w14:paraId="6B36DBDD">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kern w:val="0"/>
                <w:sz w:val="24"/>
                <w:szCs w:val="24"/>
                <w:highlight w:val="none"/>
                <w:lang w:val="en-US" w:eastAsia="zh-CN"/>
              </w:rPr>
              <w:t>（5）磋商小组认为磋商响应人的报价明显低于其他通过实质性审查磋商响应人的报价，有可能影响产品质量或者不能诚信履约的，应当要求其在评标现场合理的时间内提供书面说明，必要时提交相关证明材料；磋商响应人不能证明其报价合理性的，磋商小组应当将其作为无效投标处理。</w:t>
            </w:r>
            <w:bookmarkEnd w:id="408"/>
          </w:p>
        </w:tc>
        <w:tc>
          <w:tcPr>
            <w:tcW w:w="1244" w:type="dxa"/>
            <w:noWrap w:val="0"/>
            <w:vAlign w:val="center"/>
          </w:tcPr>
          <w:p w14:paraId="0A5DDA3E">
            <w:pPr>
              <w:pStyle w:val="19"/>
              <w:tabs>
                <w:tab w:val="left" w:pos="343"/>
              </w:tabs>
              <w:adjustRightInd w:val="0"/>
              <w:snapToGri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20分</w:t>
            </w:r>
          </w:p>
        </w:tc>
      </w:tr>
      <w:tr w14:paraId="57A703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5" w:type="dxa"/>
            <w:vMerge w:val="restart"/>
            <w:noWrap w:val="0"/>
            <w:vAlign w:val="center"/>
          </w:tcPr>
          <w:p w14:paraId="581775BF">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sz w:val="24"/>
                <w:szCs w:val="24"/>
              </w:rPr>
              <w:t>技术部分</w:t>
            </w:r>
            <w:r>
              <w:rPr>
                <w:rFonts w:hint="eastAsia" w:ascii="宋体" w:hAnsi="宋体" w:eastAsia="宋体" w:cs="宋体"/>
                <w:bCs/>
                <w:sz w:val="24"/>
                <w:szCs w:val="24"/>
                <w:lang w:eastAsia="zh-CN"/>
              </w:rPr>
              <w:t>（</w:t>
            </w:r>
            <w:r>
              <w:rPr>
                <w:rFonts w:hint="eastAsia" w:ascii="宋体" w:hAnsi="宋体" w:eastAsia="宋体" w:cs="宋体"/>
                <w:bCs/>
                <w:sz w:val="24"/>
                <w:szCs w:val="24"/>
              </w:rPr>
              <w:t>60分</w:t>
            </w:r>
            <w:r>
              <w:rPr>
                <w:rFonts w:hint="eastAsia" w:ascii="宋体" w:hAnsi="宋体" w:eastAsia="宋体" w:cs="宋体"/>
                <w:bCs/>
                <w:sz w:val="24"/>
                <w:szCs w:val="24"/>
                <w:lang w:eastAsia="zh-CN"/>
              </w:rPr>
              <w:t>）</w:t>
            </w:r>
          </w:p>
        </w:tc>
        <w:tc>
          <w:tcPr>
            <w:tcW w:w="1065" w:type="dxa"/>
            <w:noWrap w:val="0"/>
            <w:vAlign w:val="center"/>
          </w:tcPr>
          <w:p w14:paraId="0B10E755">
            <w:pPr>
              <w:tabs>
                <w:tab w:val="left" w:pos="960"/>
              </w:tabs>
              <w:spacing w:line="360" w:lineRule="auto"/>
              <w:ind w:right="185" w:rightChars="84" w:firstLine="0" w:firstLineChars="0"/>
              <w:jc w:val="center"/>
              <w:rPr>
                <w:rFonts w:hint="eastAsia" w:ascii="宋体" w:hAnsi="宋体" w:eastAsia="宋体" w:cs="宋体"/>
                <w:sz w:val="24"/>
                <w:szCs w:val="24"/>
              </w:rPr>
            </w:pPr>
            <w:bookmarkStart w:id="409" w:name="OLE_LINK42"/>
            <w:r>
              <w:rPr>
                <w:rFonts w:hint="eastAsia" w:ascii="宋体" w:hAnsi="宋体" w:eastAsia="宋体" w:cs="宋体"/>
                <w:sz w:val="24"/>
                <w:szCs w:val="24"/>
              </w:rPr>
              <w:t>项目重点、难点的理解认识</w:t>
            </w:r>
            <w:bookmarkEnd w:id="409"/>
          </w:p>
        </w:tc>
        <w:tc>
          <w:tcPr>
            <w:tcW w:w="6105" w:type="dxa"/>
            <w:noWrap w:val="0"/>
            <w:vAlign w:val="center"/>
          </w:tcPr>
          <w:p w14:paraId="5BC33F14">
            <w:pPr>
              <w:pStyle w:val="19"/>
              <w:tabs>
                <w:tab w:val="left" w:pos="343"/>
              </w:tabs>
              <w:adjustRightInd w:val="0"/>
              <w:snapToGrid w:val="0"/>
              <w:spacing w:line="360" w:lineRule="auto"/>
              <w:rPr>
                <w:rFonts w:hint="eastAsia" w:ascii="宋体" w:hAnsi="宋体" w:eastAsia="宋体" w:cs="宋体"/>
                <w:sz w:val="24"/>
                <w:szCs w:val="24"/>
              </w:rPr>
            </w:pPr>
            <w:bookmarkStart w:id="410" w:name="OLE_LINK43"/>
            <w:r>
              <w:rPr>
                <w:rFonts w:hint="eastAsia" w:ascii="宋体" w:hAnsi="宋体" w:eastAsia="宋体" w:cs="宋体"/>
                <w:sz w:val="24"/>
                <w:szCs w:val="24"/>
                <w:lang w:val="en-US"/>
              </w:rPr>
              <w:t>①</w:t>
            </w:r>
            <w:r>
              <w:rPr>
                <w:rFonts w:hint="eastAsia" w:ascii="宋体" w:hAnsi="宋体" w:eastAsia="宋体" w:cs="宋体"/>
                <w:sz w:val="24"/>
                <w:szCs w:val="24"/>
              </w:rPr>
              <w:t>提供重点、难点分析所建议的解决方案充分满足本次采购整体要求且具有可操作性的得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5927B631">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②</w:t>
            </w:r>
            <w:r>
              <w:rPr>
                <w:rFonts w:hint="eastAsia" w:ascii="宋体" w:hAnsi="宋体" w:eastAsia="宋体" w:cs="宋体"/>
                <w:sz w:val="24"/>
                <w:szCs w:val="24"/>
              </w:rPr>
              <w:t>提供重点、难点分析所建议的解决方案基本满足本次采购整体要求且具有可操作性的得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452565D8">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③</w:t>
            </w:r>
            <w:r>
              <w:rPr>
                <w:rFonts w:hint="eastAsia" w:ascii="宋体" w:hAnsi="宋体" w:eastAsia="宋体" w:cs="宋体"/>
                <w:sz w:val="24"/>
                <w:szCs w:val="24"/>
              </w:rPr>
              <w:t>提供重点、难点分析所建议的解决方案基本满足本次采购整体要求</w:t>
            </w:r>
            <w:r>
              <w:rPr>
                <w:rFonts w:hint="eastAsia" w:ascii="宋体" w:hAnsi="宋体" w:eastAsia="宋体" w:cs="宋体"/>
                <w:sz w:val="24"/>
                <w:szCs w:val="24"/>
                <w:lang w:val="en-US"/>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3332ADA6">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④</w:t>
            </w:r>
            <w:r>
              <w:rPr>
                <w:rFonts w:hint="eastAsia" w:ascii="宋体" w:hAnsi="宋体" w:eastAsia="宋体" w:cs="宋体"/>
                <w:sz w:val="24"/>
                <w:szCs w:val="24"/>
              </w:rPr>
              <w:t>提供重点、难点分析所建议的解决方案合理，但需进一步完善</w:t>
            </w:r>
            <w:r>
              <w:rPr>
                <w:rFonts w:hint="eastAsia" w:ascii="宋体" w:hAnsi="宋体" w:eastAsia="宋体" w:cs="宋体"/>
                <w:sz w:val="24"/>
                <w:szCs w:val="24"/>
                <w:lang w:val="en-US"/>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3D62728F">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⑤提供重点、难点分析所建议的解决方案不够可行</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20055F00">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⑥</w:t>
            </w:r>
            <w:r>
              <w:rPr>
                <w:rFonts w:hint="eastAsia" w:ascii="宋体" w:hAnsi="宋体" w:eastAsia="宋体" w:cs="宋体"/>
                <w:sz w:val="24"/>
                <w:szCs w:val="24"/>
              </w:rPr>
              <w:t>缺项不得分。</w:t>
            </w:r>
            <w:bookmarkEnd w:id="410"/>
          </w:p>
        </w:tc>
        <w:tc>
          <w:tcPr>
            <w:tcW w:w="1244" w:type="dxa"/>
            <w:noWrap w:val="0"/>
            <w:vAlign w:val="center"/>
          </w:tcPr>
          <w:p w14:paraId="7FB6BE46">
            <w:pPr>
              <w:pStyle w:val="19"/>
              <w:tabs>
                <w:tab w:val="left" w:pos="343"/>
              </w:tabs>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r>
      <w:tr w14:paraId="1B55F4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30" w:hRule="atLeast"/>
        </w:trPr>
        <w:tc>
          <w:tcPr>
            <w:tcW w:w="1305" w:type="dxa"/>
            <w:vMerge w:val="continue"/>
            <w:noWrap w:val="0"/>
            <w:vAlign w:val="center"/>
          </w:tcPr>
          <w:p w14:paraId="659A42F1">
            <w:pPr>
              <w:spacing w:line="360" w:lineRule="auto"/>
              <w:ind w:firstLine="0" w:firstLineChars="0"/>
              <w:jc w:val="center"/>
              <w:rPr>
                <w:rFonts w:hint="eastAsia" w:ascii="宋体" w:hAnsi="宋体" w:eastAsia="宋体" w:cs="宋体"/>
                <w:bCs/>
                <w:sz w:val="24"/>
                <w:szCs w:val="24"/>
              </w:rPr>
            </w:pPr>
          </w:p>
        </w:tc>
        <w:tc>
          <w:tcPr>
            <w:tcW w:w="1065" w:type="dxa"/>
            <w:noWrap w:val="0"/>
            <w:vAlign w:val="center"/>
          </w:tcPr>
          <w:p w14:paraId="6087D8CE">
            <w:pPr>
              <w:tabs>
                <w:tab w:val="left" w:pos="960"/>
              </w:tabs>
              <w:spacing w:line="360" w:lineRule="auto"/>
              <w:ind w:right="185" w:rightChars="84" w:firstLine="0" w:firstLineChars="0"/>
              <w:jc w:val="center"/>
              <w:rPr>
                <w:rFonts w:hint="eastAsia" w:ascii="宋体" w:hAnsi="宋体" w:eastAsia="宋体" w:cs="宋体"/>
                <w:sz w:val="24"/>
                <w:szCs w:val="24"/>
              </w:rPr>
            </w:pPr>
            <w:bookmarkStart w:id="411" w:name="OLE_LINK44"/>
            <w:r>
              <w:rPr>
                <w:rFonts w:hint="eastAsia" w:ascii="宋体" w:hAnsi="宋体" w:eastAsia="宋体" w:cs="宋体"/>
                <w:sz w:val="24"/>
                <w:szCs w:val="24"/>
              </w:rPr>
              <w:t>工作进度计划及保障措施</w:t>
            </w:r>
            <w:bookmarkEnd w:id="411"/>
          </w:p>
        </w:tc>
        <w:tc>
          <w:tcPr>
            <w:tcW w:w="6105" w:type="dxa"/>
            <w:noWrap w:val="0"/>
            <w:vAlign w:val="center"/>
          </w:tcPr>
          <w:p w14:paraId="5AA657A3">
            <w:pPr>
              <w:pStyle w:val="19"/>
              <w:tabs>
                <w:tab w:val="left" w:pos="343"/>
              </w:tabs>
              <w:adjustRightInd w:val="0"/>
              <w:snapToGrid w:val="0"/>
              <w:spacing w:line="360" w:lineRule="auto"/>
              <w:rPr>
                <w:rFonts w:hint="eastAsia" w:ascii="宋体" w:hAnsi="宋体" w:eastAsia="宋体" w:cs="宋体"/>
                <w:sz w:val="24"/>
                <w:szCs w:val="24"/>
              </w:rPr>
            </w:pPr>
            <w:bookmarkStart w:id="412" w:name="OLE_LINK45"/>
            <w:r>
              <w:rPr>
                <w:rFonts w:hint="eastAsia" w:ascii="宋体" w:hAnsi="宋体" w:eastAsia="宋体" w:cs="宋体"/>
                <w:sz w:val="24"/>
                <w:szCs w:val="24"/>
                <w:lang w:val="en-US"/>
              </w:rPr>
              <w:t>①</w:t>
            </w:r>
            <w:r>
              <w:rPr>
                <w:rFonts w:hint="eastAsia" w:ascii="宋体" w:hAnsi="宋体" w:eastAsia="宋体" w:cs="宋体"/>
                <w:sz w:val="24"/>
                <w:szCs w:val="24"/>
              </w:rPr>
              <w:t>工作进度计划及保障措施详尽，符合法律法规及相关要求，切实可行、有利于项目实施得</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p w14:paraId="141AC5A6">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②工作进度计划及保障措施</w:t>
            </w:r>
            <w:r>
              <w:rPr>
                <w:rFonts w:hint="eastAsia" w:ascii="宋体" w:hAnsi="宋体" w:eastAsia="宋体" w:cs="宋体"/>
                <w:sz w:val="24"/>
                <w:szCs w:val="24"/>
              </w:rPr>
              <w:t>较详尽，符合相关要求，计划基本可行，对项目实施具有一定的作用得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3B3DB4CD">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③工作进度计划及保障措施</w:t>
            </w:r>
            <w:r>
              <w:rPr>
                <w:rFonts w:hint="eastAsia" w:ascii="宋体" w:hAnsi="宋体" w:eastAsia="宋体" w:cs="宋体"/>
                <w:sz w:val="24"/>
                <w:szCs w:val="24"/>
              </w:rPr>
              <w:t>基本详尽，基本符合相关要求，计划规范基本可行得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02C71FB8">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④工作进度计划及保障措施</w:t>
            </w:r>
            <w:r>
              <w:rPr>
                <w:rFonts w:hint="eastAsia" w:ascii="宋体" w:hAnsi="宋体" w:eastAsia="宋体" w:cs="宋体"/>
                <w:sz w:val="24"/>
                <w:szCs w:val="24"/>
              </w:rPr>
              <w:t>有偏差，可行性较差得</w:t>
            </w:r>
            <w:r>
              <w:rPr>
                <w:rFonts w:hint="eastAsia" w:ascii="宋体" w:hAnsi="宋体" w:eastAsia="宋体" w:cs="宋体"/>
                <w:sz w:val="24"/>
                <w:szCs w:val="24"/>
                <w:lang w:val="en-US"/>
              </w:rPr>
              <w:t>1</w:t>
            </w:r>
            <w:r>
              <w:rPr>
                <w:rFonts w:hint="eastAsia" w:ascii="宋体" w:hAnsi="宋体" w:eastAsia="宋体" w:cs="宋体"/>
                <w:sz w:val="24"/>
                <w:szCs w:val="24"/>
              </w:rPr>
              <w:t>分；</w:t>
            </w:r>
            <w:r>
              <w:rPr>
                <w:rFonts w:hint="eastAsia" w:ascii="宋体" w:hAnsi="宋体" w:eastAsia="宋体" w:cs="宋体"/>
                <w:sz w:val="24"/>
                <w:szCs w:val="24"/>
                <w:lang w:val="en-US" w:eastAsia="zh-CN"/>
              </w:rPr>
              <w:t>⑤</w:t>
            </w:r>
            <w:r>
              <w:rPr>
                <w:rFonts w:hint="eastAsia" w:ascii="宋体" w:hAnsi="宋体" w:eastAsia="宋体" w:cs="宋体"/>
                <w:sz w:val="24"/>
                <w:szCs w:val="24"/>
              </w:rPr>
              <w:t>缺项不得分。</w:t>
            </w:r>
            <w:bookmarkEnd w:id="412"/>
          </w:p>
        </w:tc>
        <w:tc>
          <w:tcPr>
            <w:tcW w:w="1244" w:type="dxa"/>
            <w:noWrap w:val="0"/>
            <w:vAlign w:val="center"/>
          </w:tcPr>
          <w:p w14:paraId="3ACFF5DD">
            <w:pPr>
              <w:pStyle w:val="19"/>
              <w:tabs>
                <w:tab w:val="left" w:pos="343"/>
              </w:tabs>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7分</w:t>
            </w:r>
          </w:p>
        </w:tc>
      </w:tr>
      <w:tr w14:paraId="112350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4" w:hRule="atLeast"/>
        </w:trPr>
        <w:tc>
          <w:tcPr>
            <w:tcW w:w="1305" w:type="dxa"/>
            <w:vMerge w:val="continue"/>
            <w:noWrap w:val="0"/>
            <w:vAlign w:val="center"/>
          </w:tcPr>
          <w:p w14:paraId="7574028E">
            <w:pPr>
              <w:spacing w:line="360" w:lineRule="auto"/>
              <w:ind w:firstLine="0" w:firstLineChars="0"/>
              <w:jc w:val="center"/>
              <w:rPr>
                <w:rFonts w:hint="eastAsia" w:ascii="宋体" w:hAnsi="宋体" w:eastAsia="宋体" w:cs="宋体"/>
                <w:bCs/>
                <w:sz w:val="24"/>
                <w:szCs w:val="24"/>
              </w:rPr>
            </w:pPr>
          </w:p>
        </w:tc>
        <w:tc>
          <w:tcPr>
            <w:tcW w:w="1065" w:type="dxa"/>
            <w:noWrap w:val="0"/>
            <w:vAlign w:val="center"/>
          </w:tcPr>
          <w:p w14:paraId="10AE5D29">
            <w:pPr>
              <w:tabs>
                <w:tab w:val="left" w:pos="960"/>
              </w:tabs>
              <w:spacing w:line="360" w:lineRule="auto"/>
              <w:ind w:right="185" w:rightChars="84" w:firstLine="0" w:firstLineChars="0"/>
              <w:jc w:val="center"/>
              <w:rPr>
                <w:rFonts w:hint="eastAsia" w:ascii="宋体" w:hAnsi="宋体" w:eastAsia="宋体" w:cs="宋体"/>
                <w:sz w:val="24"/>
                <w:szCs w:val="24"/>
              </w:rPr>
            </w:pPr>
            <w:bookmarkStart w:id="413" w:name="OLE_LINK46"/>
            <w:r>
              <w:rPr>
                <w:rFonts w:hint="eastAsia" w:ascii="宋体" w:hAnsi="宋体" w:eastAsia="宋体" w:cs="宋体"/>
                <w:sz w:val="24"/>
                <w:szCs w:val="24"/>
              </w:rPr>
              <w:t>整体策划服务方案</w:t>
            </w:r>
            <w:bookmarkEnd w:id="413"/>
          </w:p>
        </w:tc>
        <w:tc>
          <w:tcPr>
            <w:tcW w:w="6105" w:type="dxa"/>
            <w:noWrap w:val="0"/>
            <w:vAlign w:val="center"/>
          </w:tcPr>
          <w:p w14:paraId="2D4B3341">
            <w:pPr>
              <w:pStyle w:val="19"/>
              <w:tabs>
                <w:tab w:val="left" w:pos="343"/>
              </w:tabs>
              <w:adjustRightInd w:val="0"/>
              <w:snapToGrid w:val="0"/>
              <w:spacing w:line="360" w:lineRule="auto"/>
              <w:rPr>
                <w:rFonts w:hint="eastAsia" w:ascii="宋体" w:hAnsi="宋体" w:eastAsia="宋体" w:cs="宋体"/>
                <w:sz w:val="24"/>
                <w:szCs w:val="24"/>
              </w:rPr>
            </w:pPr>
            <w:bookmarkStart w:id="414" w:name="OLE_LINK47"/>
            <w:r>
              <w:rPr>
                <w:rFonts w:hint="eastAsia" w:ascii="宋体" w:hAnsi="宋体" w:eastAsia="宋体" w:cs="宋体"/>
                <w:sz w:val="24"/>
                <w:szCs w:val="24"/>
                <w:lang w:val="en-US"/>
              </w:rPr>
              <w:t>①</w:t>
            </w:r>
            <w:r>
              <w:rPr>
                <w:rFonts w:hint="eastAsia" w:ascii="宋体" w:hAnsi="宋体" w:eastAsia="宋体" w:cs="宋体"/>
                <w:sz w:val="24"/>
                <w:szCs w:val="24"/>
              </w:rPr>
              <w:t>对赛事整体规划、项目设置、赛程赛制等内容合理、可行得</w:t>
            </w:r>
            <w:r>
              <w:rPr>
                <w:rFonts w:hint="eastAsia" w:ascii="宋体" w:hAnsi="宋体" w:eastAsia="宋体" w:cs="宋体"/>
                <w:sz w:val="24"/>
                <w:szCs w:val="24"/>
                <w:lang w:val="en-US"/>
              </w:rPr>
              <w:t>15</w:t>
            </w:r>
            <w:r>
              <w:rPr>
                <w:rFonts w:hint="eastAsia" w:ascii="宋体" w:hAnsi="宋体" w:eastAsia="宋体" w:cs="宋体"/>
                <w:sz w:val="24"/>
                <w:szCs w:val="24"/>
              </w:rPr>
              <w:t>分；</w:t>
            </w:r>
          </w:p>
          <w:p w14:paraId="5077CDE8">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②</w:t>
            </w:r>
            <w:r>
              <w:rPr>
                <w:rFonts w:hint="eastAsia" w:ascii="宋体" w:hAnsi="宋体" w:eastAsia="宋体" w:cs="宋体"/>
                <w:sz w:val="24"/>
                <w:szCs w:val="24"/>
              </w:rPr>
              <w:t>对赛事整体规划、项目设置、赛程赛制等内容基本满足本次采购整体要求且具有可操作性的得</w:t>
            </w:r>
            <w:r>
              <w:rPr>
                <w:rFonts w:hint="eastAsia" w:cs="宋体"/>
                <w:sz w:val="24"/>
                <w:szCs w:val="24"/>
                <w:lang w:val="en-US" w:eastAsia="zh-CN"/>
              </w:rPr>
              <w:t>12</w:t>
            </w:r>
            <w:r>
              <w:rPr>
                <w:rFonts w:hint="eastAsia" w:ascii="宋体" w:hAnsi="宋体" w:eastAsia="宋体" w:cs="宋体"/>
                <w:sz w:val="24"/>
                <w:szCs w:val="24"/>
              </w:rPr>
              <w:t>分；</w:t>
            </w:r>
          </w:p>
          <w:p w14:paraId="4E54CE1A">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③</w:t>
            </w:r>
            <w:r>
              <w:rPr>
                <w:rFonts w:hint="eastAsia" w:ascii="宋体" w:hAnsi="宋体" w:eastAsia="宋体" w:cs="宋体"/>
                <w:sz w:val="24"/>
                <w:szCs w:val="24"/>
              </w:rPr>
              <w:t>对赛事整体规划、项目设置、赛程赛制等内容完善合理得</w:t>
            </w:r>
            <w:r>
              <w:rPr>
                <w:rFonts w:hint="eastAsia" w:cs="宋体"/>
                <w:sz w:val="24"/>
                <w:szCs w:val="24"/>
                <w:lang w:val="en-US" w:eastAsia="zh-CN"/>
              </w:rPr>
              <w:t>9</w:t>
            </w:r>
            <w:r>
              <w:rPr>
                <w:rFonts w:hint="eastAsia" w:ascii="宋体" w:hAnsi="宋体" w:eastAsia="宋体" w:cs="宋体"/>
                <w:sz w:val="24"/>
                <w:szCs w:val="24"/>
              </w:rPr>
              <w:t>分；</w:t>
            </w:r>
          </w:p>
          <w:p w14:paraId="2BB972C8">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④</w:t>
            </w:r>
            <w:r>
              <w:rPr>
                <w:rFonts w:hint="eastAsia" w:ascii="宋体" w:hAnsi="宋体" w:eastAsia="宋体" w:cs="宋体"/>
                <w:sz w:val="24"/>
                <w:szCs w:val="24"/>
              </w:rPr>
              <w:t>对赛事整体规划、项目设置、赛程赛制等内容合理，但需进一步完善得</w:t>
            </w:r>
            <w:r>
              <w:rPr>
                <w:rFonts w:hint="eastAsia" w:cs="宋体"/>
                <w:sz w:val="24"/>
                <w:szCs w:val="24"/>
                <w:lang w:val="en-US" w:eastAsia="zh-CN"/>
              </w:rPr>
              <w:t>6</w:t>
            </w:r>
            <w:r>
              <w:rPr>
                <w:rFonts w:hint="eastAsia" w:ascii="宋体" w:hAnsi="宋体" w:eastAsia="宋体" w:cs="宋体"/>
                <w:sz w:val="24"/>
                <w:szCs w:val="24"/>
              </w:rPr>
              <w:t>分；</w:t>
            </w:r>
          </w:p>
          <w:p w14:paraId="3EC37DA2">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⑤</w:t>
            </w:r>
            <w:r>
              <w:rPr>
                <w:rFonts w:hint="eastAsia" w:ascii="宋体" w:hAnsi="宋体" w:eastAsia="宋体" w:cs="宋体"/>
                <w:sz w:val="24"/>
                <w:szCs w:val="24"/>
              </w:rPr>
              <w:t>对赛事整体规划、项目设置、赛程赛制等内容不够可行得</w:t>
            </w:r>
            <w:r>
              <w:rPr>
                <w:rFonts w:hint="eastAsia" w:cs="宋体"/>
                <w:sz w:val="24"/>
                <w:szCs w:val="24"/>
                <w:lang w:val="en-US" w:eastAsia="zh-CN"/>
              </w:rPr>
              <w:t>3</w:t>
            </w:r>
            <w:r>
              <w:rPr>
                <w:rFonts w:hint="eastAsia" w:ascii="宋体" w:hAnsi="宋体" w:eastAsia="宋体" w:cs="宋体"/>
                <w:sz w:val="24"/>
                <w:szCs w:val="24"/>
              </w:rPr>
              <w:t>分；</w:t>
            </w:r>
          </w:p>
          <w:p w14:paraId="0A4725D9">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⑥</w:t>
            </w:r>
            <w:r>
              <w:rPr>
                <w:rFonts w:hint="eastAsia" w:ascii="宋体" w:hAnsi="宋体" w:eastAsia="宋体" w:cs="宋体"/>
                <w:sz w:val="24"/>
                <w:szCs w:val="24"/>
              </w:rPr>
              <w:t>未提供不得分。</w:t>
            </w:r>
            <w:bookmarkEnd w:id="414"/>
          </w:p>
        </w:tc>
        <w:tc>
          <w:tcPr>
            <w:tcW w:w="1244" w:type="dxa"/>
            <w:noWrap w:val="0"/>
            <w:vAlign w:val="center"/>
          </w:tcPr>
          <w:p w14:paraId="19E380B3">
            <w:pPr>
              <w:pStyle w:val="19"/>
              <w:tabs>
                <w:tab w:val="left" w:pos="343"/>
              </w:tabs>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15分</w:t>
            </w:r>
          </w:p>
        </w:tc>
      </w:tr>
      <w:tr w14:paraId="0DAE37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1305" w:type="dxa"/>
            <w:vMerge w:val="continue"/>
            <w:noWrap w:val="0"/>
            <w:vAlign w:val="center"/>
          </w:tcPr>
          <w:p w14:paraId="6FC5BA6D">
            <w:pPr>
              <w:spacing w:line="360" w:lineRule="auto"/>
              <w:ind w:firstLine="0" w:firstLineChars="0"/>
              <w:jc w:val="center"/>
              <w:rPr>
                <w:rFonts w:hint="eastAsia" w:ascii="宋体" w:hAnsi="宋体" w:eastAsia="宋体" w:cs="宋体"/>
                <w:bCs/>
                <w:sz w:val="24"/>
                <w:szCs w:val="24"/>
              </w:rPr>
            </w:pPr>
          </w:p>
        </w:tc>
        <w:tc>
          <w:tcPr>
            <w:tcW w:w="1065" w:type="dxa"/>
            <w:noWrap w:val="0"/>
            <w:vAlign w:val="center"/>
          </w:tcPr>
          <w:p w14:paraId="62A06AFF">
            <w:pPr>
              <w:tabs>
                <w:tab w:val="left" w:pos="960"/>
              </w:tabs>
              <w:spacing w:line="360" w:lineRule="auto"/>
              <w:ind w:right="185" w:rightChars="84" w:firstLine="0" w:firstLineChars="0"/>
              <w:jc w:val="center"/>
              <w:rPr>
                <w:rFonts w:hint="eastAsia" w:ascii="宋体" w:hAnsi="宋体" w:eastAsia="宋体" w:cs="宋体"/>
                <w:sz w:val="24"/>
                <w:szCs w:val="24"/>
              </w:rPr>
            </w:pPr>
            <w:bookmarkStart w:id="415" w:name="OLE_LINK49"/>
            <w:r>
              <w:rPr>
                <w:rFonts w:hint="eastAsia" w:ascii="宋体" w:hAnsi="宋体" w:eastAsia="宋体" w:cs="宋体"/>
                <w:sz w:val="24"/>
                <w:szCs w:val="24"/>
              </w:rPr>
              <w:t>管理机构及人员配备</w:t>
            </w:r>
            <w:bookmarkEnd w:id="415"/>
          </w:p>
        </w:tc>
        <w:tc>
          <w:tcPr>
            <w:tcW w:w="6105" w:type="dxa"/>
            <w:noWrap w:val="0"/>
            <w:vAlign w:val="center"/>
          </w:tcPr>
          <w:p w14:paraId="410935F4">
            <w:pPr>
              <w:pStyle w:val="19"/>
              <w:tabs>
                <w:tab w:val="left" w:pos="343"/>
              </w:tabs>
              <w:adjustRightInd w:val="0"/>
              <w:snapToGrid w:val="0"/>
              <w:spacing w:line="360" w:lineRule="auto"/>
              <w:rPr>
                <w:rFonts w:hint="eastAsia" w:ascii="宋体" w:hAnsi="宋体" w:eastAsia="宋体" w:cs="宋体"/>
                <w:sz w:val="24"/>
                <w:szCs w:val="24"/>
              </w:rPr>
            </w:pPr>
            <w:bookmarkStart w:id="416" w:name="OLE_LINK50"/>
            <w:r>
              <w:rPr>
                <w:rFonts w:hint="eastAsia" w:ascii="宋体" w:hAnsi="宋体" w:eastAsia="宋体" w:cs="宋体"/>
                <w:sz w:val="24"/>
                <w:szCs w:val="24"/>
                <w:lang w:val="en-US"/>
              </w:rPr>
              <w:t>①</w:t>
            </w:r>
            <w:r>
              <w:rPr>
                <w:rFonts w:hint="eastAsia" w:ascii="宋体" w:hAnsi="宋体" w:eastAsia="宋体" w:cs="宋体"/>
                <w:sz w:val="24"/>
                <w:szCs w:val="24"/>
              </w:rPr>
              <w:t>项目管理机构及项目人员配备齐全，符合项目需求要求，有利于项目实施得</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p w14:paraId="3EF41FD7">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②</w:t>
            </w:r>
            <w:r>
              <w:rPr>
                <w:rFonts w:hint="eastAsia" w:ascii="宋体" w:hAnsi="宋体" w:eastAsia="宋体" w:cs="宋体"/>
                <w:sz w:val="24"/>
                <w:szCs w:val="24"/>
              </w:rPr>
              <w:t>项目管理机构及项目人员配备较齐全，满足项目需求要求，对项目实施有一定的保障作用得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5C51B320">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③</w:t>
            </w:r>
            <w:r>
              <w:rPr>
                <w:rFonts w:hint="eastAsia" w:ascii="宋体" w:hAnsi="宋体" w:eastAsia="宋体" w:cs="宋体"/>
                <w:sz w:val="24"/>
                <w:szCs w:val="24"/>
              </w:rPr>
              <w:t>项目管理机构及项目人员配备一般，基本满足项目需求要求得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122E0DDF">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④</w:t>
            </w:r>
            <w:r>
              <w:rPr>
                <w:rFonts w:hint="eastAsia" w:ascii="宋体" w:hAnsi="宋体" w:eastAsia="宋体" w:cs="宋体"/>
                <w:sz w:val="24"/>
                <w:szCs w:val="24"/>
              </w:rPr>
              <w:t>项目管理机构及项目人员配备较差，不能满足项目需求要求得1分；</w:t>
            </w:r>
          </w:p>
          <w:p w14:paraId="632F3CCB">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⑤</w:t>
            </w:r>
            <w:r>
              <w:rPr>
                <w:rFonts w:hint="eastAsia" w:ascii="宋体" w:hAnsi="宋体" w:eastAsia="宋体" w:cs="宋体"/>
                <w:sz w:val="24"/>
                <w:szCs w:val="24"/>
              </w:rPr>
              <w:t>缺项不得分。</w:t>
            </w:r>
          </w:p>
          <w:p w14:paraId="7BF5558C">
            <w:pPr>
              <w:pStyle w:val="19"/>
              <w:tabs>
                <w:tab w:val="left" w:pos="343"/>
              </w:tabs>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rPr>
              <w:t>注：项目人员需附身份证及相关证书</w:t>
            </w:r>
            <w:r>
              <w:rPr>
                <w:rFonts w:hint="eastAsia" w:ascii="宋体" w:hAnsi="宋体" w:eastAsia="宋体" w:cs="宋体"/>
                <w:sz w:val="24"/>
                <w:szCs w:val="24"/>
                <w:lang w:val="en-US" w:eastAsia="zh-CN"/>
              </w:rPr>
              <w:t>。</w:t>
            </w:r>
            <w:bookmarkEnd w:id="416"/>
          </w:p>
        </w:tc>
        <w:tc>
          <w:tcPr>
            <w:tcW w:w="1244" w:type="dxa"/>
            <w:noWrap w:val="0"/>
            <w:vAlign w:val="center"/>
          </w:tcPr>
          <w:p w14:paraId="6534A997">
            <w:pPr>
              <w:pStyle w:val="19"/>
              <w:tabs>
                <w:tab w:val="left" w:pos="343"/>
              </w:tabs>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7分</w:t>
            </w:r>
          </w:p>
        </w:tc>
      </w:tr>
      <w:tr w14:paraId="19EC43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31" w:hRule="atLeast"/>
        </w:trPr>
        <w:tc>
          <w:tcPr>
            <w:tcW w:w="1305" w:type="dxa"/>
            <w:vMerge w:val="continue"/>
            <w:noWrap w:val="0"/>
            <w:vAlign w:val="center"/>
          </w:tcPr>
          <w:p w14:paraId="3585A960">
            <w:pPr>
              <w:spacing w:line="360" w:lineRule="auto"/>
              <w:ind w:firstLine="0" w:firstLineChars="0"/>
              <w:jc w:val="center"/>
              <w:rPr>
                <w:rFonts w:hint="eastAsia" w:ascii="宋体" w:hAnsi="宋体" w:eastAsia="宋体" w:cs="宋体"/>
                <w:bCs/>
                <w:sz w:val="24"/>
                <w:szCs w:val="24"/>
              </w:rPr>
            </w:pPr>
          </w:p>
        </w:tc>
        <w:tc>
          <w:tcPr>
            <w:tcW w:w="1065" w:type="dxa"/>
            <w:noWrap w:val="0"/>
            <w:vAlign w:val="center"/>
          </w:tcPr>
          <w:p w14:paraId="35980D5C">
            <w:pPr>
              <w:tabs>
                <w:tab w:val="left" w:pos="960"/>
              </w:tabs>
              <w:spacing w:line="360" w:lineRule="auto"/>
              <w:ind w:right="185" w:rightChars="84" w:firstLine="0" w:firstLineChars="0"/>
              <w:jc w:val="center"/>
              <w:rPr>
                <w:rFonts w:hint="eastAsia" w:ascii="宋体" w:hAnsi="宋体" w:eastAsia="宋体" w:cs="宋体"/>
                <w:sz w:val="24"/>
                <w:szCs w:val="24"/>
              </w:rPr>
            </w:pPr>
            <w:bookmarkStart w:id="417" w:name="OLE_LINK51"/>
            <w:r>
              <w:rPr>
                <w:rFonts w:hint="eastAsia" w:ascii="宋体" w:hAnsi="宋体" w:eastAsia="宋体" w:cs="宋体"/>
                <w:sz w:val="24"/>
                <w:szCs w:val="24"/>
              </w:rPr>
              <w:t>活动宣传方案</w:t>
            </w:r>
            <w:bookmarkEnd w:id="417"/>
          </w:p>
        </w:tc>
        <w:tc>
          <w:tcPr>
            <w:tcW w:w="6105" w:type="dxa"/>
            <w:noWrap w:val="0"/>
            <w:vAlign w:val="center"/>
          </w:tcPr>
          <w:p w14:paraId="605C21C4">
            <w:pPr>
              <w:pStyle w:val="19"/>
              <w:tabs>
                <w:tab w:val="left" w:pos="343"/>
              </w:tabs>
              <w:adjustRightInd w:val="0"/>
              <w:snapToGrid w:val="0"/>
              <w:spacing w:line="360" w:lineRule="auto"/>
              <w:rPr>
                <w:rFonts w:hint="eastAsia" w:ascii="宋体" w:hAnsi="宋体" w:eastAsia="宋体" w:cs="宋体"/>
                <w:sz w:val="24"/>
                <w:szCs w:val="24"/>
              </w:rPr>
            </w:pPr>
            <w:bookmarkStart w:id="418" w:name="OLE_LINK52"/>
            <w:r>
              <w:rPr>
                <w:rFonts w:hint="eastAsia" w:ascii="宋体" w:hAnsi="宋体" w:eastAsia="宋体" w:cs="宋体"/>
                <w:sz w:val="24"/>
                <w:szCs w:val="24"/>
                <w:lang w:val="en-US"/>
              </w:rPr>
              <w:t>①</w:t>
            </w:r>
            <w:r>
              <w:rPr>
                <w:rFonts w:hint="eastAsia" w:ascii="宋体" w:hAnsi="宋体" w:eastAsia="宋体" w:cs="宋体"/>
                <w:sz w:val="24"/>
                <w:szCs w:val="24"/>
              </w:rPr>
              <w:t>方案详细可行，科学、合理、全面，符合本项目需求要求、有利于本项目实施得</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p w14:paraId="371855BA">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②</w:t>
            </w:r>
            <w:r>
              <w:rPr>
                <w:rFonts w:hint="eastAsia" w:ascii="宋体" w:hAnsi="宋体" w:eastAsia="宋体" w:cs="宋体"/>
                <w:sz w:val="24"/>
                <w:szCs w:val="24"/>
              </w:rPr>
              <w:t>方案较合理，满足本项目需求要求得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21FE6523">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③</w:t>
            </w:r>
            <w:r>
              <w:rPr>
                <w:rFonts w:hint="eastAsia" w:ascii="宋体" w:hAnsi="宋体" w:eastAsia="宋体" w:cs="宋体"/>
                <w:sz w:val="24"/>
                <w:szCs w:val="24"/>
              </w:rPr>
              <w:t>方案一般，基本满足本项目需求要求得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3B8E39AA">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④</w:t>
            </w:r>
            <w:r>
              <w:rPr>
                <w:rFonts w:hint="eastAsia" w:ascii="宋体" w:hAnsi="宋体" w:eastAsia="宋体" w:cs="宋体"/>
                <w:sz w:val="24"/>
                <w:szCs w:val="24"/>
              </w:rPr>
              <w:t>方案较差，不能满足本项目需求要求得</w:t>
            </w:r>
            <w:r>
              <w:rPr>
                <w:rFonts w:hint="eastAsia" w:ascii="宋体" w:hAnsi="宋体" w:eastAsia="宋体" w:cs="宋体"/>
                <w:sz w:val="24"/>
                <w:szCs w:val="24"/>
                <w:lang w:val="en-US"/>
              </w:rPr>
              <w:t>1</w:t>
            </w:r>
            <w:r>
              <w:rPr>
                <w:rFonts w:hint="eastAsia" w:ascii="宋体" w:hAnsi="宋体" w:eastAsia="宋体" w:cs="宋体"/>
                <w:sz w:val="24"/>
                <w:szCs w:val="24"/>
              </w:rPr>
              <w:t>分；</w:t>
            </w:r>
          </w:p>
          <w:p w14:paraId="0FF7D1FC">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缺项不得分。</w:t>
            </w:r>
            <w:bookmarkEnd w:id="418"/>
          </w:p>
        </w:tc>
        <w:tc>
          <w:tcPr>
            <w:tcW w:w="1244" w:type="dxa"/>
            <w:noWrap w:val="0"/>
            <w:vAlign w:val="center"/>
          </w:tcPr>
          <w:p w14:paraId="5BA94CDE">
            <w:pPr>
              <w:pStyle w:val="19"/>
              <w:tabs>
                <w:tab w:val="left" w:pos="343"/>
              </w:tabs>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7分</w:t>
            </w:r>
          </w:p>
        </w:tc>
      </w:tr>
      <w:tr w14:paraId="3CA448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38" w:hRule="atLeast"/>
        </w:trPr>
        <w:tc>
          <w:tcPr>
            <w:tcW w:w="1305" w:type="dxa"/>
            <w:vMerge w:val="continue"/>
            <w:noWrap w:val="0"/>
            <w:vAlign w:val="center"/>
          </w:tcPr>
          <w:p w14:paraId="189FCF06">
            <w:pPr>
              <w:spacing w:line="360" w:lineRule="auto"/>
              <w:ind w:firstLine="0" w:firstLineChars="0"/>
              <w:jc w:val="center"/>
              <w:rPr>
                <w:rFonts w:hint="eastAsia" w:ascii="宋体" w:hAnsi="宋体" w:eastAsia="宋体" w:cs="宋体"/>
                <w:bCs/>
                <w:sz w:val="24"/>
                <w:szCs w:val="24"/>
              </w:rPr>
            </w:pPr>
          </w:p>
        </w:tc>
        <w:tc>
          <w:tcPr>
            <w:tcW w:w="1065" w:type="dxa"/>
            <w:noWrap w:val="0"/>
            <w:vAlign w:val="center"/>
          </w:tcPr>
          <w:p w14:paraId="69338363">
            <w:pPr>
              <w:tabs>
                <w:tab w:val="left" w:pos="960"/>
              </w:tabs>
              <w:spacing w:line="360" w:lineRule="auto"/>
              <w:ind w:right="185" w:rightChars="84" w:firstLine="0" w:firstLineChars="0"/>
              <w:jc w:val="center"/>
              <w:rPr>
                <w:rFonts w:hint="eastAsia" w:ascii="宋体" w:hAnsi="宋体" w:eastAsia="宋体" w:cs="宋体"/>
                <w:sz w:val="24"/>
                <w:szCs w:val="24"/>
              </w:rPr>
            </w:pPr>
            <w:bookmarkStart w:id="419" w:name="OLE_LINK53"/>
            <w:r>
              <w:rPr>
                <w:rFonts w:hint="eastAsia" w:ascii="宋体" w:hAnsi="宋体" w:eastAsia="宋体" w:cs="宋体"/>
                <w:sz w:val="24"/>
                <w:szCs w:val="24"/>
              </w:rPr>
              <w:t>安全保障措施</w:t>
            </w:r>
            <w:bookmarkEnd w:id="419"/>
          </w:p>
        </w:tc>
        <w:tc>
          <w:tcPr>
            <w:tcW w:w="6105" w:type="dxa"/>
            <w:noWrap w:val="0"/>
            <w:vAlign w:val="center"/>
          </w:tcPr>
          <w:p w14:paraId="458D7CDF">
            <w:pPr>
              <w:pStyle w:val="19"/>
              <w:tabs>
                <w:tab w:val="left" w:pos="343"/>
              </w:tabs>
              <w:adjustRightInd w:val="0"/>
              <w:snapToGrid w:val="0"/>
              <w:spacing w:line="360" w:lineRule="auto"/>
              <w:rPr>
                <w:rFonts w:hint="eastAsia" w:ascii="宋体" w:hAnsi="宋体" w:eastAsia="宋体" w:cs="宋体"/>
                <w:sz w:val="24"/>
                <w:szCs w:val="24"/>
              </w:rPr>
            </w:pPr>
            <w:bookmarkStart w:id="420" w:name="OLE_LINK54"/>
            <w:r>
              <w:rPr>
                <w:rFonts w:hint="eastAsia" w:ascii="宋体" w:hAnsi="宋体" w:eastAsia="宋体" w:cs="宋体"/>
                <w:sz w:val="24"/>
                <w:szCs w:val="24"/>
              </w:rPr>
              <w:t>包括保障赛事参赛人员以及群众观看秩序，保障参赛人员以及群众的人身和财产安全，保证每天活动前排查火灾隐患排查、人员聚集踩踏点隐患排查等。</w:t>
            </w:r>
          </w:p>
          <w:p w14:paraId="6CFFEDA6">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①</w:t>
            </w:r>
            <w:r>
              <w:rPr>
                <w:rFonts w:hint="eastAsia" w:ascii="宋体" w:hAnsi="宋体" w:eastAsia="宋体" w:cs="宋体"/>
                <w:sz w:val="24"/>
                <w:szCs w:val="24"/>
              </w:rPr>
              <w:t>保障措施详细可行，科学、合理、全面，符合本项目需求要求、有利于本项目实施得</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p w14:paraId="5802558E">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②</w:t>
            </w:r>
            <w:r>
              <w:rPr>
                <w:rFonts w:hint="eastAsia" w:ascii="宋体" w:hAnsi="宋体" w:eastAsia="宋体" w:cs="宋体"/>
                <w:sz w:val="24"/>
                <w:szCs w:val="24"/>
              </w:rPr>
              <w:t>保障措施较合理，满足本项目需求要求得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19C1A5FB">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③</w:t>
            </w:r>
            <w:r>
              <w:rPr>
                <w:rFonts w:hint="eastAsia" w:ascii="宋体" w:hAnsi="宋体" w:eastAsia="宋体" w:cs="宋体"/>
                <w:sz w:val="24"/>
                <w:szCs w:val="24"/>
              </w:rPr>
              <w:t>保障措施一般，基本满足本项目需求要求得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47A7CC64">
            <w:pPr>
              <w:pStyle w:val="19"/>
              <w:tabs>
                <w:tab w:val="left" w:pos="343"/>
              </w:tabs>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rPr>
              <w:t>④</w:t>
            </w:r>
            <w:r>
              <w:rPr>
                <w:rFonts w:hint="eastAsia" w:ascii="宋体" w:hAnsi="宋体" w:eastAsia="宋体" w:cs="宋体"/>
                <w:sz w:val="24"/>
                <w:szCs w:val="24"/>
              </w:rPr>
              <w:t>保障措施较差，不能满足本项目需求要求得1分</w:t>
            </w:r>
            <w:r>
              <w:rPr>
                <w:rFonts w:hint="eastAsia" w:ascii="宋体" w:hAnsi="宋体" w:eastAsia="宋体" w:cs="宋体"/>
                <w:sz w:val="24"/>
                <w:szCs w:val="24"/>
                <w:lang w:eastAsia="zh-CN"/>
              </w:rPr>
              <w:t>；</w:t>
            </w:r>
          </w:p>
          <w:p w14:paraId="2FEF50B2">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⑤</w:t>
            </w:r>
            <w:r>
              <w:rPr>
                <w:rFonts w:hint="eastAsia" w:ascii="宋体" w:hAnsi="宋体" w:eastAsia="宋体" w:cs="宋体"/>
                <w:sz w:val="24"/>
                <w:szCs w:val="24"/>
              </w:rPr>
              <w:t>缺项不得分。</w:t>
            </w:r>
            <w:bookmarkEnd w:id="420"/>
          </w:p>
        </w:tc>
        <w:tc>
          <w:tcPr>
            <w:tcW w:w="1244" w:type="dxa"/>
            <w:noWrap w:val="0"/>
            <w:vAlign w:val="center"/>
          </w:tcPr>
          <w:p w14:paraId="218E13A7">
            <w:pPr>
              <w:pStyle w:val="19"/>
              <w:tabs>
                <w:tab w:val="left" w:pos="343"/>
              </w:tabs>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7分</w:t>
            </w:r>
          </w:p>
        </w:tc>
      </w:tr>
      <w:tr w14:paraId="1EFEF2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31" w:hRule="atLeast"/>
        </w:trPr>
        <w:tc>
          <w:tcPr>
            <w:tcW w:w="1305" w:type="dxa"/>
            <w:vMerge w:val="continue"/>
            <w:noWrap w:val="0"/>
            <w:vAlign w:val="center"/>
          </w:tcPr>
          <w:p w14:paraId="52D8295F">
            <w:pPr>
              <w:spacing w:line="360" w:lineRule="auto"/>
              <w:ind w:firstLine="0" w:firstLineChars="0"/>
              <w:jc w:val="center"/>
              <w:rPr>
                <w:rFonts w:hint="eastAsia" w:ascii="宋体" w:hAnsi="宋体" w:eastAsia="宋体" w:cs="宋体"/>
                <w:bCs/>
                <w:sz w:val="24"/>
                <w:szCs w:val="24"/>
              </w:rPr>
            </w:pPr>
          </w:p>
        </w:tc>
        <w:tc>
          <w:tcPr>
            <w:tcW w:w="1065" w:type="dxa"/>
            <w:noWrap w:val="0"/>
            <w:vAlign w:val="center"/>
          </w:tcPr>
          <w:p w14:paraId="09B39E8E">
            <w:pPr>
              <w:tabs>
                <w:tab w:val="left" w:pos="960"/>
              </w:tabs>
              <w:spacing w:line="360" w:lineRule="auto"/>
              <w:ind w:right="185" w:rightChars="84" w:firstLine="0" w:firstLineChars="0"/>
              <w:jc w:val="center"/>
              <w:rPr>
                <w:rFonts w:hint="eastAsia" w:ascii="宋体" w:hAnsi="宋体" w:eastAsia="宋体" w:cs="宋体"/>
                <w:sz w:val="24"/>
                <w:szCs w:val="24"/>
              </w:rPr>
            </w:pPr>
            <w:bookmarkStart w:id="421" w:name="OLE_LINK55"/>
            <w:r>
              <w:rPr>
                <w:rFonts w:hint="eastAsia" w:ascii="宋体" w:hAnsi="宋体" w:eastAsia="宋体" w:cs="宋体"/>
                <w:sz w:val="24"/>
                <w:szCs w:val="24"/>
              </w:rPr>
              <w:t>应急处理预案</w:t>
            </w:r>
            <w:bookmarkEnd w:id="421"/>
          </w:p>
        </w:tc>
        <w:tc>
          <w:tcPr>
            <w:tcW w:w="6105" w:type="dxa"/>
            <w:noWrap w:val="0"/>
            <w:vAlign w:val="center"/>
          </w:tcPr>
          <w:p w14:paraId="4950D96A">
            <w:pPr>
              <w:pStyle w:val="19"/>
              <w:tabs>
                <w:tab w:val="left" w:pos="343"/>
              </w:tabs>
              <w:adjustRightInd w:val="0"/>
              <w:snapToGrid w:val="0"/>
              <w:spacing w:line="360" w:lineRule="auto"/>
              <w:rPr>
                <w:rFonts w:hint="eastAsia" w:ascii="宋体" w:hAnsi="宋体" w:eastAsia="宋体" w:cs="宋体"/>
                <w:sz w:val="24"/>
                <w:szCs w:val="24"/>
              </w:rPr>
            </w:pPr>
            <w:bookmarkStart w:id="422" w:name="OLE_LINK56"/>
            <w:r>
              <w:rPr>
                <w:rFonts w:hint="eastAsia" w:ascii="宋体" w:hAnsi="宋体" w:eastAsia="宋体" w:cs="宋体"/>
                <w:sz w:val="24"/>
                <w:szCs w:val="24"/>
              </w:rPr>
              <w:t>对赛事活动组织执行过程中</w:t>
            </w:r>
            <w:r>
              <w:rPr>
                <w:rFonts w:hint="eastAsia" w:ascii="宋体" w:hAnsi="宋体" w:eastAsia="宋体" w:cs="宋体"/>
                <w:sz w:val="24"/>
                <w:szCs w:val="24"/>
                <w:lang w:val="en-US" w:eastAsia="zh-CN"/>
              </w:rPr>
              <w:t>可能</w:t>
            </w:r>
            <w:r>
              <w:rPr>
                <w:rFonts w:hint="eastAsia" w:ascii="宋体" w:hAnsi="宋体" w:eastAsia="宋体" w:cs="宋体"/>
                <w:sz w:val="24"/>
                <w:szCs w:val="24"/>
              </w:rPr>
              <w:t>出现突发情况的设想</w:t>
            </w:r>
            <w:r>
              <w:rPr>
                <w:rFonts w:hint="eastAsia" w:ascii="宋体" w:hAnsi="宋体" w:eastAsia="宋体" w:cs="宋体"/>
                <w:sz w:val="24"/>
                <w:szCs w:val="24"/>
                <w:lang w:val="en-US" w:eastAsia="zh-CN"/>
              </w:rPr>
              <w:t>和应对措施进行打分。</w:t>
            </w:r>
          </w:p>
          <w:p w14:paraId="04CCA996">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①</w:t>
            </w:r>
            <w:r>
              <w:rPr>
                <w:rFonts w:hint="eastAsia" w:ascii="宋体" w:hAnsi="宋体" w:eastAsia="宋体" w:cs="宋体"/>
                <w:sz w:val="24"/>
                <w:szCs w:val="24"/>
              </w:rPr>
              <w:t>方案详细可行，科学、合理、全面，符合本项目需求要求、有利于本项目实施得</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p w14:paraId="0D585612">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②</w:t>
            </w:r>
            <w:r>
              <w:rPr>
                <w:rFonts w:hint="eastAsia" w:ascii="宋体" w:hAnsi="宋体" w:eastAsia="宋体" w:cs="宋体"/>
                <w:sz w:val="24"/>
                <w:szCs w:val="24"/>
              </w:rPr>
              <w:t>方案较合理，满足本项目需求要求得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19551F3C">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③</w:t>
            </w:r>
            <w:r>
              <w:rPr>
                <w:rFonts w:hint="eastAsia" w:ascii="宋体" w:hAnsi="宋体" w:eastAsia="宋体" w:cs="宋体"/>
                <w:sz w:val="24"/>
                <w:szCs w:val="24"/>
              </w:rPr>
              <w:t>方案一般，基本满足本项目需求要求得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6C95D70E">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④</w:t>
            </w:r>
            <w:r>
              <w:rPr>
                <w:rFonts w:hint="eastAsia" w:ascii="宋体" w:hAnsi="宋体" w:eastAsia="宋体" w:cs="宋体"/>
                <w:sz w:val="24"/>
                <w:szCs w:val="24"/>
              </w:rPr>
              <w:t>方案较差，不能满足本项目需求要求得</w:t>
            </w:r>
            <w:r>
              <w:rPr>
                <w:rFonts w:hint="eastAsia" w:ascii="宋体" w:hAnsi="宋体" w:eastAsia="宋体" w:cs="宋体"/>
                <w:sz w:val="24"/>
                <w:szCs w:val="24"/>
                <w:lang w:val="en-US"/>
              </w:rPr>
              <w:t>1</w:t>
            </w:r>
            <w:r>
              <w:rPr>
                <w:rFonts w:hint="eastAsia" w:ascii="宋体" w:hAnsi="宋体" w:eastAsia="宋体" w:cs="宋体"/>
                <w:sz w:val="24"/>
                <w:szCs w:val="24"/>
              </w:rPr>
              <w:t>分；</w:t>
            </w:r>
          </w:p>
          <w:p w14:paraId="7BA1B1B6">
            <w:pPr>
              <w:pStyle w:val="19"/>
              <w:tabs>
                <w:tab w:val="left" w:pos="343"/>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缺项不得分。</w:t>
            </w:r>
            <w:bookmarkEnd w:id="422"/>
          </w:p>
        </w:tc>
        <w:tc>
          <w:tcPr>
            <w:tcW w:w="1244" w:type="dxa"/>
            <w:noWrap w:val="0"/>
            <w:vAlign w:val="center"/>
          </w:tcPr>
          <w:p w14:paraId="1E58ED3B">
            <w:pPr>
              <w:pStyle w:val="19"/>
              <w:tabs>
                <w:tab w:val="left" w:pos="343"/>
              </w:tabs>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7分</w:t>
            </w:r>
          </w:p>
        </w:tc>
      </w:tr>
      <w:tr w14:paraId="5B653C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2" w:hRule="atLeast"/>
        </w:trPr>
        <w:tc>
          <w:tcPr>
            <w:tcW w:w="1305" w:type="dxa"/>
            <w:vMerge w:val="restart"/>
            <w:noWrap w:val="0"/>
            <w:vAlign w:val="center"/>
          </w:tcPr>
          <w:p w14:paraId="3E0AC27E">
            <w:pPr>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p>
          <w:p w14:paraId="1968FE7C">
            <w:pPr>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20分</w:t>
            </w:r>
            <w:r>
              <w:rPr>
                <w:rFonts w:hint="eastAsia" w:ascii="宋体" w:hAnsi="宋体" w:eastAsia="宋体" w:cs="宋体"/>
                <w:sz w:val="24"/>
                <w:szCs w:val="24"/>
                <w:highlight w:val="none"/>
                <w:lang w:eastAsia="zh-CN"/>
              </w:rPr>
              <w:t>）</w:t>
            </w:r>
          </w:p>
        </w:tc>
        <w:tc>
          <w:tcPr>
            <w:tcW w:w="1065" w:type="dxa"/>
            <w:noWrap w:val="0"/>
            <w:vAlign w:val="center"/>
          </w:tcPr>
          <w:p w14:paraId="65DE4BCA">
            <w:pPr>
              <w:tabs>
                <w:tab w:val="left" w:pos="960"/>
              </w:tabs>
              <w:spacing w:line="360" w:lineRule="auto"/>
              <w:ind w:right="185" w:rightChars="84" w:firstLine="0" w:firstLineChars="0"/>
              <w:jc w:val="center"/>
              <w:rPr>
                <w:rFonts w:hint="eastAsia" w:ascii="宋体" w:hAnsi="宋体" w:eastAsia="宋体" w:cs="宋体"/>
                <w:sz w:val="24"/>
                <w:szCs w:val="24"/>
                <w:highlight w:val="none"/>
              </w:rPr>
            </w:pPr>
            <w:bookmarkStart w:id="423" w:name="OLE_LINK57"/>
            <w:r>
              <w:rPr>
                <w:rFonts w:hint="eastAsia" w:ascii="宋体" w:hAnsi="宋体" w:eastAsia="宋体" w:cs="宋体"/>
                <w:sz w:val="24"/>
                <w:szCs w:val="24"/>
                <w:highlight w:val="none"/>
              </w:rPr>
              <w:t>企业业绩</w:t>
            </w:r>
            <w:bookmarkEnd w:id="423"/>
          </w:p>
        </w:tc>
        <w:tc>
          <w:tcPr>
            <w:tcW w:w="6105" w:type="dxa"/>
            <w:noWrap w:val="0"/>
            <w:vAlign w:val="center"/>
          </w:tcPr>
          <w:p w14:paraId="21BF11A6">
            <w:pPr>
              <w:spacing w:line="360" w:lineRule="auto"/>
              <w:rPr>
                <w:rFonts w:hint="eastAsia" w:ascii="宋体" w:hAnsi="宋体" w:eastAsia="宋体" w:cs="宋体"/>
                <w:sz w:val="24"/>
                <w:szCs w:val="24"/>
                <w:highlight w:val="none"/>
              </w:rPr>
            </w:pPr>
            <w:bookmarkStart w:id="424" w:name="OLE_LINK58"/>
            <w:r>
              <w:rPr>
                <w:rFonts w:hint="eastAsia" w:ascii="宋体" w:hAnsi="宋体" w:eastAsia="宋体" w:cs="宋体"/>
                <w:sz w:val="24"/>
                <w:szCs w:val="24"/>
                <w:highlight w:val="none"/>
              </w:rPr>
              <w:t>提供</w:t>
            </w:r>
            <w:r>
              <w:rPr>
                <w:rFonts w:hint="eastAsia" w:ascii="宋体" w:hAnsi="宋体" w:eastAsia="宋体" w:cs="宋体"/>
                <w:sz w:val="24"/>
                <w:szCs w:val="24"/>
                <w:highlight w:val="none"/>
                <w:shd w:val="clear" w:color="auto" w:fill="FFFFFF"/>
                <w:lang w:bidi="ar"/>
              </w:rPr>
              <w:t>20</w:t>
            </w:r>
            <w:r>
              <w:rPr>
                <w:rFonts w:hint="eastAsia" w:ascii="宋体" w:hAnsi="宋体" w:eastAsia="宋体" w:cs="宋体"/>
                <w:sz w:val="24"/>
                <w:szCs w:val="24"/>
                <w:highlight w:val="none"/>
                <w:shd w:val="clear" w:color="auto" w:fill="FFFFFF"/>
                <w:lang w:val="en-US" w:eastAsia="zh-CN" w:bidi="ar"/>
              </w:rPr>
              <w:t>22</w:t>
            </w:r>
            <w:r>
              <w:rPr>
                <w:rFonts w:hint="eastAsia" w:ascii="宋体" w:hAnsi="宋体" w:eastAsia="宋体" w:cs="宋体"/>
                <w:sz w:val="24"/>
                <w:szCs w:val="24"/>
                <w:highlight w:val="none"/>
                <w:shd w:val="clear" w:color="auto" w:fill="FFFFFF"/>
                <w:lang w:bidi="ar"/>
              </w:rPr>
              <w:t>年以来至今</w:t>
            </w:r>
            <w:r>
              <w:rPr>
                <w:rFonts w:hint="eastAsia" w:ascii="宋体" w:hAnsi="宋体" w:eastAsia="宋体" w:cs="宋体"/>
                <w:sz w:val="24"/>
                <w:szCs w:val="24"/>
                <w:highlight w:val="none"/>
              </w:rPr>
              <w:t>类似承办赛事活动业绩，每提供</w:t>
            </w:r>
            <w:r>
              <w:rPr>
                <w:rFonts w:hint="eastAsia" w:cs="宋体"/>
                <w:sz w:val="24"/>
                <w:szCs w:val="24"/>
                <w:highlight w:val="none"/>
                <w:lang w:val="en-US" w:eastAsia="zh-CN"/>
              </w:rPr>
              <w:t>1份</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分，本项最多得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分，未提供不得分。（业绩应附合同协议书或中标</w:t>
            </w:r>
            <w:r>
              <w:rPr>
                <w:rFonts w:hint="eastAsia" w:cs="宋体"/>
                <w:sz w:val="24"/>
                <w:szCs w:val="24"/>
                <w:highlight w:val="none"/>
                <w:lang w:eastAsia="zh-CN"/>
              </w:rPr>
              <w:t>（</w:t>
            </w:r>
            <w:r>
              <w:rPr>
                <w:rFonts w:hint="eastAsia" w:cs="宋体"/>
                <w:sz w:val="24"/>
                <w:szCs w:val="24"/>
                <w:highlight w:val="none"/>
                <w:lang w:val="en-US" w:eastAsia="zh-CN"/>
              </w:rPr>
              <w:t>成交</w:t>
            </w:r>
            <w:r>
              <w:rPr>
                <w:rFonts w:hint="eastAsia" w:cs="宋体"/>
                <w:sz w:val="24"/>
                <w:szCs w:val="24"/>
                <w:highlight w:val="none"/>
                <w:lang w:eastAsia="zh-CN"/>
              </w:rPr>
              <w:t>）</w:t>
            </w:r>
            <w:r>
              <w:rPr>
                <w:rFonts w:hint="eastAsia" w:ascii="宋体" w:hAnsi="宋体" w:eastAsia="宋体" w:cs="宋体"/>
                <w:sz w:val="24"/>
                <w:szCs w:val="24"/>
                <w:highlight w:val="none"/>
              </w:rPr>
              <w:t>通知书，以</w:t>
            </w:r>
            <w:r>
              <w:rPr>
                <w:rFonts w:hint="eastAsia" w:cs="宋体"/>
                <w:sz w:val="24"/>
                <w:szCs w:val="24"/>
                <w:highlight w:val="none"/>
                <w:lang w:val="en-US" w:eastAsia="zh-CN"/>
              </w:rPr>
              <w:t>落款</w:t>
            </w:r>
            <w:r>
              <w:rPr>
                <w:rFonts w:hint="eastAsia" w:ascii="宋体" w:hAnsi="宋体" w:eastAsia="宋体" w:cs="宋体"/>
                <w:sz w:val="24"/>
                <w:szCs w:val="24"/>
                <w:highlight w:val="none"/>
              </w:rPr>
              <w:t>时间为准）。</w:t>
            </w:r>
            <w:bookmarkEnd w:id="424"/>
          </w:p>
        </w:tc>
        <w:tc>
          <w:tcPr>
            <w:tcW w:w="1244" w:type="dxa"/>
            <w:noWrap w:val="0"/>
            <w:vAlign w:val="center"/>
          </w:tcPr>
          <w:p w14:paraId="4E3AB0C2">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r>
      <w:tr w14:paraId="39E3C1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72" w:hRule="atLeast"/>
        </w:trPr>
        <w:tc>
          <w:tcPr>
            <w:tcW w:w="1305" w:type="dxa"/>
            <w:vMerge w:val="continue"/>
            <w:noWrap w:val="0"/>
            <w:vAlign w:val="center"/>
          </w:tcPr>
          <w:p w14:paraId="08C73A92">
            <w:pPr>
              <w:spacing w:line="360" w:lineRule="auto"/>
              <w:ind w:firstLine="480"/>
              <w:jc w:val="center"/>
              <w:rPr>
                <w:rFonts w:hint="eastAsia" w:ascii="宋体" w:hAnsi="宋体" w:eastAsia="宋体" w:cs="宋体"/>
                <w:sz w:val="24"/>
                <w:szCs w:val="24"/>
                <w:highlight w:val="none"/>
              </w:rPr>
            </w:pPr>
          </w:p>
        </w:tc>
        <w:tc>
          <w:tcPr>
            <w:tcW w:w="1065" w:type="dxa"/>
            <w:noWrap w:val="0"/>
            <w:vAlign w:val="center"/>
          </w:tcPr>
          <w:p w14:paraId="4BD0BCA6">
            <w:pPr>
              <w:tabs>
                <w:tab w:val="left" w:pos="960"/>
              </w:tabs>
              <w:spacing w:line="360" w:lineRule="auto"/>
              <w:ind w:right="185" w:rightChars="84" w:firstLine="0" w:firstLineChars="0"/>
              <w:jc w:val="center"/>
              <w:rPr>
                <w:rFonts w:hint="eastAsia" w:ascii="宋体" w:hAnsi="宋体" w:eastAsia="宋体" w:cs="宋体"/>
                <w:sz w:val="24"/>
                <w:szCs w:val="24"/>
                <w:highlight w:val="none"/>
              </w:rPr>
            </w:pPr>
            <w:bookmarkStart w:id="425" w:name="OLE_LINK59"/>
            <w:r>
              <w:rPr>
                <w:rFonts w:hint="eastAsia" w:ascii="宋体" w:hAnsi="宋体" w:eastAsia="宋体" w:cs="宋体"/>
                <w:sz w:val="24"/>
                <w:szCs w:val="24"/>
                <w:highlight w:val="none"/>
              </w:rPr>
              <w:t>人员实力</w:t>
            </w:r>
            <w:bookmarkEnd w:id="425"/>
          </w:p>
        </w:tc>
        <w:tc>
          <w:tcPr>
            <w:tcW w:w="6105" w:type="dxa"/>
            <w:noWrap w:val="0"/>
            <w:vAlign w:val="center"/>
          </w:tcPr>
          <w:p w14:paraId="42415DD3">
            <w:pPr>
              <w:pStyle w:val="19"/>
              <w:tabs>
                <w:tab w:val="left" w:pos="343"/>
              </w:tabs>
              <w:adjustRightInd w:val="0"/>
              <w:snapToGrid w:val="0"/>
              <w:spacing w:line="360" w:lineRule="auto"/>
              <w:rPr>
                <w:rFonts w:hint="eastAsia" w:ascii="宋体" w:hAnsi="宋体" w:eastAsia="宋体" w:cs="宋体"/>
                <w:sz w:val="24"/>
                <w:szCs w:val="24"/>
                <w:highlight w:val="none"/>
                <w:lang w:val="en-US"/>
              </w:rPr>
            </w:pPr>
            <w:bookmarkStart w:id="426" w:name="OLE_LINK60"/>
            <w:r>
              <w:rPr>
                <w:rFonts w:hint="eastAsia" w:ascii="宋体" w:hAnsi="宋体" w:eastAsia="宋体" w:cs="宋体"/>
                <w:sz w:val="24"/>
                <w:szCs w:val="24"/>
                <w:highlight w:val="none"/>
              </w:rPr>
              <w:t>响应人为本次比赛提供的裁判员为国际级的，每提供一个加</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分，最多加</w:t>
            </w:r>
            <w:r>
              <w:rPr>
                <w:rFonts w:hint="eastAsia"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rPr>
              <w:t>未提供不得分</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rPr>
              <w:t>以响应文件中的</w:t>
            </w:r>
            <w:r>
              <w:rPr>
                <w:rFonts w:hint="eastAsia" w:ascii="宋体" w:hAnsi="宋体" w:eastAsia="宋体" w:cs="宋体"/>
                <w:sz w:val="24"/>
                <w:szCs w:val="24"/>
                <w:highlight w:val="none"/>
              </w:rPr>
              <w:t>裁判证</w:t>
            </w:r>
            <w:r>
              <w:rPr>
                <w:rFonts w:hint="eastAsia" w:ascii="宋体" w:hAnsi="宋体" w:eastAsia="宋体" w:cs="宋体"/>
                <w:sz w:val="24"/>
                <w:szCs w:val="24"/>
                <w:highlight w:val="none"/>
                <w:lang w:val="en-US"/>
              </w:rPr>
              <w:t>扫描件为准</w:t>
            </w:r>
            <w:r>
              <w:rPr>
                <w:rFonts w:hint="eastAsia" w:ascii="宋体" w:hAnsi="宋体" w:eastAsia="宋体" w:cs="宋体"/>
                <w:sz w:val="24"/>
                <w:szCs w:val="24"/>
                <w:highlight w:val="none"/>
              </w:rPr>
              <w:t>）。</w:t>
            </w:r>
            <w:bookmarkEnd w:id="426"/>
          </w:p>
        </w:tc>
        <w:tc>
          <w:tcPr>
            <w:tcW w:w="1244" w:type="dxa"/>
            <w:noWrap w:val="0"/>
            <w:vAlign w:val="center"/>
          </w:tcPr>
          <w:p w14:paraId="7D27B165">
            <w:pPr>
              <w:pStyle w:val="19"/>
              <w:tabs>
                <w:tab w:val="left" w:pos="343"/>
              </w:tabs>
              <w:adjustRightInd w:val="0"/>
              <w:snapToGrid w:val="0"/>
              <w:spacing w:line="360" w:lineRule="auto"/>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4</w:t>
            </w:r>
            <w:r>
              <w:rPr>
                <w:rFonts w:hint="eastAsia" w:ascii="宋体" w:hAnsi="宋体" w:eastAsia="宋体" w:cs="宋体"/>
                <w:sz w:val="24"/>
                <w:szCs w:val="24"/>
                <w:highlight w:val="none"/>
                <w:lang w:val="en-US" w:eastAsia="zh-CN"/>
              </w:rPr>
              <w:t>分</w:t>
            </w:r>
          </w:p>
        </w:tc>
      </w:tr>
      <w:tr w14:paraId="4E9F5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trPr>
        <w:tc>
          <w:tcPr>
            <w:tcW w:w="1305" w:type="dxa"/>
            <w:vMerge w:val="continue"/>
            <w:noWrap w:val="0"/>
            <w:vAlign w:val="center"/>
          </w:tcPr>
          <w:p w14:paraId="141D9A1F">
            <w:pPr>
              <w:spacing w:line="360" w:lineRule="auto"/>
              <w:ind w:firstLine="480"/>
              <w:jc w:val="center"/>
              <w:rPr>
                <w:rFonts w:hint="eastAsia" w:ascii="宋体" w:hAnsi="宋体" w:eastAsia="宋体" w:cs="宋体"/>
                <w:sz w:val="24"/>
                <w:szCs w:val="24"/>
                <w:highlight w:val="none"/>
              </w:rPr>
            </w:pPr>
          </w:p>
        </w:tc>
        <w:tc>
          <w:tcPr>
            <w:tcW w:w="1065" w:type="dxa"/>
            <w:noWrap w:val="0"/>
            <w:vAlign w:val="center"/>
          </w:tcPr>
          <w:p w14:paraId="281DB6E9">
            <w:pPr>
              <w:tabs>
                <w:tab w:val="left" w:pos="960"/>
              </w:tabs>
              <w:spacing w:line="360" w:lineRule="auto"/>
              <w:ind w:right="185" w:rightChars="84" w:firstLine="0" w:firstLineChars="0"/>
              <w:jc w:val="center"/>
              <w:rPr>
                <w:rFonts w:hint="eastAsia" w:ascii="宋体" w:hAnsi="宋体" w:eastAsia="宋体" w:cs="宋体"/>
                <w:sz w:val="24"/>
                <w:szCs w:val="24"/>
                <w:highlight w:val="none"/>
              </w:rPr>
            </w:pPr>
            <w:bookmarkStart w:id="427" w:name="OLE_LINK61"/>
            <w:r>
              <w:rPr>
                <w:rFonts w:hint="eastAsia" w:ascii="宋体" w:hAnsi="宋体" w:cs="宋体"/>
                <w:sz w:val="24"/>
                <w:szCs w:val="24"/>
                <w:highlight w:val="none"/>
              </w:rPr>
              <w:t>体系认证</w:t>
            </w:r>
            <w:bookmarkEnd w:id="427"/>
          </w:p>
        </w:tc>
        <w:tc>
          <w:tcPr>
            <w:tcW w:w="6105" w:type="dxa"/>
            <w:noWrap w:val="0"/>
            <w:vAlign w:val="center"/>
          </w:tcPr>
          <w:p w14:paraId="63457635">
            <w:pPr>
              <w:pStyle w:val="19"/>
              <w:tabs>
                <w:tab w:val="left" w:pos="343"/>
              </w:tabs>
              <w:adjustRightInd w:val="0"/>
              <w:snapToGrid w:val="0"/>
              <w:spacing w:line="360" w:lineRule="auto"/>
              <w:rPr>
                <w:rFonts w:hint="eastAsia" w:ascii="宋体" w:hAnsi="宋体" w:eastAsia="宋体" w:cs="宋体"/>
                <w:sz w:val="24"/>
                <w:szCs w:val="24"/>
                <w:highlight w:val="none"/>
                <w:lang w:val="en-US"/>
              </w:rPr>
            </w:pPr>
            <w:bookmarkStart w:id="428" w:name="OLE_LINK62"/>
            <w:r>
              <w:rPr>
                <w:rFonts w:hint="eastAsia" w:ascii="宋体" w:hAnsi="宋体" w:eastAsia="宋体" w:cs="宋体"/>
                <w:sz w:val="24"/>
                <w:szCs w:val="24"/>
                <w:highlight w:val="none"/>
                <w:lang w:val="en-US"/>
              </w:rPr>
              <w:t>响应人具有质量管理体系、职业健康安全管理体系、环境管理体系认证证书，每提供1个得1分，全部提供得3分，未提供不得分。</w:t>
            </w:r>
            <w:bookmarkEnd w:id="428"/>
          </w:p>
        </w:tc>
        <w:tc>
          <w:tcPr>
            <w:tcW w:w="1244" w:type="dxa"/>
            <w:noWrap w:val="0"/>
            <w:vAlign w:val="center"/>
          </w:tcPr>
          <w:p w14:paraId="3406104E">
            <w:pPr>
              <w:pStyle w:val="19"/>
              <w:tabs>
                <w:tab w:val="left" w:pos="343"/>
              </w:tabs>
              <w:adjustRightInd w:val="0"/>
              <w:snapToGrid w:val="0"/>
              <w:spacing w:line="360" w:lineRule="auto"/>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3分</w:t>
            </w:r>
          </w:p>
        </w:tc>
      </w:tr>
      <w:tr w14:paraId="3A2AA9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trPr>
        <w:tc>
          <w:tcPr>
            <w:tcW w:w="1305" w:type="dxa"/>
            <w:vMerge w:val="continue"/>
            <w:noWrap w:val="0"/>
            <w:vAlign w:val="center"/>
          </w:tcPr>
          <w:p w14:paraId="18C8C184">
            <w:pPr>
              <w:spacing w:line="360" w:lineRule="auto"/>
              <w:ind w:firstLine="480"/>
              <w:jc w:val="center"/>
              <w:rPr>
                <w:rFonts w:hint="eastAsia" w:ascii="宋体" w:hAnsi="宋体" w:eastAsia="宋体" w:cs="宋体"/>
                <w:sz w:val="24"/>
                <w:szCs w:val="24"/>
                <w:highlight w:val="none"/>
              </w:rPr>
            </w:pPr>
          </w:p>
        </w:tc>
        <w:tc>
          <w:tcPr>
            <w:tcW w:w="1065" w:type="dxa"/>
            <w:noWrap w:val="0"/>
            <w:vAlign w:val="center"/>
          </w:tcPr>
          <w:p w14:paraId="203F325A">
            <w:pPr>
              <w:tabs>
                <w:tab w:val="left" w:pos="960"/>
              </w:tabs>
              <w:spacing w:line="360" w:lineRule="auto"/>
              <w:ind w:right="185" w:rightChars="84" w:firstLine="0" w:firstLineChars="0"/>
              <w:jc w:val="center"/>
              <w:rPr>
                <w:rFonts w:hint="eastAsia" w:ascii="宋体" w:hAnsi="宋体" w:eastAsia="宋体" w:cs="宋体"/>
                <w:sz w:val="24"/>
                <w:szCs w:val="24"/>
                <w:highlight w:val="none"/>
                <w:lang w:val="en-US" w:eastAsia="zh-CN"/>
              </w:rPr>
            </w:pPr>
            <w:bookmarkStart w:id="429" w:name="OLE_LINK63"/>
            <w:r>
              <w:rPr>
                <w:rFonts w:hint="eastAsia" w:ascii="宋体" w:hAnsi="宋体" w:eastAsia="宋体" w:cs="宋体"/>
                <w:sz w:val="24"/>
                <w:szCs w:val="24"/>
                <w:highlight w:val="none"/>
              </w:rPr>
              <w:t>服务承诺</w:t>
            </w:r>
            <w:r>
              <w:rPr>
                <w:rFonts w:hint="eastAsia" w:ascii="宋体" w:hAnsi="宋体" w:eastAsia="宋体" w:cs="宋体"/>
                <w:sz w:val="24"/>
                <w:szCs w:val="24"/>
                <w:highlight w:val="none"/>
                <w:lang w:val="en-US" w:eastAsia="zh-CN"/>
              </w:rPr>
              <w:t>书</w:t>
            </w:r>
            <w:bookmarkEnd w:id="429"/>
          </w:p>
        </w:tc>
        <w:tc>
          <w:tcPr>
            <w:tcW w:w="6105" w:type="dxa"/>
            <w:noWrap w:val="0"/>
            <w:vAlign w:val="center"/>
          </w:tcPr>
          <w:p w14:paraId="509532A9">
            <w:pPr>
              <w:pStyle w:val="19"/>
              <w:tabs>
                <w:tab w:val="left" w:pos="343"/>
              </w:tabs>
              <w:adjustRightInd w:val="0"/>
              <w:snapToGrid w:val="0"/>
              <w:spacing w:line="360" w:lineRule="auto"/>
              <w:rPr>
                <w:rFonts w:hint="eastAsia" w:ascii="宋体" w:hAnsi="宋体" w:eastAsia="宋体" w:cs="宋体"/>
                <w:sz w:val="24"/>
                <w:szCs w:val="24"/>
                <w:highlight w:val="none"/>
              </w:rPr>
            </w:pPr>
            <w:bookmarkStart w:id="430" w:name="OLE_LINK64"/>
            <w:r>
              <w:rPr>
                <w:rFonts w:hint="eastAsia" w:ascii="宋体" w:hAnsi="宋体" w:eastAsia="宋体" w:cs="宋体"/>
                <w:sz w:val="24"/>
                <w:szCs w:val="24"/>
                <w:highlight w:val="none"/>
                <w:lang w:val="en-US"/>
              </w:rPr>
              <w:t>根据服务时间、响应程度、解决问题的能力等情况</w:t>
            </w:r>
            <w:r>
              <w:rPr>
                <w:rFonts w:hint="eastAsia" w:ascii="宋体" w:hAnsi="宋体" w:eastAsia="宋体" w:cs="宋体"/>
                <w:sz w:val="24"/>
                <w:szCs w:val="24"/>
                <w:highlight w:val="none"/>
                <w:lang w:val="en-US" w:eastAsia="zh-CN"/>
              </w:rPr>
              <w:t>进行综合</w:t>
            </w:r>
            <w:r>
              <w:rPr>
                <w:rFonts w:hint="eastAsia" w:ascii="宋体" w:hAnsi="宋体" w:eastAsia="宋体" w:cs="宋体"/>
                <w:sz w:val="24"/>
                <w:szCs w:val="24"/>
                <w:highlight w:val="none"/>
                <w:lang w:val="en-US"/>
              </w:rPr>
              <w:t>打分</w:t>
            </w:r>
            <w:r>
              <w:rPr>
                <w:rFonts w:hint="eastAsia" w:cs="宋体"/>
                <w:sz w:val="24"/>
                <w:szCs w:val="24"/>
                <w:highlight w:val="none"/>
                <w:lang w:eastAsia="zh-CN"/>
              </w:rPr>
              <w:t>。</w:t>
            </w:r>
            <w:r>
              <w:rPr>
                <w:rFonts w:hint="eastAsia" w:ascii="宋体" w:hAnsi="宋体" w:eastAsia="宋体" w:cs="宋体"/>
                <w:sz w:val="24"/>
                <w:szCs w:val="24"/>
                <w:highlight w:val="none"/>
                <w:lang w:val="en-US"/>
              </w:rPr>
              <w:t>服务承诺</w:t>
            </w:r>
            <w:r>
              <w:rPr>
                <w:rFonts w:hint="eastAsia" w:ascii="宋体" w:hAnsi="宋体" w:eastAsia="宋体" w:cs="宋体"/>
                <w:sz w:val="24"/>
                <w:szCs w:val="24"/>
                <w:highlight w:val="none"/>
                <w:lang w:val="en-US" w:eastAsia="zh-CN"/>
              </w:rPr>
              <w:t>内容齐全、完整、科学合理</w:t>
            </w:r>
            <w:r>
              <w:rPr>
                <w:rFonts w:hint="eastAsia" w:ascii="宋体" w:hAnsi="宋体" w:eastAsia="宋体" w:cs="宋体"/>
                <w:sz w:val="24"/>
                <w:szCs w:val="24"/>
                <w:highlight w:val="none"/>
                <w:lang w:val="en-US"/>
              </w:rPr>
              <w:t>的得</w:t>
            </w:r>
            <w:r>
              <w:rPr>
                <w:rFonts w:hint="eastAsia" w:cs="宋体"/>
                <w:sz w:val="24"/>
                <w:szCs w:val="24"/>
                <w:highlight w:val="none"/>
                <w:lang w:val="en-US" w:eastAsia="zh-CN"/>
              </w:rPr>
              <w:t>7</w:t>
            </w:r>
            <w:r>
              <w:rPr>
                <w:rFonts w:hint="eastAsia" w:ascii="宋体" w:hAnsi="宋体" w:eastAsia="宋体" w:cs="宋体"/>
                <w:sz w:val="24"/>
                <w:szCs w:val="24"/>
                <w:highlight w:val="none"/>
                <w:lang w:val="en-US"/>
              </w:rPr>
              <w:t>分</w:t>
            </w:r>
            <w:r>
              <w:rPr>
                <w:rFonts w:hint="eastAsia" w:cs="宋体"/>
                <w:sz w:val="24"/>
                <w:szCs w:val="24"/>
                <w:highlight w:val="none"/>
                <w:lang w:val="en-US" w:eastAsia="zh-CN"/>
              </w:rPr>
              <w:t>；</w:t>
            </w:r>
            <w:r>
              <w:rPr>
                <w:rFonts w:hint="eastAsia" w:ascii="宋体" w:hAnsi="宋体" w:eastAsia="宋体" w:cs="宋体"/>
                <w:sz w:val="24"/>
                <w:szCs w:val="24"/>
                <w:highlight w:val="none"/>
                <w:lang w:val="en-US"/>
              </w:rPr>
              <w:t>服务承诺</w:t>
            </w:r>
            <w:r>
              <w:rPr>
                <w:rFonts w:hint="eastAsia" w:ascii="宋体" w:hAnsi="宋体" w:eastAsia="宋体" w:cs="宋体"/>
                <w:sz w:val="24"/>
                <w:szCs w:val="24"/>
                <w:highlight w:val="none"/>
                <w:lang w:val="en-US" w:eastAsia="zh-CN"/>
              </w:rPr>
              <w:t>基本全面，内容基本满足项目需求</w:t>
            </w:r>
            <w:r>
              <w:rPr>
                <w:rFonts w:hint="eastAsia" w:ascii="宋体" w:hAnsi="宋体" w:eastAsia="宋体" w:cs="宋体"/>
                <w:sz w:val="24"/>
                <w:szCs w:val="24"/>
                <w:highlight w:val="none"/>
                <w:lang w:val="en-US"/>
              </w:rPr>
              <w:t>的得</w:t>
            </w:r>
            <w:r>
              <w:rPr>
                <w:rFonts w:hint="eastAsia" w:cs="宋体"/>
                <w:sz w:val="24"/>
                <w:szCs w:val="24"/>
                <w:highlight w:val="none"/>
                <w:lang w:val="en-US" w:eastAsia="zh-CN"/>
              </w:rPr>
              <w:t>4</w:t>
            </w:r>
            <w:r>
              <w:rPr>
                <w:rFonts w:hint="eastAsia" w:ascii="宋体" w:hAnsi="宋体" w:eastAsia="宋体" w:cs="宋体"/>
                <w:sz w:val="24"/>
                <w:szCs w:val="24"/>
                <w:highlight w:val="none"/>
                <w:lang w:val="en-US"/>
              </w:rPr>
              <w:t>分</w:t>
            </w:r>
            <w:r>
              <w:rPr>
                <w:rFonts w:hint="eastAsia" w:cs="宋体"/>
                <w:sz w:val="24"/>
                <w:szCs w:val="24"/>
                <w:highlight w:val="none"/>
                <w:lang w:val="en-US" w:eastAsia="zh-CN"/>
              </w:rPr>
              <w:t>；</w:t>
            </w:r>
            <w:r>
              <w:rPr>
                <w:rFonts w:hint="eastAsia" w:ascii="宋体" w:hAnsi="宋体" w:eastAsia="宋体" w:cs="宋体"/>
                <w:sz w:val="24"/>
                <w:szCs w:val="24"/>
                <w:highlight w:val="none"/>
                <w:lang w:val="en-US"/>
              </w:rPr>
              <w:t>服务承诺</w:t>
            </w:r>
            <w:r>
              <w:rPr>
                <w:rFonts w:hint="eastAsia" w:ascii="宋体" w:hAnsi="宋体" w:eastAsia="宋体" w:cs="宋体"/>
                <w:sz w:val="24"/>
                <w:szCs w:val="24"/>
                <w:highlight w:val="none"/>
                <w:lang w:val="en-US" w:eastAsia="zh-CN"/>
              </w:rPr>
              <w:t>不合理</w:t>
            </w:r>
            <w:r>
              <w:rPr>
                <w:rFonts w:hint="eastAsia" w:ascii="宋体" w:hAnsi="宋体" w:eastAsia="宋体" w:cs="宋体"/>
                <w:kern w:val="0"/>
                <w:sz w:val="24"/>
                <w:szCs w:val="24"/>
                <w:highlight w:val="none"/>
                <w:lang w:val="en-US" w:eastAsia="zh-CN"/>
              </w:rPr>
              <w:t>或内容简单</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rPr>
              <w:t>缺项不得分。</w:t>
            </w:r>
            <w:bookmarkEnd w:id="430"/>
          </w:p>
        </w:tc>
        <w:tc>
          <w:tcPr>
            <w:tcW w:w="1244" w:type="dxa"/>
            <w:noWrap w:val="0"/>
            <w:vAlign w:val="center"/>
          </w:tcPr>
          <w:p w14:paraId="4F53DA3F">
            <w:pPr>
              <w:pStyle w:val="19"/>
              <w:tabs>
                <w:tab w:val="left" w:pos="343"/>
              </w:tabs>
              <w:adjustRightInd w:val="0"/>
              <w:snapToGrid w:val="0"/>
              <w:spacing w:line="360" w:lineRule="auto"/>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7</w:t>
            </w:r>
            <w:r>
              <w:rPr>
                <w:rFonts w:hint="eastAsia" w:ascii="宋体" w:hAnsi="宋体" w:eastAsia="宋体" w:cs="宋体"/>
                <w:sz w:val="24"/>
                <w:szCs w:val="24"/>
                <w:highlight w:val="none"/>
                <w:lang w:val="en-US" w:eastAsia="zh-CN"/>
              </w:rPr>
              <w:t>分</w:t>
            </w:r>
          </w:p>
        </w:tc>
      </w:tr>
      <w:tr w14:paraId="7824BD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2370" w:type="dxa"/>
            <w:gridSpan w:val="2"/>
            <w:noWrap w:val="0"/>
            <w:vAlign w:val="center"/>
          </w:tcPr>
          <w:p w14:paraId="03FE346A">
            <w:pPr>
              <w:spacing w:line="360" w:lineRule="auto"/>
              <w:ind w:firstLine="482"/>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合计</w:t>
            </w:r>
          </w:p>
        </w:tc>
        <w:tc>
          <w:tcPr>
            <w:tcW w:w="7349" w:type="dxa"/>
            <w:gridSpan w:val="2"/>
            <w:noWrap w:val="0"/>
            <w:vAlign w:val="center"/>
          </w:tcPr>
          <w:p w14:paraId="78BC95C0">
            <w:pPr>
              <w:spacing w:line="360" w:lineRule="auto"/>
              <w:ind w:firstLine="482"/>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100分</w:t>
            </w:r>
          </w:p>
        </w:tc>
      </w:tr>
    </w:tbl>
    <w:p w14:paraId="0EAAFF7B">
      <w:pPr>
        <w:spacing w:line="360" w:lineRule="auto"/>
        <w:rPr>
          <w:rFonts w:hint="eastAsia"/>
          <w:highlight w:val="none"/>
        </w:rPr>
        <w:sectPr>
          <w:footerReference r:id="rId8" w:type="first"/>
          <w:footerReference r:id="rId7" w:type="default"/>
          <w:pgSz w:w="11901" w:h="16838"/>
          <w:pgMar w:top="1440" w:right="1080" w:bottom="1440" w:left="1080" w:header="851" w:footer="851" w:gutter="0"/>
          <w:pgNumType w:fmt="decimal" w:start="1"/>
          <w:cols w:space="720" w:num="1"/>
          <w:titlePg/>
          <w:docGrid w:linePitch="360" w:charSpace="0"/>
        </w:sectPr>
      </w:pPr>
    </w:p>
    <w:p w14:paraId="69305BC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center"/>
        <w:textAlignment w:val="auto"/>
        <w:outlineLvl w:val="0"/>
        <w:rPr>
          <w:rFonts w:hint="eastAsia" w:ascii="宋体" w:hAnsi="宋体" w:eastAsia="宋体" w:cs="宋体"/>
          <w:b/>
          <w:bCs/>
          <w:sz w:val="44"/>
          <w:szCs w:val="44"/>
          <w:lang w:val="en-US" w:eastAsia="zh-CN"/>
        </w:rPr>
      </w:pPr>
      <w:bookmarkStart w:id="431" w:name="_Toc12597"/>
      <w:bookmarkStart w:id="432" w:name="_Toc4055"/>
      <w:bookmarkStart w:id="433" w:name="_Toc23099"/>
      <w:bookmarkStart w:id="434" w:name="_Toc21026"/>
      <w:bookmarkStart w:id="435" w:name="_Toc22663"/>
      <w:bookmarkStart w:id="436" w:name="_Toc30312"/>
      <w:bookmarkStart w:id="437" w:name="_Toc28434"/>
      <w:bookmarkStart w:id="438" w:name="_Toc14529"/>
      <w:bookmarkStart w:id="439" w:name="_Toc31661"/>
      <w:bookmarkStart w:id="440" w:name="_Toc19962"/>
      <w:bookmarkStart w:id="441" w:name="_Toc510994118"/>
      <w:r>
        <w:rPr>
          <w:rFonts w:hint="eastAsia" w:ascii="宋体" w:hAnsi="宋体" w:eastAsia="宋体" w:cs="宋体"/>
          <w:b/>
          <w:bCs/>
          <w:sz w:val="44"/>
          <w:szCs w:val="44"/>
          <w:lang w:val="en-US" w:eastAsia="zh-CN"/>
        </w:rPr>
        <w:t>第五章  合同格式</w:t>
      </w:r>
      <w:bookmarkEnd w:id="431"/>
      <w:bookmarkEnd w:id="432"/>
      <w:bookmarkEnd w:id="433"/>
      <w:bookmarkEnd w:id="434"/>
      <w:bookmarkEnd w:id="435"/>
      <w:bookmarkEnd w:id="436"/>
      <w:bookmarkEnd w:id="437"/>
      <w:bookmarkEnd w:id="438"/>
      <w:bookmarkEnd w:id="439"/>
      <w:bookmarkEnd w:id="440"/>
      <w:bookmarkEnd w:id="441"/>
    </w:p>
    <w:p w14:paraId="1022F9AD">
      <w:pPr>
        <w:autoSpaceDE/>
        <w:autoSpaceDN/>
        <w:spacing w:line="360" w:lineRule="auto"/>
        <w:ind w:left="-444" w:leftChars="-202" w:right="-653" w:rightChars="-297" w:firstLine="366" w:firstLineChars="152"/>
        <w:jc w:val="center"/>
        <w:outlineLvl w:val="9"/>
        <w:rPr>
          <w:rFonts w:hint="eastAsia"/>
          <w:b/>
          <w:color w:val="000000"/>
          <w:kern w:val="2"/>
          <w:sz w:val="24"/>
          <w:szCs w:val="24"/>
          <w:lang w:val="en-US" w:bidi="ar-SA"/>
        </w:rPr>
      </w:pPr>
      <w:bookmarkStart w:id="442" w:name="_Toc316289951"/>
      <w:bookmarkStart w:id="443" w:name="_Toc22214"/>
      <w:bookmarkStart w:id="444" w:name="_Toc163"/>
      <w:bookmarkStart w:id="445" w:name="_Toc25391"/>
      <w:r>
        <w:rPr>
          <w:rFonts w:hint="eastAsia"/>
          <w:b/>
          <w:color w:val="000000"/>
          <w:kern w:val="2"/>
          <w:sz w:val="24"/>
          <w:szCs w:val="24"/>
          <w:lang w:val="en-US" w:bidi="ar-SA"/>
        </w:rPr>
        <w:t>（此合同范本仅供参考，具体以签订正式合同时为准）</w:t>
      </w:r>
      <w:bookmarkEnd w:id="442"/>
      <w:bookmarkEnd w:id="443"/>
      <w:bookmarkEnd w:id="444"/>
      <w:bookmarkEnd w:id="445"/>
    </w:p>
    <w:p w14:paraId="4F92367B">
      <w:pPr>
        <w:autoSpaceDE w:val="0"/>
        <w:autoSpaceDN w:val="0"/>
        <w:spacing w:line="360" w:lineRule="auto"/>
        <w:ind w:firstLine="470" w:firstLineChars="196"/>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rPr>
        <w:t>按《三门峡市财政局关于市本级政府采购合同备案管理工作的通知》（三财购[2021]9号）文要求，集中采购目录以外政府采购项目，原则上自</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通知书发出之日起2个工作日内与</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w:t>
      </w:r>
      <w:r>
        <w:rPr>
          <w:rFonts w:hint="eastAsia" w:eastAsia="宋体" w:cs="宋体"/>
          <w:color w:val="000000"/>
          <w:sz w:val="24"/>
          <w:szCs w:val="24"/>
          <w:lang w:val="en-US" w:eastAsia="zh-CN"/>
        </w:rPr>
        <w:t>中标</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按照采购文件确定的事项与</w:t>
      </w:r>
      <w:r>
        <w:rPr>
          <w:rFonts w:hint="eastAsia" w:eastAsia="宋体" w:cs="宋体"/>
          <w:color w:val="000000"/>
          <w:sz w:val="24"/>
          <w:szCs w:val="24"/>
          <w:lang w:val="en-US" w:eastAsia="zh-CN"/>
        </w:rPr>
        <w:t>采购</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签订政府采购合同。</w:t>
      </w:r>
    </w:p>
    <w:p w14:paraId="759FF311">
      <w:pPr>
        <w:spacing w:line="360" w:lineRule="auto"/>
        <w:ind w:firstLine="364" w:firstLineChars="152"/>
        <w:outlineLvl w:val="9"/>
        <w:rPr>
          <w:rFonts w:hint="eastAsia" w:ascii="宋体" w:hAnsi="宋体" w:eastAsia="宋体" w:cs="宋体"/>
          <w:color w:val="auto"/>
          <w:sz w:val="24"/>
          <w:szCs w:val="24"/>
          <w:highlight w:val="none"/>
        </w:rPr>
      </w:pPr>
    </w:p>
    <w:p w14:paraId="5FB88630">
      <w:pPr>
        <w:spacing w:line="360" w:lineRule="auto"/>
        <w:ind w:firstLine="364" w:firstLineChars="152"/>
        <w:outlineLvl w:val="9"/>
        <w:rPr>
          <w:rFonts w:hint="eastAsia" w:ascii="宋体" w:hAnsi="宋体" w:eastAsia="宋体" w:cs="宋体"/>
          <w:color w:val="auto"/>
          <w:sz w:val="24"/>
          <w:szCs w:val="24"/>
          <w:highlight w:val="none"/>
        </w:rPr>
      </w:pPr>
    </w:p>
    <w:p w14:paraId="2FB6BDC9">
      <w:pPr>
        <w:spacing w:line="360" w:lineRule="auto"/>
        <w:ind w:firstLine="364" w:firstLineChars="152"/>
        <w:outlineLvl w:val="9"/>
        <w:rPr>
          <w:rFonts w:hint="eastAsia" w:ascii="宋体" w:hAnsi="宋体" w:eastAsia="宋体" w:cs="宋体"/>
          <w:color w:val="auto"/>
          <w:sz w:val="24"/>
          <w:szCs w:val="24"/>
          <w:highlight w:val="none"/>
        </w:rPr>
      </w:pPr>
    </w:p>
    <w:p w14:paraId="3817A82E">
      <w:pPr>
        <w:spacing w:line="360" w:lineRule="auto"/>
        <w:ind w:firstLine="364" w:firstLineChars="152"/>
        <w:outlineLvl w:val="9"/>
        <w:rPr>
          <w:rFonts w:hint="eastAsia" w:ascii="宋体" w:hAnsi="宋体" w:eastAsia="宋体" w:cs="宋体"/>
          <w:color w:val="auto"/>
          <w:sz w:val="24"/>
          <w:szCs w:val="24"/>
          <w:highlight w:val="none"/>
        </w:rPr>
      </w:pPr>
    </w:p>
    <w:p w14:paraId="006C8D96">
      <w:pPr>
        <w:spacing w:line="360" w:lineRule="auto"/>
        <w:ind w:firstLine="364" w:firstLineChars="152"/>
        <w:outlineLvl w:val="9"/>
        <w:rPr>
          <w:rFonts w:hint="eastAsia" w:ascii="宋体" w:hAnsi="宋体" w:eastAsia="宋体" w:cs="宋体"/>
          <w:color w:val="auto"/>
          <w:sz w:val="24"/>
          <w:szCs w:val="24"/>
          <w:highlight w:val="none"/>
        </w:rPr>
      </w:pPr>
    </w:p>
    <w:p w14:paraId="61FC47C5">
      <w:pPr>
        <w:spacing w:line="360" w:lineRule="auto"/>
        <w:ind w:firstLine="364" w:firstLineChars="152"/>
        <w:outlineLvl w:val="9"/>
        <w:rPr>
          <w:rFonts w:hint="eastAsia" w:ascii="宋体" w:hAnsi="宋体" w:eastAsia="宋体" w:cs="宋体"/>
          <w:color w:val="auto"/>
          <w:sz w:val="24"/>
          <w:szCs w:val="24"/>
          <w:highlight w:val="none"/>
        </w:rPr>
      </w:pPr>
    </w:p>
    <w:p w14:paraId="3D8A4673">
      <w:pPr>
        <w:spacing w:line="360" w:lineRule="auto"/>
        <w:ind w:firstLine="364" w:firstLineChars="152"/>
        <w:outlineLvl w:val="9"/>
        <w:rPr>
          <w:rFonts w:hint="eastAsia" w:ascii="宋体" w:hAnsi="宋体" w:eastAsia="宋体" w:cs="宋体"/>
          <w:color w:val="auto"/>
          <w:sz w:val="24"/>
          <w:szCs w:val="24"/>
          <w:highlight w:val="none"/>
        </w:rPr>
      </w:pPr>
    </w:p>
    <w:p w14:paraId="2044DE3B">
      <w:pPr>
        <w:spacing w:line="360" w:lineRule="auto"/>
        <w:ind w:firstLine="364" w:firstLineChars="152"/>
        <w:outlineLvl w:val="9"/>
        <w:rPr>
          <w:rFonts w:hint="eastAsia" w:ascii="宋体" w:hAnsi="宋体" w:eastAsia="宋体" w:cs="宋体"/>
          <w:color w:val="auto"/>
          <w:sz w:val="24"/>
          <w:szCs w:val="24"/>
          <w:highlight w:val="none"/>
        </w:rPr>
      </w:pPr>
    </w:p>
    <w:p w14:paraId="50AB7795">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CADCF4F">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甲方（购买主体）: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2A2CF054">
      <w:pPr>
        <w:spacing w:line="360" w:lineRule="auto"/>
        <w:ind w:firstLine="364" w:firstLineChars="152"/>
        <w:outlineLvl w:val="9"/>
        <w:rPr>
          <w:rFonts w:hint="eastAsia" w:ascii="宋体" w:hAnsi="宋体" w:eastAsia="宋体" w:cs="宋体"/>
          <w:color w:val="auto"/>
          <w:sz w:val="24"/>
          <w:szCs w:val="24"/>
          <w:highlight w:val="none"/>
        </w:rPr>
      </w:pPr>
    </w:p>
    <w:p w14:paraId="462E53D3">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乙方（承接主体）: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35F0EE73">
      <w:pPr>
        <w:spacing w:line="360" w:lineRule="auto"/>
        <w:ind w:firstLine="364" w:firstLineChars="152"/>
        <w:outlineLvl w:val="9"/>
        <w:rPr>
          <w:rFonts w:hint="eastAsia" w:ascii="宋体" w:hAnsi="宋体" w:eastAsia="宋体" w:cs="宋体"/>
          <w:color w:val="auto"/>
          <w:sz w:val="24"/>
          <w:szCs w:val="24"/>
          <w:highlight w:val="none"/>
        </w:rPr>
      </w:pPr>
    </w:p>
    <w:p w14:paraId="6609C80B">
      <w:pPr>
        <w:spacing w:line="360" w:lineRule="auto"/>
        <w:ind w:firstLine="364" w:firstLineChars="152"/>
        <w:jc w:val="center"/>
        <w:outlineLvl w:val="9"/>
        <w:rPr>
          <w:rFonts w:hint="eastAsia" w:ascii="宋体" w:hAnsi="宋体" w:eastAsia="宋体" w:cs="宋体"/>
          <w:color w:val="auto"/>
          <w:sz w:val="24"/>
          <w:szCs w:val="24"/>
          <w:highlight w:val="none"/>
        </w:rPr>
      </w:pPr>
    </w:p>
    <w:p w14:paraId="5B2A47FF">
      <w:pPr>
        <w:spacing w:line="360" w:lineRule="auto"/>
        <w:ind w:firstLine="364" w:firstLineChars="15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7F24209">
      <w:pPr>
        <w:spacing w:line="360" w:lineRule="auto"/>
        <w:ind w:firstLine="364" w:firstLineChars="152"/>
        <w:outlineLvl w:val="9"/>
        <w:rPr>
          <w:rFonts w:hint="eastAsia" w:ascii="宋体" w:hAnsi="宋体" w:eastAsia="宋体" w:cs="宋体"/>
          <w:color w:val="auto"/>
          <w:sz w:val="24"/>
          <w:szCs w:val="24"/>
          <w:highlight w:val="none"/>
        </w:rPr>
      </w:pPr>
    </w:p>
    <w:p w14:paraId="7B5DBAF8">
      <w:pPr>
        <w:outlineLvl w:val="9"/>
        <w:rPr>
          <w:rFonts w:hint="eastAsia" w:ascii="宋体" w:hAnsi="宋体" w:eastAsia="宋体" w:cs="宋体"/>
          <w:b/>
          <w:color w:val="auto"/>
          <w:sz w:val="24"/>
          <w:szCs w:val="24"/>
          <w:highlight w:val="none"/>
        </w:rPr>
      </w:pPr>
      <w:bookmarkStart w:id="446" w:name="_Toc63238016"/>
      <w:r>
        <w:rPr>
          <w:rFonts w:hint="eastAsia" w:ascii="宋体" w:hAnsi="宋体" w:eastAsia="宋体" w:cs="宋体"/>
          <w:b/>
          <w:color w:val="auto"/>
          <w:sz w:val="24"/>
          <w:szCs w:val="24"/>
          <w:highlight w:val="none"/>
        </w:rPr>
        <w:br w:type="page"/>
      </w:r>
    </w:p>
    <w:p w14:paraId="0DF75335">
      <w:pPr>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lang w:eastAsia="zh-CN"/>
        </w:rPr>
        <w:t>服务</w:t>
      </w:r>
      <w:r>
        <w:rPr>
          <w:rFonts w:hint="eastAsia" w:ascii="宋体" w:hAnsi="宋体" w:eastAsia="宋体" w:cs="宋体"/>
          <w:b/>
          <w:color w:val="auto"/>
          <w:sz w:val="32"/>
          <w:szCs w:val="32"/>
          <w:highlight w:val="none"/>
        </w:rPr>
        <w:t>合同</w:t>
      </w:r>
      <w:bookmarkEnd w:id="446"/>
    </w:p>
    <w:p w14:paraId="7A7FAF79">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p w14:paraId="381F3167">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甲方（购买主体):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11C9ED71">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63850675">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05020ADB">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乙方（承接主体):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6CDF0688">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4AB322AA">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w:t>
      </w:r>
    </w:p>
    <w:p w14:paraId="0819A3FC">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》、《政府采购法》为保证政府购买服务质量，明确双方的权利义务，经甲乙双方协商，本着平等互利和诚实信用的原则，双方一致同意，签订本合同。本合同为总价合同。</w:t>
      </w:r>
    </w:p>
    <w:p w14:paraId="7BAD7537">
      <w:pPr>
        <w:spacing w:line="360" w:lineRule="auto"/>
        <w:ind w:firstLine="364" w:firstLineChars="152"/>
        <w:outlineLvl w:val="9"/>
        <w:rPr>
          <w:rFonts w:hint="eastAsia" w:ascii="宋体" w:hAnsi="宋体" w:eastAsia="宋体" w:cs="宋体"/>
          <w:color w:val="auto"/>
          <w:sz w:val="24"/>
          <w:szCs w:val="24"/>
          <w:highlight w:val="none"/>
        </w:rPr>
      </w:pPr>
      <w:bookmarkStart w:id="447" w:name="_Toc27414"/>
      <w:bookmarkStart w:id="448" w:name="_Toc26695"/>
      <w:bookmarkStart w:id="449" w:name="_Toc30334"/>
      <w:r>
        <w:rPr>
          <w:rFonts w:hint="eastAsia" w:ascii="宋体" w:hAnsi="宋体" w:eastAsia="宋体" w:cs="宋体"/>
          <w:color w:val="auto"/>
          <w:sz w:val="24"/>
          <w:szCs w:val="24"/>
          <w:highlight w:val="none"/>
        </w:rPr>
        <w:t>第一条 服务项目内容</w:t>
      </w:r>
      <w:bookmarkEnd w:id="447"/>
      <w:bookmarkEnd w:id="448"/>
      <w:bookmarkEnd w:id="449"/>
    </w:p>
    <w:p w14:paraId="3CE98EDD">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1、甲方通过    方式确定由乙方提供以下服务：      。</w:t>
      </w:r>
    </w:p>
    <w:p w14:paraId="082859CC">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2、服务内容及数量（可另附明细附件）：            </w:t>
      </w:r>
    </w:p>
    <w:p w14:paraId="28759E73">
      <w:pPr>
        <w:spacing w:line="360" w:lineRule="auto"/>
        <w:ind w:firstLine="364" w:firstLineChars="152"/>
        <w:outlineLvl w:val="9"/>
        <w:rPr>
          <w:rFonts w:hint="eastAsia" w:ascii="宋体" w:hAnsi="宋体" w:eastAsia="宋体" w:cs="宋体"/>
          <w:color w:val="auto"/>
          <w:sz w:val="24"/>
          <w:szCs w:val="24"/>
          <w:highlight w:val="none"/>
        </w:rPr>
      </w:pPr>
      <w:bookmarkStart w:id="450" w:name="_Toc23470"/>
      <w:r>
        <w:rPr>
          <w:rFonts w:hint="eastAsia" w:ascii="宋体" w:hAnsi="宋体" w:eastAsia="宋体" w:cs="宋体"/>
          <w:color w:val="auto"/>
          <w:sz w:val="24"/>
          <w:szCs w:val="24"/>
          <w:highlight w:val="none"/>
        </w:rPr>
        <w:t>3、服务地点：                 。</w:t>
      </w:r>
      <w:bookmarkEnd w:id="450"/>
    </w:p>
    <w:p w14:paraId="1D5FE272">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D0B8EF9">
      <w:pPr>
        <w:spacing w:line="360" w:lineRule="auto"/>
        <w:ind w:firstLine="364" w:firstLineChars="152"/>
        <w:outlineLvl w:val="9"/>
        <w:rPr>
          <w:rFonts w:hint="eastAsia" w:ascii="宋体" w:hAnsi="宋体" w:eastAsia="宋体" w:cs="宋体"/>
          <w:color w:val="auto"/>
          <w:sz w:val="24"/>
          <w:szCs w:val="24"/>
          <w:highlight w:val="none"/>
        </w:rPr>
      </w:pPr>
      <w:bookmarkStart w:id="451" w:name="_Toc18820"/>
      <w:bookmarkStart w:id="452" w:name="_Toc18179"/>
      <w:bookmarkStart w:id="453" w:name="_Toc19754"/>
      <w:r>
        <w:rPr>
          <w:rFonts w:hint="eastAsia" w:ascii="宋体" w:hAnsi="宋体" w:eastAsia="宋体" w:cs="宋体"/>
          <w:color w:val="auto"/>
          <w:sz w:val="24"/>
          <w:szCs w:val="24"/>
          <w:highlight w:val="none"/>
        </w:rPr>
        <w:t>第二条 服务项目质量标准和要求（可另附明细附件)</w:t>
      </w:r>
      <w:bookmarkEnd w:id="451"/>
      <w:bookmarkEnd w:id="452"/>
      <w:bookmarkEnd w:id="453"/>
    </w:p>
    <w:p w14:paraId="72572205">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73C7F56C">
      <w:pPr>
        <w:spacing w:line="360" w:lineRule="auto"/>
        <w:ind w:firstLine="364" w:firstLineChars="152"/>
        <w:outlineLvl w:val="9"/>
        <w:rPr>
          <w:rFonts w:hint="eastAsia" w:ascii="宋体" w:hAnsi="宋体" w:eastAsia="宋体" w:cs="宋体"/>
          <w:color w:val="auto"/>
          <w:sz w:val="24"/>
          <w:szCs w:val="24"/>
          <w:highlight w:val="none"/>
        </w:rPr>
      </w:pPr>
      <w:bookmarkStart w:id="454" w:name="_Toc6958"/>
      <w:bookmarkStart w:id="455" w:name="_Toc15496"/>
      <w:bookmarkStart w:id="456" w:name="_Toc21336"/>
      <w:r>
        <w:rPr>
          <w:rFonts w:hint="eastAsia" w:ascii="宋体" w:hAnsi="宋体" w:eastAsia="宋体" w:cs="宋体"/>
          <w:color w:val="auto"/>
          <w:sz w:val="24"/>
          <w:szCs w:val="24"/>
          <w:highlight w:val="none"/>
        </w:rPr>
        <w:t>第三条 合同金额及报价明细</w:t>
      </w:r>
      <w:bookmarkEnd w:id="454"/>
      <w:bookmarkEnd w:id="455"/>
      <w:bookmarkEnd w:id="456"/>
    </w:p>
    <w:p w14:paraId="4F237ED5">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1、本合同服务费用总金额为人民币（大写）：  元，(小写)     元。</w:t>
      </w:r>
    </w:p>
    <w:p w14:paraId="79FD2DD2">
      <w:pPr>
        <w:spacing w:line="360" w:lineRule="auto"/>
        <w:ind w:firstLine="364" w:firstLineChars="152"/>
        <w:outlineLvl w:val="9"/>
        <w:rPr>
          <w:rFonts w:hint="eastAsia" w:ascii="宋体" w:hAnsi="宋体" w:eastAsia="宋体" w:cs="宋体"/>
          <w:color w:val="auto"/>
          <w:sz w:val="24"/>
          <w:szCs w:val="24"/>
          <w:highlight w:val="none"/>
        </w:rPr>
      </w:pPr>
      <w:bookmarkStart w:id="457" w:name="_Toc23774"/>
      <w:r>
        <w:rPr>
          <w:rFonts w:hint="eastAsia" w:ascii="宋体" w:hAnsi="宋体" w:eastAsia="宋体" w:cs="宋体"/>
          <w:color w:val="auto"/>
          <w:sz w:val="24"/>
          <w:szCs w:val="24"/>
          <w:highlight w:val="none"/>
        </w:rPr>
        <w:t>2、乙方开户名称：</w:t>
      </w:r>
      <w:bookmarkEnd w:id="457"/>
    </w:p>
    <w:p w14:paraId="3E62C7FF">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w:t>
      </w:r>
    </w:p>
    <w:p w14:paraId="5955585B">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银行帐号：       </w:t>
      </w:r>
    </w:p>
    <w:p w14:paraId="74917AAE">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付款方式（根据有关资金管理规定和服务类型选择以下任一种付款方式）</w:t>
      </w:r>
    </w:p>
    <w:p w14:paraId="31ACC9A0">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甲方以□国库直接支付 □国库授权支付 □单位资金转账支付方式付款（在□内划√）。</w:t>
      </w:r>
    </w:p>
    <w:p w14:paraId="061427E2">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甲方以下述第   项方式支付合同款项。</w:t>
      </w:r>
    </w:p>
    <w:p w14:paraId="0C01264A">
      <w:pPr>
        <w:spacing w:line="360" w:lineRule="auto"/>
        <w:ind w:firstLine="364" w:firstLineChars="152"/>
        <w:outlineLvl w:val="9"/>
        <w:rPr>
          <w:rFonts w:hint="eastAsia" w:ascii="宋体" w:hAnsi="宋体" w:eastAsia="宋体" w:cs="宋体"/>
          <w:color w:val="auto"/>
          <w:sz w:val="24"/>
          <w:szCs w:val="24"/>
          <w:highlight w:val="none"/>
        </w:rPr>
      </w:pPr>
      <w:bookmarkStart w:id="458" w:name="_Toc17114"/>
      <w:r>
        <w:rPr>
          <w:rFonts w:hint="eastAsia" w:ascii="宋体" w:hAnsi="宋体" w:eastAsia="宋体" w:cs="宋体"/>
          <w:color w:val="auto"/>
          <w:sz w:val="24"/>
          <w:szCs w:val="24"/>
          <w:highlight w:val="none"/>
        </w:rPr>
        <w:t>1、一次性付款：</w:t>
      </w:r>
      <w:bookmarkEnd w:id="458"/>
    </w:p>
    <w:p w14:paraId="01A12A2B">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乙方履约完毕后且甲方按照本合同第5条规定验收合格后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日内一次性支付全部服务费。</w:t>
      </w:r>
    </w:p>
    <w:p w14:paraId="0DA2DAD7">
      <w:pPr>
        <w:spacing w:line="360" w:lineRule="auto"/>
        <w:ind w:firstLine="364" w:firstLineChars="152"/>
        <w:outlineLvl w:val="9"/>
        <w:rPr>
          <w:rFonts w:hint="eastAsia" w:ascii="宋体" w:hAnsi="宋体" w:eastAsia="宋体" w:cs="宋体"/>
          <w:color w:val="auto"/>
          <w:sz w:val="24"/>
          <w:szCs w:val="24"/>
          <w:highlight w:val="none"/>
        </w:rPr>
      </w:pPr>
      <w:bookmarkStart w:id="459" w:name="_Toc7905"/>
      <w:r>
        <w:rPr>
          <w:rFonts w:hint="eastAsia" w:ascii="宋体" w:hAnsi="宋体" w:eastAsia="宋体" w:cs="宋体"/>
          <w:color w:val="auto"/>
          <w:sz w:val="24"/>
          <w:szCs w:val="24"/>
          <w:highlight w:val="none"/>
        </w:rPr>
        <w:t>2、分期支付：</w:t>
      </w:r>
      <w:bookmarkEnd w:id="459"/>
    </w:p>
    <w:p w14:paraId="7FAA181D">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(1)按年/按季度/按月支付等额的服务费；</w:t>
      </w:r>
    </w:p>
    <w:p w14:paraId="341D2D12">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(2)本合同签订后  日内，甲方向乙方支付  元（或服务费总额的  %)；在交付服务成果并经验收合格后，支付服务费  元（或服务费总额的  %)。</w:t>
      </w:r>
    </w:p>
    <w:p w14:paraId="0F44B8C8">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(3)按本合同项下的项目进度支付服务费（应根据项目特点具体约定,以下阶段支付仅为参考）：</w:t>
      </w:r>
    </w:p>
    <w:p w14:paraId="6A95E2B0">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1)乙方服务人员到达服务地点并提交服务实施方案后 日内，甲方将总服务费的 %支付给乙方；</w:t>
      </w:r>
    </w:p>
    <w:p w14:paraId="1904147C">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2)第二次付款为总服务费的 %,甲方在乙方提交服务阶段报告及其它文件,且该报告及相关文件符合本合同要求并经甲方验收后 日内付给乙方；</w:t>
      </w:r>
    </w:p>
    <w:p w14:paraId="3D969049">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3)最后一次付款为总服务费的  %，甲方应在乙方完全履行合同，递交服务总报告及相关文件资料并经甲方验收完毕日内付给乙方。</w:t>
      </w:r>
    </w:p>
    <w:p w14:paraId="3E02C358">
      <w:pPr>
        <w:spacing w:line="360" w:lineRule="auto"/>
        <w:ind w:firstLine="364" w:firstLineChars="152"/>
        <w:outlineLvl w:val="9"/>
        <w:rPr>
          <w:rFonts w:hint="eastAsia" w:ascii="宋体" w:hAnsi="宋体" w:eastAsia="宋体" w:cs="宋体"/>
          <w:color w:val="auto"/>
          <w:sz w:val="24"/>
          <w:szCs w:val="24"/>
          <w:highlight w:val="none"/>
        </w:rPr>
      </w:pPr>
      <w:bookmarkStart w:id="460" w:name="_Toc30728"/>
      <w:bookmarkStart w:id="461" w:name="_Toc12604"/>
      <w:bookmarkStart w:id="462" w:name="_Toc18814"/>
      <w:r>
        <w:rPr>
          <w:rFonts w:hint="eastAsia" w:ascii="宋体" w:hAnsi="宋体" w:eastAsia="宋体" w:cs="宋体"/>
          <w:color w:val="auto"/>
          <w:sz w:val="24"/>
          <w:szCs w:val="24"/>
          <w:highlight w:val="none"/>
        </w:rPr>
        <w:t>第五条 验收方及验收标准</w:t>
      </w:r>
      <w:bookmarkEnd w:id="460"/>
      <w:bookmarkEnd w:id="461"/>
      <w:bookmarkEnd w:id="462"/>
    </w:p>
    <w:p w14:paraId="61ACC332">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1、甲方或甲方委托的其他机构应及时对乙方提供的服务进行验收。验收时乙方应派员参加，共同对验收结果进行确认，并承担相关责任。</w:t>
      </w:r>
    </w:p>
    <w:p w14:paraId="1AC0E5F0">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2、验收程序及标准（可另附明细附件)：            </w:t>
      </w:r>
    </w:p>
    <w:p w14:paraId="27EE6509">
      <w:pPr>
        <w:spacing w:line="360" w:lineRule="auto"/>
        <w:ind w:firstLine="364" w:firstLineChars="152"/>
        <w:outlineLvl w:val="9"/>
        <w:rPr>
          <w:rFonts w:hint="eastAsia" w:ascii="宋体" w:hAnsi="宋体" w:eastAsia="宋体" w:cs="宋体"/>
          <w:color w:val="auto"/>
          <w:sz w:val="24"/>
          <w:szCs w:val="24"/>
          <w:highlight w:val="none"/>
        </w:rPr>
      </w:pPr>
      <w:bookmarkStart w:id="463" w:name="_Toc25389"/>
      <w:bookmarkStart w:id="464" w:name="_Toc8016"/>
      <w:bookmarkStart w:id="465" w:name="_Toc19548"/>
      <w:r>
        <w:rPr>
          <w:rFonts w:hint="eastAsia" w:ascii="宋体" w:hAnsi="宋体" w:eastAsia="宋体" w:cs="宋体"/>
          <w:color w:val="auto"/>
          <w:sz w:val="24"/>
          <w:szCs w:val="24"/>
          <w:highlight w:val="none"/>
        </w:rPr>
        <w:t>第六条 甲方的权利和义务</w:t>
      </w:r>
      <w:bookmarkEnd w:id="463"/>
      <w:bookmarkEnd w:id="464"/>
      <w:bookmarkEnd w:id="465"/>
    </w:p>
    <w:p w14:paraId="5321E944">
      <w:pPr>
        <w:spacing w:line="360" w:lineRule="auto"/>
        <w:ind w:firstLine="364" w:firstLineChars="152"/>
        <w:outlineLvl w:val="9"/>
        <w:rPr>
          <w:rFonts w:hint="eastAsia" w:ascii="宋体" w:hAnsi="宋体" w:eastAsia="宋体" w:cs="宋体"/>
          <w:color w:val="auto"/>
          <w:sz w:val="24"/>
          <w:szCs w:val="24"/>
          <w:highlight w:val="none"/>
        </w:rPr>
      </w:pPr>
      <w:bookmarkStart w:id="466" w:name="_Toc25074"/>
      <w:r>
        <w:rPr>
          <w:rFonts w:hint="eastAsia" w:ascii="宋体" w:hAnsi="宋体" w:eastAsia="宋体" w:cs="宋体"/>
          <w:color w:val="auto"/>
          <w:sz w:val="24"/>
          <w:szCs w:val="24"/>
          <w:highlight w:val="none"/>
        </w:rPr>
        <w:t>(一）甲方的权利</w:t>
      </w:r>
      <w:bookmarkEnd w:id="466"/>
    </w:p>
    <w:p w14:paraId="2BB47C94">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1、甲方有权随时向乙方了解项目进度，并要求乙方提供项目相关资料。</w:t>
      </w:r>
    </w:p>
    <w:p w14:paraId="7864A400">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2、甲方有权对项目资金使用情况进行监督、检查，并要求乙方提供相关资料。</w:t>
      </w:r>
    </w:p>
    <w:p w14:paraId="03D12687">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4BCE6675">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4、甲方有权在乙方履行合同过程中出现损害或可能损害公共利益、公共安全情形时终止本合同。</w:t>
      </w:r>
    </w:p>
    <w:p w14:paraId="04DEC75F">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5、甲方有权根据国家政策或法律法规的变动对服务项目的需求标准和质量要求作出相应变动或者取消项目。</w:t>
      </w:r>
    </w:p>
    <w:p w14:paraId="27A67A6E">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6、甲方有权将乙方履行合同情况及不符合政府购买服务管理规定情况，向相关部门报告并纳入不良信用记录、年检（报）、评估、执法等监管体系中。</w:t>
      </w:r>
    </w:p>
    <w:p w14:paraId="2E83915C">
      <w:pPr>
        <w:spacing w:line="360" w:lineRule="auto"/>
        <w:ind w:firstLine="364" w:firstLineChars="152"/>
        <w:outlineLvl w:val="9"/>
        <w:rPr>
          <w:rFonts w:hint="eastAsia" w:ascii="宋体" w:hAnsi="宋体" w:eastAsia="宋体" w:cs="宋体"/>
          <w:color w:val="auto"/>
          <w:sz w:val="24"/>
          <w:szCs w:val="24"/>
          <w:highlight w:val="none"/>
        </w:rPr>
      </w:pPr>
      <w:bookmarkStart w:id="467" w:name="_Toc16010"/>
      <w:r>
        <w:rPr>
          <w:rFonts w:hint="eastAsia" w:ascii="宋体" w:hAnsi="宋体" w:eastAsia="宋体" w:cs="宋体"/>
          <w:color w:val="auto"/>
          <w:sz w:val="24"/>
          <w:szCs w:val="24"/>
          <w:highlight w:val="none"/>
        </w:rPr>
        <w:t>(二）甲方的义务</w:t>
      </w:r>
      <w:bookmarkEnd w:id="467"/>
    </w:p>
    <w:p w14:paraId="7214B065">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1、甲方应及时向乙方提供与履行本合同相关的所有必须的文件、资料。</w:t>
      </w:r>
    </w:p>
    <w:p w14:paraId="6B93C103">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2、甲方应为乙方履行本合同过程中与相关政府部门及其他第三方的沟通、协调提供必要的协助。</w:t>
      </w:r>
    </w:p>
    <w:p w14:paraId="5988072C">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3、甲方应按照合同约定支付服务费用。</w:t>
      </w:r>
    </w:p>
    <w:p w14:paraId="6D0CF856">
      <w:pPr>
        <w:spacing w:line="360" w:lineRule="auto"/>
        <w:ind w:firstLine="364" w:firstLineChars="152"/>
        <w:outlineLvl w:val="9"/>
        <w:rPr>
          <w:rFonts w:hint="eastAsia" w:ascii="宋体" w:hAnsi="宋体" w:eastAsia="宋体" w:cs="宋体"/>
          <w:color w:val="auto"/>
          <w:sz w:val="24"/>
          <w:szCs w:val="24"/>
          <w:highlight w:val="none"/>
        </w:rPr>
      </w:pPr>
      <w:bookmarkStart w:id="468" w:name="_Toc7983"/>
      <w:bookmarkStart w:id="469" w:name="_Toc10194"/>
      <w:bookmarkStart w:id="470" w:name="_Toc4467"/>
      <w:r>
        <w:rPr>
          <w:rFonts w:hint="eastAsia" w:ascii="宋体" w:hAnsi="宋体" w:eastAsia="宋体" w:cs="宋体"/>
          <w:color w:val="auto"/>
          <w:sz w:val="24"/>
          <w:szCs w:val="24"/>
          <w:highlight w:val="none"/>
        </w:rPr>
        <w:t>第七条 乙方的权利和义务</w:t>
      </w:r>
      <w:bookmarkEnd w:id="468"/>
      <w:bookmarkEnd w:id="469"/>
      <w:bookmarkEnd w:id="470"/>
    </w:p>
    <w:p w14:paraId="1C52806C">
      <w:pPr>
        <w:spacing w:line="360" w:lineRule="auto"/>
        <w:ind w:firstLine="364" w:firstLineChars="152"/>
        <w:outlineLvl w:val="9"/>
        <w:rPr>
          <w:rFonts w:hint="eastAsia" w:ascii="宋体" w:hAnsi="宋体" w:eastAsia="宋体" w:cs="宋体"/>
          <w:color w:val="auto"/>
          <w:sz w:val="24"/>
          <w:szCs w:val="24"/>
          <w:highlight w:val="none"/>
        </w:rPr>
      </w:pPr>
      <w:bookmarkStart w:id="471" w:name="_Toc7190"/>
      <w:r>
        <w:rPr>
          <w:rFonts w:hint="eastAsia" w:ascii="宋体" w:hAnsi="宋体" w:eastAsia="宋体" w:cs="宋体"/>
          <w:color w:val="auto"/>
          <w:sz w:val="24"/>
          <w:szCs w:val="24"/>
          <w:highlight w:val="none"/>
        </w:rPr>
        <w:t>(一）乙方的权利</w:t>
      </w:r>
      <w:bookmarkEnd w:id="471"/>
    </w:p>
    <w:p w14:paraId="42CC351F">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1、乙方有权按照本合同约定向甲方收取服务费用。</w:t>
      </w:r>
    </w:p>
    <w:p w14:paraId="016B483D">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2、乙方有权自甲方处获得与提供本合同项下服务相关的所有必须的文件、资料。</w:t>
      </w:r>
    </w:p>
    <w:p w14:paraId="290087DB">
      <w:pPr>
        <w:spacing w:line="360" w:lineRule="auto"/>
        <w:ind w:firstLine="364" w:firstLineChars="152"/>
        <w:outlineLvl w:val="9"/>
        <w:rPr>
          <w:rFonts w:hint="eastAsia" w:ascii="宋体" w:hAnsi="宋体" w:eastAsia="宋体" w:cs="宋体"/>
          <w:color w:val="auto"/>
          <w:sz w:val="24"/>
          <w:szCs w:val="24"/>
          <w:highlight w:val="none"/>
        </w:rPr>
      </w:pPr>
      <w:bookmarkStart w:id="472" w:name="_Toc31171"/>
      <w:r>
        <w:rPr>
          <w:rFonts w:hint="eastAsia" w:ascii="宋体" w:hAnsi="宋体" w:eastAsia="宋体" w:cs="宋体"/>
          <w:color w:val="auto"/>
          <w:sz w:val="24"/>
          <w:szCs w:val="24"/>
          <w:highlight w:val="none"/>
        </w:rPr>
        <w:t>(二）乙方的义务</w:t>
      </w:r>
      <w:bookmarkEnd w:id="472"/>
    </w:p>
    <w:p w14:paraId="3A2B8FF0">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1、乙方应配备具有相应资质、特定经验的工作人员负责项目实施，按照本合同约定的标准、要求和时间完成项目。</w:t>
      </w:r>
    </w:p>
    <w:p w14:paraId="7208F3EF">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2、乙方不得以任何理由将本合同项下的服务项目转包给第三方承担。</w:t>
      </w:r>
    </w:p>
    <w:p w14:paraId="2FE742E1">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3、乙方应全面履行本项目实施过程中的相关安全管理职责，因乙方未尽到管理职责发生安全事故的，由乙方承担相应的法律责任。</w:t>
      </w:r>
    </w:p>
    <w:p w14:paraId="44A8D04E">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4、乙方承诺根据本合同提供的服务及相关的软件和技术资料，均已取得有关知识产权的权利人的合法授权。如发生涉及到专利权、著作权、商标权等争议，乙方负责处理并承担由此引起的全部法律及经济责任。</w:t>
      </w:r>
    </w:p>
    <w:p w14:paraId="289081E2">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5、乙方应接受并配合甲方或甲方组织的对本合同履行情况的监督与检查，对于甲方指出的问题，应及时作出合理解释或予以纠正。</w:t>
      </w:r>
    </w:p>
    <w:p w14:paraId="7B0CF99D">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6、乙方应对项目资金进行规范的财务管理和会计核算，加强自身监督，确保资金规范管理和使用。</w:t>
      </w:r>
    </w:p>
    <w:p w14:paraId="07117FA3">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7、乙方应建立健全财务管理与报告制度，按要求向甲方提供资金的使用情况、项目执行情况、成果总结等材料，并配合甲方及甲方组织的监督检查或绩效评价。</w:t>
      </w:r>
    </w:p>
    <w:p w14:paraId="5FC59428">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518C83A5">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9、项目交付后，乙方应无条件返还甲方向其提供的文件、资料并向甲方移交项目资料，同时乙方应当自留一份完整的项目档案并予以妥善保存。</w:t>
      </w:r>
    </w:p>
    <w:p w14:paraId="1F441C10">
      <w:pPr>
        <w:spacing w:line="360" w:lineRule="auto"/>
        <w:ind w:firstLine="364" w:firstLineChars="152"/>
        <w:outlineLvl w:val="9"/>
        <w:rPr>
          <w:rFonts w:hint="eastAsia" w:ascii="宋体" w:hAnsi="宋体" w:eastAsia="宋体" w:cs="宋体"/>
          <w:color w:val="auto"/>
          <w:sz w:val="24"/>
          <w:szCs w:val="24"/>
          <w:highlight w:val="none"/>
        </w:rPr>
      </w:pPr>
      <w:bookmarkStart w:id="473" w:name="_Toc229"/>
      <w:bookmarkStart w:id="474" w:name="_Toc4333"/>
      <w:bookmarkStart w:id="475" w:name="_Toc6062"/>
      <w:r>
        <w:rPr>
          <w:rFonts w:hint="eastAsia" w:ascii="宋体" w:hAnsi="宋体" w:eastAsia="宋体" w:cs="宋体"/>
          <w:color w:val="auto"/>
          <w:sz w:val="24"/>
          <w:szCs w:val="24"/>
          <w:highlight w:val="none"/>
        </w:rPr>
        <w:t>第八条 违约责任</w:t>
      </w:r>
      <w:bookmarkEnd w:id="473"/>
      <w:bookmarkEnd w:id="474"/>
      <w:bookmarkEnd w:id="475"/>
    </w:p>
    <w:p w14:paraId="77AF4713">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在本合同履行过程中，双方因违约或造成对方经济、社会效益等损失的应当赔偿。</w:t>
      </w:r>
    </w:p>
    <w:p w14:paraId="1ECF95D3">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1、甲方无正当理由拒绝接收服务，到期拒付服务费的，甲方向乙方偿付本合同总服务费  %的违约金。甲方逾期付款的，则每日按逾期金额的  %向乙方偿付违约金。</w:t>
      </w:r>
    </w:p>
    <w:p w14:paraId="5F2248EA">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2、乙方提供的服务不符合本项目相关文件和本合同规定的，甲方有权拒收，并且乙方须向甲方支付本合同总服务费  %的违约金。</w:t>
      </w:r>
    </w:p>
    <w:p w14:paraId="7E4412A1">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3、乙方未能按照本合同约定时间提供服务或完成约定的项目服务内容的，从逾期之日起每日按本合同总服务费  %的数额向甲方支付违约金；逾期  日以上的，甲方有权终止合同，由此造成的甲方经济损失由乙方承担。</w:t>
      </w:r>
    </w:p>
    <w:p w14:paraId="72A0C746">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4、未经甲方同意，乙方不得擅自将本合同服务转包第三方承担。如擅自转包，则乙方应支付给甲方本合同总服务费  %的违约金。</w:t>
      </w:r>
    </w:p>
    <w:p w14:paraId="5D419B4A">
      <w:pPr>
        <w:spacing w:line="360" w:lineRule="auto"/>
        <w:ind w:firstLine="364" w:firstLineChars="152"/>
        <w:outlineLvl w:val="9"/>
        <w:rPr>
          <w:rFonts w:hint="eastAsia" w:ascii="宋体" w:hAnsi="宋体" w:eastAsia="宋体" w:cs="宋体"/>
          <w:color w:val="auto"/>
          <w:sz w:val="24"/>
          <w:szCs w:val="24"/>
          <w:highlight w:val="none"/>
        </w:rPr>
      </w:pPr>
      <w:bookmarkStart w:id="476" w:name="_Toc15"/>
      <w:r>
        <w:rPr>
          <w:rFonts w:hint="eastAsia" w:ascii="宋体" w:hAnsi="宋体" w:eastAsia="宋体" w:cs="宋体"/>
          <w:color w:val="auto"/>
          <w:sz w:val="24"/>
          <w:szCs w:val="24"/>
          <w:highlight w:val="none"/>
        </w:rPr>
        <w:t>5、其他违约责任按《</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》处理。</w:t>
      </w:r>
      <w:bookmarkEnd w:id="476"/>
    </w:p>
    <w:p w14:paraId="1060BCFA">
      <w:pPr>
        <w:spacing w:line="360" w:lineRule="auto"/>
        <w:ind w:firstLine="364" w:firstLineChars="152"/>
        <w:outlineLvl w:val="9"/>
        <w:rPr>
          <w:rFonts w:hint="eastAsia" w:ascii="宋体" w:hAnsi="宋体" w:eastAsia="宋体" w:cs="宋体"/>
          <w:color w:val="auto"/>
          <w:sz w:val="24"/>
          <w:szCs w:val="24"/>
          <w:highlight w:val="none"/>
        </w:rPr>
      </w:pPr>
      <w:bookmarkStart w:id="477" w:name="_Toc1334"/>
      <w:bookmarkStart w:id="478" w:name="_Toc7549"/>
      <w:bookmarkStart w:id="479" w:name="_Toc4495"/>
      <w:r>
        <w:rPr>
          <w:rFonts w:hint="eastAsia" w:ascii="宋体" w:hAnsi="宋体" w:eastAsia="宋体" w:cs="宋体"/>
          <w:color w:val="auto"/>
          <w:sz w:val="24"/>
          <w:szCs w:val="24"/>
          <w:highlight w:val="none"/>
        </w:rPr>
        <w:t>第九条 知识产权归属</w:t>
      </w:r>
      <w:bookmarkEnd w:id="477"/>
      <w:bookmarkEnd w:id="478"/>
      <w:bookmarkEnd w:id="479"/>
    </w:p>
    <w:p w14:paraId="3CF9DD4F">
      <w:pPr>
        <w:spacing w:line="360" w:lineRule="auto"/>
        <w:ind w:firstLine="364" w:firstLineChars="152"/>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4A7BD8E6">
      <w:pPr>
        <w:spacing w:line="360" w:lineRule="auto"/>
        <w:ind w:firstLine="364" w:firstLineChars="152"/>
        <w:outlineLvl w:val="9"/>
        <w:rPr>
          <w:rFonts w:hint="eastAsia" w:ascii="宋体" w:hAnsi="宋体" w:eastAsia="宋体" w:cs="宋体"/>
          <w:color w:val="auto"/>
          <w:sz w:val="24"/>
          <w:szCs w:val="24"/>
          <w:highlight w:val="none"/>
        </w:rPr>
      </w:pPr>
      <w:bookmarkStart w:id="480" w:name="_Toc27852"/>
      <w:bookmarkStart w:id="481" w:name="_Toc32508"/>
      <w:bookmarkStart w:id="482" w:name="_Toc20912"/>
      <w:r>
        <w:rPr>
          <w:rFonts w:hint="eastAsia" w:ascii="宋体" w:hAnsi="宋体" w:eastAsia="宋体" w:cs="宋体"/>
          <w:color w:val="auto"/>
          <w:sz w:val="24"/>
          <w:szCs w:val="24"/>
          <w:highlight w:val="none"/>
        </w:rPr>
        <w:t>第十条 保密条款</w:t>
      </w:r>
      <w:bookmarkEnd w:id="480"/>
      <w:bookmarkEnd w:id="481"/>
      <w:bookmarkEnd w:id="482"/>
    </w:p>
    <w:p w14:paraId="0C202A94">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00F7C1E3">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40DEF90E">
      <w:pPr>
        <w:spacing w:line="360" w:lineRule="auto"/>
        <w:ind w:firstLine="364" w:firstLineChars="152"/>
        <w:outlineLvl w:val="9"/>
        <w:rPr>
          <w:rFonts w:hint="eastAsia" w:ascii="宋体" w:hAnsi="宋体" w:eastAsia="宋体" w:cs="宋体"/>
          <w:color w:val="auto"/>
          <w:sz w:val="24"/>
          <w:szCs w:val="24"/>
          <w:highlight w:val="none"/>
        </w:rPr>
      </w:pPr>
      <w:bookmarkStart w:id="483" w:name="_Toc17622"/>
      <w:bookmarkStart w:id="484" w:name="_Toc22002"/>
      <w:bookmarkStart w:id="485" w:name="_Toc21205"/>
      <w:r>
        <w:rPr>
          <w:rFonts w:hint="eastAsia" w:ascii="宋体" w:hAnsi="宋体" w:eastAsia="宋体" w:cs="宋体"/>
          <w:color w:val="auto"/>
          <w:sz w:val="24"/>
          <w:szCs w:val="24"/>
          <w:highlight w:val="none"/>
        </w:rPr>
        <w:t>第十一条 争议的解决</w:t>
      </w:r>
      <w:bookmarkEnd w:id="483"/>
      <w:bookmarkEnd w:id="484"/>
      <w:bookmarkEnd w:id="485"/>
    </w:p>
    <w:p w14:paraId="0A76ED42">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本合同在履行过程中发生的任何争议，如双方不能通过友好协商解决，通过甲方所在地有管辖权的人民法院诉讼处理。</w:t>
      </w:r>
    </w:p>
    <w:p w14:paraId="0BF8603F">
      <w:pPr>
        <w:spacing w:line="360" w:lineRule="auto"/>
        <w:ind w:firstLine="364" w:firstLineChars="152"/>
        <w:outlineLvl w:val="9"/>
        <w:rPr>
          <w:rFonts w:hint="eastAsia" w:ascii="宋体" w:hAnsi="宋体" w:eastAsia="宋体" w:cs="宋体"/>
          <w:color w:val="auto"/>
          <w:sz w:val="24"/>
          <w:szCs w:val="24"/>
          <w:highlight w:val="none"/>
        </w:rPr>
      </w:pPr>
      <w:bookmarkStart w:id="486" w:name="_Toc29830"/>
      <w:bookmarkStart w:id="487" w:name="_Toc794"/>
      <w:bookmarkStart w:id="488" w:name="_Toc8718"/>
      <w:r>
        <w:rPr>
          <w:rFonts w:hint="eastAsia" w:ascii="宋体" w:hAnsi="宋体" w:eastAsia="宋体" w:cs="宋体"/>
          <w:color w:val="auto"/>
          <w:sz w:val="24"/>
          <w:szCs w:val="24"/>
          <w:highlight w:val="none"/>
        </w:rPr>
        <w:t>第十二条 不可抗力</w:t>
      </w:r>
      <w:bookmarkEnd w:id="486"/>
      <w:bookmarkEnd w:id="487"/>
      <w:bookmarkEnd w:id="488"/>
    </w:p>
    <w:p w14:paraId="1EC323EB">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14:paraId="108ECBA6">
      <w:pPr>
        <w:spacing w:line="360" w:lineRule="auto"/>
        <w:ind w:firstLine="364" w:firstLineChars="152"/>
        <w:outlineLvl w:val="9"/>
        <w:rPr>
          <w:rFonts w:hint="eastAsia" w:ascii="宋体" w:hAnsi="宋体" w:eastAsia="宋体" w:cs="宋体"/>
          <w:color w:val="auto"/>
          <w:sz w:val="24"/>
          <w:szCs w:val="24"/>
          <w:highlight w:val="none"/>
        </w:rPr>
      </w:pPr>
      <w:bookmarkStart w:id="489" w:name="_Toc20860"/>
      <w:bookmarkStart w:id="490" w:name="_Toc28767"/>
      <w:bookmarkStart w:id="491" w:name="_Toc32436"/>
      <w:r>
        <w:rPr>
          <w:rFonts w:hint="eastAsia" w:ascii="宋体" w:hAnsi="宋体" w:eastAsia="宋体" w:cs="宋体"/>
          <w:color w:val="auto"/>
          <w:sz w:val="24"/>
          <w:szCs w:val="24"/>
          <w:highlight w:val="none"/>
        </w:rPr>
        <w:t>第十三条 合同的终止</w:t>
      </w:r>
      <w:bookmarkEnd w:id="489"/>
      <w:bookmarkEnd w:id="490"/>
      <w:bookmarkEnd w:id="491"/>
    </w:p>
    <w:p w14:paraId="325B5C3F">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1、本合同期满，双方未续签合同的；</w:t>
      </w:r>
    </w:p>
    <w:p w14:paraId="6EA61028">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2、乙方服务能力丧失，致使本合同服务无法正常提供的；</w:t>
      </w:r>
    </w:p>
    <w:p w14:paraId="355632D3">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3、在履行合同过程中，发现乙方已不符合承接主体应具备的条件，造成合同无法履行的；</w:t>
      </w:r>
    </w:p>
    <w:p w14:paraId="71BD15AB">
      <w:pPr>
        <w:spacing w:line="360" w:lineRule="auto"/>
        <w:ind w:firstLine="364" w:firstLineChars="152"/>
        <w:outlineLvl w:val="9"/>
        <w:rPr>
          <w:rFonts w:hint="eastAsia" w:ascii="宋体" w:hAnsi="宋体" w:eastAsia="宋体" w:cs="宋体"/>
          <w:color w:val="auto"/>
          <w:sz w:val="24"/>
          <w:szCs w:val="24"/>
          <w:highlight w:val="none"/>
        </w:rPr>
      </w:pPr>
      <w:bookmarkStart w:id="492" w:name="_Toc31802"/>
      <w:r>
        <w:rPr>
          <w:rFonts w:hint="eastAsia" w:ascii="宋体" w:hAnsi="宋体" w:eastAsia="宋体" w:cs="宋体"/>
          <w:color w:val="auto"/>
          <w:sz w:val="24"/>
          <w:szCs w:val="24"/>
          <w:highlight w:val="none"/>
        </w:rPr>
        <w:t>4、受国家政策或法律法规变动影响，经双方协商终止本合同的。</w:t>
      </w:r>
      <w:bookmarkEnd w:id="492"/>
    </w:p>
    <w:p w14:paraId="757AC2D1">
      <w:pPr>
        <w:spacing w:line="360" w:lineRule="auto"/>
        <w:ind w:firstLine="364" w:firstLineChars="152"/>
        <w:outlineLvl w:val="9"/>
        <w:rPr>
          <w:rFonts w:hint="eastAsia" w:ascii="宋体" w:hAnsi="宋体" w:eastAsia="宋体" w:cs="宋体"/>
          <w:color w:val="auto"/>
          <w:sz w:val="24"/>
          <w:szCs w:val="24"/>
          <w:highlight w:val="none"/>
        </w:rPr>
      </w:pPr>
      <w:bookmarkStart w:id="493" w:name="_Toc26130"/>
      <w:bookmarkStart w:id="494" w:name="_Toc8903"/>
      <w:bookmarkStart w:id="495" w:name="_Toc18945"/>
      <w:r>
        <w:rPr>
          <w:rFonts w:hint="eastAsia" w:ascii="宋体" w:hAnsi="宋体" w:eastAsia="宋体" w:cs="宋体"/>
          <w:color w:val="auto"/>
          <w:sz w:val="24"/>
          <w:szCs w:val="24"/>
          <w:highlight w:val="none"/>
        </w:rPr>
        <w:t>第十四条 税费发生与履行</w:t>
      </w:r>
      <w:bookmarkEnd w:id="493"/>
      <w:bookmarkEnd w:id="494"/>
      <w:bookmarkEnd w:id="495"/>
    </w:p>
    <w:p w14:paraId="5064174C">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本合同有关的一切税费均由乙方负担。</w:t>
      </w:r>
    </w:p>
    <w:p w14:paraId="1CF1CC83">
      <w:pPr>
        <w:spacing w:line="360" w:lineRule="auto"/>
        <w:ind w:firstLine="364" w:firstLineChars="152"/>
        <w:outlineLvl w:val="9"/>
        <w:rPr>
          <w:rFonts w:hint="eastAsia" w:ascii="宋体" w:hAnsi="宋体" w:eastAsia="宋体" w:cs="宋体"/>
          <w:color w:val="auto"/>
          <w:sz w:val="24"/>
          <w:szCs w:val="24"/>
          <w:highlight w:val="none"/>
        </w:rPr>
      </w:pPr>
      <w:bookmarkStart w:id="496" w:name="_Toc7554"/>
      <w:bookmarkStart w:id="497" w:name="_Toc32659"/>
      <w:bookmarkStart w:id="498" w:name="_Toc6095"/>
      <w:r>
        <w:rPr>
          <w:rFonts w:hint="eastAsia" w:ascii="宋体" w:hAnsi="宋体" w:eastAsia="宋体" w:cs="宋体"/>
          <w:color w:val="auto"/>
          <w:sz w:val="24"/>
          <w:szCs w:val="24"/>
          <w:highlight w:val="none"/>
        </w:rPr>
        <w:t>第十五条 其他</w:t>
      </w:r>
      <w:bookmarkEnd w:id="496"/>
      <w:bookmarkEnd w:id="497"/>
      <w:bookmarkEnd w:id="498"/>
    </w:p>
    <w:p w14:paraId="6DC887EA">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1、本合同所有附件及相关购买文件均为本合同的有效组成部分，与本合同具有同等法律效力。若合同附件与本合同存在不一致的，则以本合同为准。</w:t>
      </w:r>
    </w:p>
    <w:p w14:paraId="4C1597B3">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2、在履行本合同过程中，所有经双方签署确认的文件（包括会议纪要、补充协议、往来信函）即成为本合同的有效组成部分。</w:t>
      </w:r>
    </w:p>
    <w:p w14:paraId="25E42DBD">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3、如一方地址、电话、传真号码及乙方银行账户信息有变更，应在变更当日书面通知对方，否则，应承担相应责任。</w:t>
      </w:r>
    </w:p>
    <w:p w14:paraId="4B010305">
      <w:pPr>
        <w:spacing w:line="360" w:lineRule="auto"/>
        <w:ind w:firstLine="364" w:firstLineChars="152"/>
        <w:outlineLvl w:val="9"/>
        <w:rPr>
          <w:rFonts w:hint="eastAsia" w:ascii="宋体" w:hAnsi="宋体" w:eastAsia="宋体" w:cs="宋体"/>
          <w:color w:val="auto"/>
          <w:sz w:val="24"/>
          <w:szCs w:val="24"/>
          <w:highlight w:val="none"/>
        </w:rPr>
      </w:pPr>
      <w:bookmarkStart w:id="499" w:name="_Toc25844"/>
      <w:bookmarkStart w:id="500" w:name="_Toc9488"/>
      <w:bookmarkStart w:id="501" w:name="_Toc16062"/>
      <w:r>
        <w:rPr>
          <w:rFonts w:hint="eastAsia" w:ascii="宋体" w:hAnsi="宋体" w:eastAsia="宋体" w:cs="宋体"/>
          <w:color w:val="auto"/>
          <w:sz w:val="24"/>
          <w:szCs w:val="24"/>
          <w:highlight w:val="none"/>
        </w:rPr>
        <w:t>第十六条 补充条款</w:t>
      </w:r>
      <w:bookmarkEnd w:id="499"/>
      <w:bookmarkEnd w:id="500"/>
      <w:bookmarkEnd w:id="501"/>
    </w:p>
    <w:p w14:paraId="7DD2362E">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1、谅解与备忘条款：</w:t>
      </w:r>
    </w:p>
    <w:p w14:paraId="6878AABD">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2、双方不可撤销的责任与义务：</w:t>
      </w:r>
    </w:p>
    <w:p w14:paraId="5B5024DA">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3、双方约定以下补充条款：</w:t>
      </w:r>
    </w:p>
    <w:p w14:paraId="72F8CC40">
      <w:pPr>
        <w:spacing w:line="360" w:lineRule="auto"/>
        <w:ind w:firstLine="364" w:firstLineChars="152"/>
        <w:outlineLvl w:val="9"/>
        <w:rPr>
          <w:rFonts w:hint="eastAsia" w:ascii="宋体" w:hAnsi="宋体" w:eastAsia="宋体" w:cs="宋体"/>
          <w:color w:val="auto"/>
          <w:sz w:val="24"/>
          <w:szCs w:val="24"/>
          <w:highlight w:val="none"/>
        </w:rPr>
      </w:pPr>
      <w:bookmarkStart w:id="502" w:name="_Toc18632"/>
      <w:bookmarkStart w:id="503" w:name="_Toc31018"/>
      <w:bookmarkStart w:id="504" w:name="_Toc20759"/>
      <w:r>
        <w:rPr>
          <w:rFonts w:hint="eastAsia" w:ascii="宋体" w:hAnsi="宋体" w:eastAsia="宋体" w:cs="宋体"/>
          <w:color w:val="auto"/>
          <w:sz w:val="24"/>
          <w:szCs w:val="24"/>
          <w:highlight w:val="none"/>
        </w:rPr>
        <w:t>第十七条 合同生效</w:t>
      </w:r>
      <w:bookmarkEnd w:id="502"/>
      <w:bookmarkEnd w:id="503"/>
      <w:bookmarkEnd w:id="504"/>
    </w:p>
    <w:p w14:paraId="2123A4D4">
      <w:pPr>
        <w:spacing w:line="360" w:lineRule="auto"/>
        <w:ind w:firstLine="364" w:firstLineChars="152"/>
        <w:outlineLvl w:val="9"/>
        <w:rPr>
          <w:rFonts w:hint="eastAsia" w:ascii="宋体" w:hAnsi="宋体" w:eastAsia="宋体" w:cs="宋体"/>
          <w:color w:val="auto"/>
          <w:sz w:val="24"/>
          <w:szCs w:val="24"/>
          <w:highlight w:val="none"/>
        </w:rPr>
      </w:pPr>
      <w:bookmarkStart w:id="505" w:name="_Toc4563"/>
      <w:r>
        <w:rPr>
          <w:rFonts w:hint="eastAsia" w:ascii="宋体" w:hAnsi="宋体" w:eastAsia="宋体" w:cs="宋体"/>
          <w:color w:val="auto"/>
          <w:sz w:val="24"/>
          <w:szCs w:val="24"/>
          <w:highlight w:val="none"/>
        </w:rPr>
        <w:t>1、合同订立时间：     年    月     日。</w:t>
      </w:r>
      <w:bookmarkEnd w:id="505"/>
    </w:p>
    <w:p w14:paraId="2C0D5D3E">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2、合同订立地点：_____________________。</w:t>
      </w:r>
    </w:p>
    <w:p w14:paraId="2A7719B4">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3、本合同在甲、乙双方法人代表或其授权代表签章之日起生效。</w:t>
      </w:r>
    </w:p>
    <w:p w14:paraId="21A35A92">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4、本合同一式二份，具有同等法律效力，甲乙双方各执一份。</w:t>
      </w:r>
    </w:p>
    <w:p w14:paraId="5D5F5ED2">
      <w:pPr>
        <w:spacing w:line="360" w:lineRule="auto"/>
        <w:ind w:firstLine="364" w:firstLineChars="152"/>
        <w:outlineLvl w:val="9"/>
        <w:rPr>
          <w:rFonts w:hint="eastAsia" w:ascii="宋体" w:hAnsi="宋体" w:eastAsia="宋体" w:cs="宋体"/>
          <w:color w:val="auto"/>
          <w:sz w:val="24"/>
          <w:szCs w:val="24"/>
          <w:highlight w:val="none"/>
        </w:rPr>
      </w:pPr>
      <w:bookmarkStart w:id="506" w:name="_Toc11955"/>
      <w:bookmarkStart w:id="507" w:name="_Toc1694"/>
      <w:bookmarkStart w:id="508" w:name="_Toc6777"/>
      <w:r>
        <w:rPr>
          <w:rFonts w:hint="eastAsia" w:ascii="宋体" w:hAnsi="宋体" w:eastAsia="宋体" w:cs="宋体"/>
          <w:color w:val="auto"/>
          <w:sz w:val="24"/>
          <w:szCs w:val="24"/>
          <w:highlight w:val="none"/>
        </w:rPr>
        <w:t>第十八条 合同附件（若有附件应注明附件名称）</w:t>
      </w:r>
      <w:bookmarkEnd w:id="506"/>
      <w:bookmarkEnd w:id="507"/>
      <w:bookmarkEnd w:id="508"/>
    </w:p>
    <w:p w14:paraId="61845288">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p w14:paraId="41636A0A">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73AC4668">
      <w:pPr>
        <w:spacing w:line="360" w:lineRule="auto"/>
        <w:ind w:firstLine="364" w:firstLineChars="15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590DACC2">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14:paraId="28FB2B55">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单位名称：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00F7CAB2">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法定代表人（盖章或签字）:          法定代表人（盖章或签字）:  </w:t>
      </w:r>
    </w:p>
    <w:p w14:paraId="472F0713">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            委托代理人（签字）：    </w:t>
      </w:r>
    </w:p>
    <w:p w14:paraId="3F161908">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w:t>
      </w:r>
    </w:p>
    <w:p w14:paraId="4DFAA479">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w:t>
      </w:r>
    </w:p>
    <w:p w14:paraId="79D4BCB4">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D64D313">
      <w:pPr>
        <w:pStyle w:val="4"/>
        <w:outlineLvl w:val="9"/>
        <w:rPr>
          <w:rFonts w:hint="eastAsia"/>
          <w:color w:val="auto"/>
          <w:highlight w:val="none"/>
        </w:rPr>
      </w:pPr>
      <w:r>
        <w:rPr>
          <w:rFonts w:hint="eastAsia"/>
          <w:color w:val="auto"/>
          <w:highlight w:val="none"/>
        </w:rPr>
        <w:t xml:space="preserve">                 </w:t>
      </w:r>
    </w:p>
    <w:p w14:paraId="503E5FE3">
      <w:pPr>
        <w:outlineLvl w:val="9"/>
        <w:rPr>
          <w:color w:val="auto"/>
          <w:highlight w:val="none"/>
        </w:rPr>
      </w:pPr>
    </w:p>
    <w:p w14:paraId="445800E0">
      <w:pPr>
        <w:outlineLvl w:val="9"/>
        <w:rPr>
          <w:rFonts w:hint="eastAsia"/>
          <w:color w:val="auto"/>
          <w:highlight w:val="none"/>
          <w:lang w:val="en-US"/>
        </w:rPr>
      </w:pPr>
    </w:p>
    <w:p w14:paraId="3D8CF434">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3243" w:leftChars="0" w:firstLine="0" w:firstLineChars="0"/>
        <w:textAlignment w:val="auto"/>
        <w:outlineLvl w:val="0"/>
        <w:rPr>
          <w:rFonts w:hint="eastAsia" w:eastAsia="宋体"/>
          <w:b/>
          <w:bCs/>
          <w:sz w:val="48"/>
          <w:szCs w:val="48"/>
        </w:rPr>
      </w:pPr>
      <w:r>
        <w:rPr>
          <w:rFonts w:hint="eastAsia" w:ascii="宋体" w:hAnsi="宋体" w:eastAsia="宋体" w:cs="Times New Roman"/>
          <w:b/>
          <w:bCs/>
          <w:kern w:val="2"/>
          <w:sz w:val="44"/>
          <w:szCs w:val="44"/>
          <w:shd w:val="clear" w:color="auto" w:fill="FFFFFF"/>
          <w:lang w:val="en-US" w:eastAsia="zh-CN" w:bidi="ar-SA"/>
        </w:rPr>
        <w:br w:type="page"/>
      </w:r>
      <w:bookmarkStart w:id="509" w:name="_Toc23990"/>
      <w:bookmarkStart w:id="510" w:name="_Toc9219"/>
      <w:bookmarkStart w:id="511" w:name="_Toc3620"/>
      <w:bookmarkStart w:id="512" w:name="_Toc16933"/>
      <w:bookmarkStart w:id="513" w:name="_Toc31403"/>
      <w:bookmarkStart w:id="514" w:name="_Toc14115"/>
      <w:bookmarkStart w:id="515" w:name="_Toc3393"/>
      <w:bookmarkStart w:id="516" w:name="_Toc12078"/>
      <w:bookmarkStart w:id="517" w:name="_Toc510994119"/>
      <w:bookmarkStart w:id="518" w:name="_Toc18787"/>
      <w:bookmarkStart w:id="519" w:name="_Toc5952"/>
      <w:r>
        <w:rPr>
          <w:rFonts w:hint="eastAsia" w:ascii="宋体" w:hAnsi="宋体" w:eastAsia="宋体" w:cs="宋体"/>
          <w:b/>
          <w:bCs/>
          <w:sz w:val="44"/>
          <w:szCs w:val="44"/>
          <w:lang w:val="en-US" w:eastAsia="zh-CN" w:bidi="zh-CN"/>
        </w:rPr>
        <w:t>第六章 响应文件格式</w:t>
      </w:r>
      <w:bookmarkEnd w:id="509"/>
      <w:bookmarkEnd w:id="510"/>
      <w:bookmarkEnd w:id="511"/>
      <w:bookmarkEnd w:id="512"/>
      <w:bookmarkEnd w:id="513"/>
      <w:bookmarkEnd w:id="514"/>
      <w:bookmarkEnd w:id="515"/>
      <w:bookmarkEnd w:id="516"/>
      <w:bookmarkEnd w:id="517"/>
      <w:bookmarkEnd w:id="518"/>
      <w:bookmarkEnd w:id="519"/>
      <w:bookmarkStart w:id="520" w:name="_Toc510994120"/>
    </w:p>
    <w:p w14:paraId="70650C70">
      <w:pPr>
        <w:numPr>
          <w:ilvl w:val="0"/>
          <w:numId w:val="0"/>
        </w:numPr>
        <w:ind w:left="3240" w:leftChars="0"/>
        <w:rPr>
          <w:rFonts w:hint="eastAsia"/>
        </w:rPr>
      </w:pPr>
    </w:p>
    <w:bookmarkEnd w:id="520"/>
    <w:p w14:paraId="30277594">
      <w:pPr>
        <w:spacing w:line="360" w:lineRule="auto"/>
        <w:jc w:val="center"/>
        <w:outlineLvl w:val="9"/>
        <w:rPr>
          <w:rFonts w:hint="eastAsia"/>
          <w:b/>
          <w:bCs/>
          <w:color w:val="000000"/>
          <w:sz w:val="32"/>
          <w:szCs w:val="32"/>
        </w:rPr>
      </w:pPr>
      <w:r>
        <w:rPr>
          <w:rFonts w:hint="eastAsia"/>
          <w:b/>
          <w:bCs/>
          <w:color w:val="000000"/>
          <w:sz w:val="36"/>
          <w:szCs w:val="36"/>
          <w:lang w:eastAsia="zh-CN"/>
        </w:rPr>
        <w:t>三门峡市陕州区文化广电和旅游局第十四届“陕州地坑院杯”自行车邀请赛暨“体育赋能·文化焕彩”嘉年华项目</w:t>
      </w:r>
      <w:r>
        <w:rPr>
          <w:rFonts w:hint="eastAsia"/>
          <w:b/>
          <w:bCs/>
          <w:color w:val="000000"/>
          <w:sz w:val="32"/>
          <w:szCs w:val="32"/>
        </w:rPr>
        <w:t xml:space="preserve"> </w:t>
      </w:r>
    </w:p>
    <w:p w14:paraId="49EC3B03">
      <w:pPr>
        <w:spacing w:line="360" w:lineRule="auto"/>
        <w:jc w:val="center"/>
        <w:rPr>
          <w:rFonts w:hint="eastAsia"/>
          <w:b/>
          <w:bCs/>
          <w:color w:val="000000"/>
          <w:sz w:val="40"/>
          <w:szCs w:val="40"/>
        </w:rPr>
      </w:pPr>
      <w:r>
        <w:rPr>
          <w:rFonts w:hint="eastAsia"/>
          <w:b/>
          <w:bCs/>
          <w:color w:val="000000"/>
          <w:sz w:val="40"/>
          <w:szCs w:val="40"/>
        </w:rPr>
        <w:t xml:space="preserve"> </w:t>
      </w:r>
    </w:p>
    <w:p w14:paraId="7D8E47E7">
      <w:pPr>
        <w:spacing w:line="360" w:lineRule="auto"/>
        <w:jc w:val="center"/>
        <w:rPr>
          <w:rFonts w:hint="eastAsia"/>
          <w:b/>
          <w:bCs/>
          <w:color w:val="000000"/>
          <w:sz w:val="40"/>
          <w:szCs w:val="40"/>
        </w:rPr>
      </w:pPr>
      <w:r>
        <w:rPr>
          <w:rFonts w:hint="eastAsia"/>
          <w:b/>
          <w:bCs/>
          <w:color w:val="000000"/>
          <w:sz w:val="40"/>
          <w:szCs w:val="40"/>
        </w:rPr>
        <w:t xml:space="preserve"> </w:t>
      </w:r>
    </w:p>
    <w:p w14:paraId="5830FDFE">
      <w:pPr>
        <w:spacing w:line="360" w:lineRule="auto"/>
        <w:jc w:val="center"/>
        <w:rPr>
          <w:rFonts w:hint="eastAsia"/>
          <w:b/>
          <w:bCs/>
          <w:color w:val="000000"/>
          <w:sz w:val="40"/>
          <w:szCs w:val="40"/>
        </w:rPr>
      </w:pPr>
      <w:r>
        <w:rPr>
          <w:rFonts w:hint="eastAsia"/>
          <w:b/>
          <w:bCs/>
          <w:color w:val="000000"/>
          <w:sz w:val="40"/>
          <w:szCs w:val="40"/>
        </w:rPr>
        <w:t xml:space="preserve"> </w:t>
      </w:r>
    </w:p>
    <w:p w14:paraId="0437F708">
      <w:pPr>
        <w:spacing w:line="360" w:lineRule="auto"/>
        <w:jc w:val="center"/>
        <w:rPr>
          <w:rFonts w:hint="eastAsia"/>
          <w:b/>
          <w:bCs/>
          <w:color w:val="000000"/>
          <w:sz w:val="96"/>
          <w:szCs w:val="96"/>
        </w:rPr>
      </w:pPr>
      <w:r>
        <w:rPr>
          <w:rFonts w:hint="eastAsia"/>
          <w:b/>
          <w:bCs/>
          <w:color w:val="000000"/>
          <w:sz w:val="96"/>
          <w:szCs w:val="96"/>
        </w:rPr>
        <w:t>响 应 文 件</w:t>
      </w:r>
    </w:p>
    <w:p w14:paraId="45257046">
      <w:pPr>
        <w:spacing w:line="360" w:lineRule="auto"/>
        <w:ind w:firstLine="3200" w:firstLineChars="1000"/>
        <w:rPr>
          <w:rFonts w:hint="eastAsia"/>
          <w:color w:val="000000"/>
          <w:sz w:val="32"/>
          <w:szCs w:val="32"/>
        </w:rPr>
      </w:pPr>
    </w:p>
    <w:p w14:paraId="36B5C1D4">
      <w:pPr>
        <w:spacing w:line="360" w:lineRule="auto"/>
        <w:ind w:firstLine="3200" w:firstLineChars="1000"/>
        <w:rPr>
          <w:rFonts w:hint="eastAsia"/>
          <w:color w:val="000000"/>
          <w:sz w:val="32"/>
          <w:szCs w:val="32"/>
        </w:rPr>
      </w:pPr>
    </w:p>
    <w:p w14:paraId="4879CC6A">
      <w:pPr>
        <w:spacing w:line="360" w:lineRule="auto"/>
        <w:ind w:firstLine="2800" w:firstLineChars="1000"/>
        <w:rPr>
          <w:rFonts w:hint="eastAsia"/>
          <w:color w:val="000000"/>
          <w:sz w:val="28"/>
          <w:szCs w:val="28"/>
        </w:rPr>
      </w:pPr>
      <w:r>
        <w:rPr>
          <w:rFonts w:hint="eastAsia"/>
          <w:color w:val="000000"/>
          <w:sz w:val="28"/>
          <w:szCs w:val="28"/>
        </w:rPr>
        <w:t>项目编号：</w:t>
      </w:r>
    </w:p>
    <w:p w14:paraId="52C12174">
      <w:pPr>
        <w:pStyle w:val="20"/>
        <w:rPr>
          <w:rFonts w:hint="eastAsia" w:ascii="宋体" w:hAnsi="宋体" w:cs="宋体"/>
          <w:color w:val="000000"/>
          <w:sz w:val="28"/>
          <w:szCs w:val="28"/>
        </w:rPr>
      </w:pPr>
    </w:p>
    <w:p w14:paraId="7D12FF6B">
      <w:pPr>
        <w:pStyle w:val="4"/>
        <w:rPr>
          <w:rFonts w:hint="eastAsia"/>
          <w:color w:val="000000"/>
          <w:sz w:val="28"/>
          <w:szCs w:val="28"/>
          <w:u w:val="single"/>
        </w:rPr>
      </w:pPr>
    </w:p>
    <w:p w14:paraId="452717F2">
      <w:pPr>
        <w:pStyle w:val="4"/>
        <w:rPr>
          <w:rFonts w:hint="eastAsia"/>
          <w:color w:val="000000"/>
          <w:sz w:val="28"/>
          <w:szCs w:val="28"/>
          <w:u w:val="single"/>
        </w:rPr>
      </w:pPr>
    </w:p>
    <w:p w14:paraId="0EF7456B">
      <w:pPr>
        <w:spacing w:line="360" w:lineRule="auto"/>
        <w:ind w:left="440" w:leftChars="200" w:firstLine="1377" w:firstLineChars="492"/>
        <w:rPr>
          <w:rFonts w:hint="eastAsia"/>
          <w:color w:val="000000"/>
          <w:sz w:val="28"/>
          <w:szCs w:val="28"/>
          <w:u w:val="single"/>
        </w:rPr>
      </w:pPr>
    </w:p>
    <w:p w14:paraId="38835720">
      <w:pPr>
        <w:spacing w:line="360" w:lineRule="auto"/>
        <w:ind w:left="440" w:leftChars="200" w:firstLine="1377" w:firstLineChars="492"/>
        <w:rPr>
          <w:rFonts w:hint="eastAsia"/>
          <w:color w:val="000000"/>
          <w:sz w:val="28"/>
          <w:szCs w:val="28"/>
          <w:u w:val="single"/>
        </w:rPr>
      </w:pPr>
    </w:p>
    <w:p w14:paraId="1EF5022D">
      <w:pPr>
        <w:spacing w:line="360" w:lineRule="auto"/>
        <w:ind w:left="440" w:leftChars="200" w:firstLine="1377" w:firstLineChars="492"/>
        <w:rPr>
          <w:rFonts w:hint="eastAsia"/>
          <w:color w:val="000000"/>
          <w:sz w:val="28"/>
          <w:szCs w:val="28"/>
        </w:rPr>
      </w:pPr>
      <w:r>
        <w:rPr>
          <w:rFonts w:hint="eastAsia"/>
          <w:color w:val="000000"/>
          <w:sz w:val="28"/>
          <w:szCs w:val="28"/>
        </w:rPr>
        <w:t xml:space="preserve">响 应 人： </w:t>
      </w:r>
      <w:r>
        <w:rPr>
          <w:rFonts w:hint="eastAsia"/>
          <w:color w:val="000000"/>
          <w:sz w:val="28"/>
          <w:szCs w:val="28"/>
          <w:u w:val="single"/>
        </w:rPr>
        <w:t xml:space="preserve">                         </w:t>
      </w:r>
      <w:r>
        <w:rPr>
          <w:rFonts w:hint="eastAsia"/>
          <w:color w:val="000000"/>
          <w:sz w:val="28"/>
          <w:szCs w:val="28"/>
        </w:rPr>
        <w:t>（单位电子</w:t>
      </w:r>
      <w:r>
        <w:rPr>
          <w:rFonts w:hint="eastAsia"/>
          <w:color w:val="000000"/>
          <w:sz w:val="28"/>
          <w:szCs w:val="28"/>
          <w:lang w:val="en-US" w:eastAsia="zh-CN"/>
        </w:rPr>
        <w:t>公</w:t>
      </w:r>
      <w:r>
        <w:rPr>
          <w:rFonts w:hint="eastAsia"/>
          <w:color w:val="000000"/>
          <w:sz w:val="28"/>
          <w:szCs w:val="28"/>
        </w:rPr>
        <w:t xml:space="preserve">章） </w:t>
      </w:r>
    </w:p>
    <w:p w14:paraId="3214BA0D">
      <w:pPr>
        <w:spacing w:line="360" w:lineRule="auto"/>
        <w:ind w:left="440" w:leftChars="200" w:firstLine="1377" w:firstLineChars="492"/>
        <w:rPr>
          <w:rFonts w:hint="eastAsia"/>
          <w:color w:val="000000"/>
          <w:sz w:val="28"/>
          <w:szCs w:val="28"/>
          <w:u w:val="single"/>
        </w:rPr>
      </w:pPr>
      <w:r>
        <w:rPr>
          <w:rFonts w:hint="eastAsia"/>
          <w:color w:val="000000"/>
          <w:sz w:val="28"/>
          <w:szCs w:val="28"/>
        </w:rPr>
        <w:t>法定代表人 ：</w:t>
      </w:r>
      <w:r>
        <w:rPr>
          <w:rFonts w:hint="eastAsia"/>
          <w:color w:val="000000"/>
          <w:sz w:val="28"/>
          <w:szCs w:val="28"/>
          <w:u w:val="single"/>
        </w:rPr>
        <w:t xml:space="preserve">                       </w:t>
      </w:r>
      <w:r>
        <w:rPr>
          <w:rFonts w:hint="eastAsia"/>
          <w:color w:val="000000"/>
          <w:sz w:val="28"/>
          <w:szCs w:val="28"/>
        </w:rPr>
        <w:t>（法人电子签章）</w:t>
      </w:r>
    </w:p>
    <w:p w14:paraId="7B44101E">
      <w:pPr>
        <w:spacing w:line="360" w:lineRule="auto"/>
        <w:ind w:left="440" w:leftChars="200" w:firstLine="1377" w:firstLineChars="492"/>
        <w:rPr>
          <w:rFonts w:hint="eastAsia"/>
          <w:color w:val="000000"/>
          <w:sz w:val="28"/>
          <w:szCs w:val="28"/>
        </w:rPr>
      </w:pPr>
      <w:r>
        <w:rPr>
          <w:rFonts w:hint="eastAsia"/>
          <w:color w:val="000000"/>
          <w:sz w:val="28"/>
          <w:szCs w:val="28"/>
        </w:rPr>
        <w:t>日    期：       年      月      日</w:t>
      </w:r>
    </w:p>
    <w:p w14:paraId="52D56249">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color w:val="000000"/>
          <w:sz w:val="24"/>
          <w:szCs w:val="24"/>
          <w:lang w:val="en-US" w:eastAsia="zh-CN"/>
        </w:rPr>
      </w:pPr>
      <w:r>
        <w:rPr>
          <w:rFonts w:hint="eastAsia"/>
          <w:color w:val="000000"/>
          <w:sz w:val="28"/>
          <w:szCs w:val="28"/>
        </w:rPr>
        <w:br w:type="page"/>
      </w:r>
      <w:r>
        <w:rPr>
          <w:rFonts w:hint="eastAsia"/>
          <w:color w:val="000000"/>
          <w:sz w:val="24"/>
          <w:szCs w:val="24"/>
          <w:lang w:val="en-US" w:eastAsia="zh-CN"/>
        </w:rPr>
        <w:t>目录</w:t>
      </w:r>
    </w:p>
    <w:p w14:paraId="50170A3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color w:val="000000"/>
          <w:sz w:val="24"/>
          <w:szCs w:val="24"/>
          <w:lang w:val="en-US" w:eastAsia="zh-CN"/>
        </w:rPr>
      </w:pPr>
      <w:r>
        <w:rPr>
          <w:rFonts w:hint="eastAsia" w:cs="宋体"/>
          <w:color w:val="000000"/>
          <w:sz w:val="24"/>
          <w:szCs w:val="24"/>
          <w:lang w:val="en-US" w:eastAsia="zh-CN" w:bidi="zh-CN"/>
        </w:rPr>
        <w:t>一、</w:t>
      </w:r>
      <w:r>
        <w:rPr>
          <w:rFonts w:hint="eastAsia"/>
          <w:color w:val="000000"/>
          <w:sz w:val="24"/>
          <w:szCs w:val="24"/>
          <w:lang w:val="en-US" w:eastAsia="zh-CN"/>
        </w:rPr>
        <w:t>报价函</w:t>
      </w:r>
    </w:p>
    <w:p w14:paraId="42FA084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default"/>
          <w:color w:val="000000"/>
          <w:sz w:val="24"/>
          <w:szCs w:val="24"/>
          <w:lang w:val="en-US" w:eastAsia="zh-CN"/>
        </w:rPr>
      </w:pPr>
      <w:r>
        <w:rPr>
          <w:rFonts w:hint="eastAsia" w:cs="宋体"/>
          <w:color w:val="000000"/>
          <w:sz w:val="24"/>
          <w:szCs w:val="24"/>
          <w:lang w:val="en-US" w:eastAsia="zh-CN" w:bidi="zh-CN"/>
        </w:rPr>
        <w:t>二、</w:t>
      </w:r>
      <w:r>
        <w:rPr>
          <w:rFonts w:hint="eastAsia"/>
          <w:color w:val="000000"/>
          <w:sz w:val="24"/>
          <w:szCs w:val="24"/>
          <w:lang w:val="en-US" w:eastAsia="zh-CN"/>
        </w:rPr>
        <w:t>报价一览表</w:t>
      </w:r>
    </w:p>
    <w:p w14:paraId="2538CF8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default"/>
          <w:color w:val="000000"/>
          <w:sz w:val="24"/>
          <w:szCs w:val="24"/>
          <w:lang w:val="en-US" w:eastAsia="zh-CN"/>
        </w:rPr>
      </w:pPr>
      <w:r>
        <w:rPr>
          <w:rFonts w:hint="eastAsia" w:cs="宋体"/>
          <w:color w:val="000000"/>
          <w:sz w:val="24"/>
          <w:szCs w:val="24"/>
          <w:lang w:val="en-US" w:eastAsia="zh-CN" w:bidi="zh-CN"/>
        </w:rPr>
        <w:t>三、</w:t>
      </w:r>
      <w:r>
        <w:rPr>
          <w:rFonts w:hint="eastAsia"/>
          <w:color w:val="000000"/>
          <w:sz w:val="24"/>
          <w:szCs w:val="24"/>
          <w:lang w:val="en-US" w:eastAsia="zh-CN"/>
        </w:rPr>
        <w:t>整体策划服务方案</w:t>
      </w:r>
    </w:p>
    <w:p w14:paraId="49D8AF9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default"/>
          <w:color w:val="000000"/>
          <w:sz w:val="24"/>
          <w:szCs w:val="24"/>
          <w:lang w:val="en-US" w:eastAsia="zh-CN"/>
        </w:rPr>
      </w:pPr>
      <w:r>
        <w:rPr>
          <w:rFonts w:hint="eastAsia" w:cs="宋体"/>
          <w:color w:val="000000"/>
          <w:sz w:val="24"/>
          <w:szCs w:val="24"/>
          <w:lang w:val="en-US" w:eastAsia="zh-CN" w:bidi="zh-CN"/>
        </w:rPr>
        <w:t>四、</w:t>
      </w:r>
      <w:r>
        <w:rPr>
          <w:rFonts w:hint="eastAsia"/>
          <w:color w:val="000000"/>
          <w:sz w:val="24"/>
          <w:szCs w:val="24"/>
          <w:lang w:val="en-US" w:eastAsia="zh-CN"/>
        </w:rPr>
        <w:t>磋商承诺函</w:t>
      </w:r>
    </w:p>
    <w:p w14:paraId="2B2616B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default"/>
          <w:color w:val="000000"/>
          <w:sz w:val="24"/>
          <w:szCs w:val="24"/>
          <w:lang w:val="en-US" w:eastAsia="zh-CN"/>
        </w:rPr>
      </w:pPr>
      <w:r>
        <w:rPr>
          <w:rFonts w:hint="eastAsia" w:cs="宋体"/>
          <w:color w:val="000000"/>
          <w:sz w:val="24"/>
          <w:szCs w:val="24"/>
          <w:lang w:val="en-US" w:eastAsia="zh-CN" w:bidi="zh-CN"/>
        </w:rPr>
        <w:t>五、</w:t>
      </w:r>
      <w:r>
        <w:rPr>
          <w:rFonts w:hint="eastAsia"/>
          <w:color w:val="000000"/>
          <w:sz w:val="24"/>
          <w:szCs w:val="24"/>
          <w:lang w:val="en-US" w:eastAsia="zh-CN"/>
        </w:rPr>
        <w:t>法定代表人身份证明书</w:t>
      </w:r>
    </w:p>
    <w:p w14:paraId="02E90CA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default"/>
          <w:color w:val="000000"/>
          <w:sz w:val="24"/>
          <w:szCs w:val="24"/>
          <w:lang w:val="en-US" w:eastAsia="zh-CN"/>
        </w:rPr>
      </w:pPr>
      <w:r>
        <w:rPr>
          <w:rFonts w:hint="eastAsia" w:cs="宋体"/>
          <w:color w:val="000000"/>
          <w:sz w:val="24"/>
          <w:szCs w:val="24"/>
          <w:lang w:val="en-US" w:eastAsia="zh-CN" w:bidi="zh-CN"/>
        </w:rPr>
        <w:t>六、</w:t>
      </w:r>
      <w:r>
        <w:rPr>
          <w:rFonts w:hint="eastAsia"/>
          <w:color w:val="000000"/>
          <w:sz w:val="24"/>
          <w:szCs w:val="24"/>
          <w:lang w:val="en-US" w:eastAsia="zh-CN"/>
        </w:rPr>
        <w:t>法定代表人授权委托书</w:t>
      </w:r>
    </w:p>
    <w:p w14:paraId="3B79BDD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default"/>
          <w:color w:val="000000"/>
          <w:sz w:val="24"/>
          <w:szCs w:val="24"/>
          <w:lang w:val="en-US" w:eastAsia="zh-CN"/>
        </w:rPr>
      </w:pPr>
      <w:r>
        <w:rPr>
          <w:rFonts w:hint="eastAsia" w:cs="宋体"/>
          <w:color w:val="000000"/>
          <w:sz w:val="24"/>
          <w:szCs w:val="24"/>
          <w:lang w:val="en-US" w:eastAsia="zh-CN" w:bidi="zh-CN"/>
        </w:rPr>
        <w:t>七、</w:t>
      </w:r>
      <w:r>
        <w:rPr>
          <w:rFonts w:hint="eastAsia"/>
          <w:color w:val="000000"/>
          <w:sz w:val="24"/>
          <w:szCs w:val="24"/>
          <w:lang w:val="en-US" w:eastAsia="zh-CN"/>
        </w:rPr>
        <w:t>资格证明文件</w:t>
      </w:r>
    </w:p>
    <w:p w14:paraId="3500BB16">
      <w:pPr>
        <w:pStyle w:val="9"/>
        <w:pageBreakBefore/>
        <w:numPr>
          <w:ilvl w:val="0"/>
          <w:numId w:val="0"/>
        </w:numPr>
        <w:spacing w:before="156" w:beforeLines="50" w:after="156" w:afterLines="50" w:line="360" w:lineRule="auto"/>
        <w:ind w:left="-101" w:leftChars="0"/>
        <w:jc w:val="center"/>
        <w:rPr>
          <w:rFonts w:hint="eastAsia" w:ascii="宋体" w:hAnsi="宋体" w:eastAsia="宋体" w:cs="宋体"/>
          <w:color w:val="000000"/>
          <w:sz w:val="24"/>
          <w:szCs w:val="24"/>
          <w:lang w:eastAsia="zh-CN"/>
        </w:rPr>
      </w:pPr>
      <w:bookmarkStart w:id="521" w:name="_Toc31427"/>
      <w:bookmarkEnd w:id="521"/>
      <w:bookmarkStart w:id="522" w:name="_Toc9468"/>
      <w:bookmarkStart w:id="523" w:name="_Toc32271"/>
      <w:bookmarkStart w:id="524" w:name="_Toc1425"/>
      <w:bookmarkStart w:id="525" w:name="_Toc14307"/>
      <w:bookmarkStart w:id="526" w:name="_Toc22221"/>
      <w:bookmarkStart w:id="527" w:name="_Toc19030"/>
      <w:bookmarkStart w:id="528" w:name="_Toc32492"/>
      <w:r>
        <w:rPr>
          <w:rFonts w:hint="eastAsia" w:ascii="宋体" w:hAnsi="宋体" w:cs="宋体"/>
          <w:color w:val="000000"/>
          <w:sz w:val="24"/>
          <w:szCs w:val="24"/>
          <w:lang w:val="en-US" w:eastAsia="zh-CN"/>
        </w:rPr>
        <w:t>一、</w:t>
      </w:r>
      <w:r>
        <w:rPr>
          <w:rFonts w:hint="eastAsia" w:ascii="宋体" w:hAnsi="宋体" w:eastAsia="宋体" w:cs="宋体"/>
          <w:color w:val="000000"/>
          <w:sz w:val="24"/>
          <w:szCs w:val="24"/>
          <w:lang w:eastAsia="zh-CN"/>
        </w:rPr>
        <w:t>报价函</w:t>
      </w:r>
      <w:bookmarkEnd w:id="522"/>
      <w:bookmarkEnd w:id="523"/>
      <w:bookmarkEnd w:id="524"/>
      <w:bookmarkEnd w:id="525"/>
      <w:bookmarkEnd w:id="526"/>
      <w:bookmarkEnd w:id="527"/>
      <w:bookmarkEnd w:id="528"/>
    </w:p>
    <w:p w14:paraId="3F0364EF">
      <w:pPr>
        <w:spacing w:line="360" w:lineRule="auto"/>
        <w:rPr>
          <w:rFonts w:hint="eastAsia"/>
          <w:color w:val="000000"/>
          <w:sz w:val="24"/>
          <w:szCs w:val="24"/>
        </w:rPr>
      </w:pPr>
      <w:r>
        <w:rPr>
          <w:rFonts w:hint="eastAsia"/>
          <w:color w:val="000000"/>
          <w:sz w:val="24"/>
          <w:szCs w:val="24"/>
        </w:rPr>
        <w:t xml:space="preserve">致: </w:t>
      </w:r>
      <w:r>
        <w:rPr>
          <w:rFonts w:hint="eastAsia"/>
          <w:color w:val="000000"/>
          <w:sz w:val="24"/>
          <w:szCs w:val="24"/>
          <w:u w:val="single"/>
        </w:rPr>
        <w:t xml:space="preserve">           </w:t>
      </w:r>
      <w:r>
        <w:rPr>
          <w:rFonts w:hint="eastAsia"/>
          <w:color w:val="000000"/>
          <w:sz w:val="24"/>
          <w:szCs w:val="24"/>
        </w:rPr>
        <w:t xml:space="preserve">（采购人）   </w:t>
      </w:r>
    </w:p>
    <w:p w14:paraId="1ECBF191">
      <w:pPr>
        <w:spacing w:line="360" w:lineRule="auto"/>
        <w:rPr>
          <w:rFonts w:hint="eastAsia"/>
          <w:color w:val="000000"/>
          <w:sz w:val="24"/>
          <w:szCs w:val="24"/>
        </w:rPr>
      </w:pPr>
      <w:r>
        <w:rPr>
          <w:rFonts w:hint="eastAsia"/>
          <w:color w:val="000000"/>
          <w:sz w:val="24"/>
          <w:szCs w:val="24"/>
          <w:u w:val="single"/>
        </w:rPr>
        <w:t xml:space="preserve">         </w:t>
      </w:r>
      <w:r>
        <w:rPr>
          <w:rFonts w:hint="eastAsia"/>
          <w:color w:val="000000"/>
          <w:sz w:val="24"/>
          <w:szCs w:val="24"/>
        </w:rPr>
        <w:t>(</w:t>
      </w:r>
      <w:r>
        <w:rPr>
          <w:rFonts w:hint="eastAsia"/>
          <w:color w:val="000000"/>
          <w:sz w:val="24"/>
          <w:szCs w:val="24"/>
          <w:lang w:eastAsia="zh-CN"/>
        </w:rPr>
        <w:t>响应人</w:t>
      </w:r>
      <w:r>
        <w:rPr>
          <w:rFonts w:hint="eastAsia"/>
          <w:color w:val="000000"/>
          <w:sz w:val="24"/>
          <w:szCs w:val="24"/>
        </w:rPr>
        <w:t>)授权</w:t>
      </w:r>
      <w:r>
        <w:rPr>
          <w:rFonts w:hint="eastAsia"/>
          <w:color w:val="000000"/>
          <w:sz w:val="24"/>
          <w:szCs w:val="24"/>
          <w:u w:val="single"/>
        </w:rPr>
        <w:t xml:space="preserve">         </w:t>
      </w:r>
      <w:r>
        <w:rPr>
          <w:rFonts w:hint="eastAsia"/>
          <w:color w:val="000000"/>
          <w:sz w:val="24"/>
          <w:szCs w:val="24"/>
        </w:rPr>
        <w:t>(</w:t>
      </w:r>
      <w:r>
        <w:rPr>
          <w:rFonts w:hint="eastAsia"/>
          <w:color w:val="000000"/>
          <w:sz w:val="24"/>
          <w:szCs w:val="24"/>
          <w:lang w:eastAsia="zh-CN"/>
        </w:rPr>
        <w:t>响应人</w:t>
      </w:r>
      <w:r>
        <w:rPr>
          <w:rFonts w:hint="eastAsia"/>
          <w:color w:val="000000"/>
          <w:sz w:val="24"/>
          <w:szCs w:val="24"/>
        </w:rPr>
        <w:t>代表姓名)</w:t>
      </w:r>
      <w:r>
        <w:rPr>
          <w:rFonts w:hint="eastAsia"/>
          <w:color w:val="000000"/>
          <w:sz w:val="24"/>
          <w:szCs w:val="24"/>
          <w:u w:val="single"/>
        </w:rPr>
        <w:t xml:space="preserve">         </w:t>
      </w:r>
      <w:r>
        <w:rPr>
          <w:rFonts w:hint="eastAsia"/>
          <w:color w:val="000000"/>
          <w:sz w:val="24"/>
          <w:szCs w:val="24"/>
        </w:rPr>
        <w:t>(职务、职称)为我方代表，参加贵方组织磋商的有关活动，并对</w:t>
      </w:r>
      <w:r>
        <w:rPr>
          <w:rFonts w:hint="eastAsia"/>
          <w:color w:val="000000"/>
          <w:sz w:val="24"/>
          <w:szCs w:val="24"/>
          <w:u w:val="single"/>
          <w:lang w:val="en-US" w:eastAsia="zh-CN"/>
        </w:rPr>
        <w:t xml:space="preserve">                 </w:t>
      </w:r>
      <w:r>
        <w:rPr>
          <w:rFonts w:hint="eastAsia"/>
          <w:color w:val="000000"/>
          <w:sz w:val="24"/>
          <w:szCs w:val="24"/>
        </w:rPr>
        <w:t>项目进行磋商。为此：</w:t>
      </w:r>
    </w:p>
    <w:p w14:paraId="1405CC3D">
      <w:pPr>
        <w:spacing w:line="360" w:lineRule="auto"/>
        <w:rPr>
          <w:rFonts w:hint="eastAsia"/>
          <w:color w:val="000000"/>
          <w:sz w:val="24"/>
          <w:szCs w:val="24"/>
        </w:rPr>
      </w:pPr>
      <w:r>
        <w:rPr>
          <w:rFonts w:hint="eastAsia"/>
          <w:color w:val="000000"/>
          <w:sz w:val="24"/>
          <w:szCs w:val="24"/>
        </w:rPr>
        <w:t>1、我方同意在本项目磋商文件中规定的磋商截止日期起</w:t>
      </w:r>
      <w:r>
        <w:rPr>
          <w:rFonts w:hint="eastAsia"/>
          <w:color w:val="000000"/>
          <w:sz w:val="24"/>
          <w:szCs w:val="24"/>
          <w:u w:val="single"/>
        </w:rPr>
        <w:t xml:space="preserve">         </w:t>
      </w:r>
      <w:r>
        <w:rPr>
          <w:rFonts w:hint="eastAsia"/>
          <w:color w:val="000000"/>
          <w:sz w:val="24"/>
          <w:szCs w:val="24"/>
        </w:rPr>
        <w:t>日内（日历天）遵守本响应文件中的承诺且在此期限期满之前均具有约束力。</w:t>
      </w:r>
    </w:p>
    <w:p w14:paraId="7453F019">
      <w:pPr>
        <w:spacing w:line="360" w:lineRule="auto"/>
        <w:rPr>
          <w:rFonts w:hint="eastAsia"/>
          <w:color w:val="000000"/>
          <w:sz w:val="24"/>
          <w:szCs w:val="24"/>
        </w:rPr>
      </w:pPr>
      <w:r>
        <w:rPr>
          <w:rFonts w:hint="eastAsia"/>
          <w:color w:val="000000"/>
          <w:sz w:val="24"/>
          <w:szCs w:val="24"/>
        </w:rPr>
        <w:t>2、我方承诺已经具备《中华人民共和国政府采购法》中规定的参加政府采购活动的</w:t>
      </w:r>
      <w:r>
        <w:rPr>
          <w:rFonts w:hint="eastAsia"/>
          <w:color w:val="000000"/>
          <w:sz w:val="24"/>
          <w:szCs w:val="24"/>
          <w:lang w:eastAsia="zh-CN"/>
        </w:rPr>
        <w:t>响应人</w:t>
      </w:r>
      <w:r>
        <w:rPr>
          <w:rFonts w:hint="eastAsia"/>
          <w:color w:val="000000"/>
          <w:sz w:val="24"/>
          <w:szCs w:val="24"/>
        </w:rPr>
        <w:t>应当具备的条件。</w:t>
      </w:r>
    </w:p>
    <w:p w14:paraId="73E2FD23">
      <w:pPr>
        <w:spacing w:line="360" w:lineRule="auto"/>
        <w:rPr>
          <w:rFonts w:hint="eastAsia"/>
          <w:color w:val="000000"/>
          <w:sz w:val="24"/>
          <w:szCs w:val="24"/>
        </w:rPr>
      </w:pPr>
      <w:r>
        <w:rPr>
          <w:rFonts w:hint="eastAsia"/>
          <w:color w:val="000000"/>
          <w:sz w:val="24"/>
          <w:szCs w:val="24"/>
        </w:rPr>
        <w:t>3、我方提供磋商须知规定的全部响应文件。</w:t>
      </w:r>
    </w:p>
    <w:p w14:paraId="758C9544">
      <w:pPr>
        <w:spacing w:line="360" w:lineRule="auto"/>
        <w:rPr>
          <w:rFonts w:hint="eastAsia"/>
          <w:color w:val="000000"/>
          <w:sz w:val="24"/>
          <w:szCs w:val="24"/>
        </w:rPr>
      </w:pPr>
      <w:r>
        <w:rPr>
          <w:rFonts w:hint="eastAsia"/>
          <w:color w:val="000000"/>
          <w:sz w:val="24"/>
          <w:szCs w:val="24"/>
        </w:rPr>
        <w:t>4、我方按磋商承诺函要求完成承诺。</w:t>
      </w:r>
    </w:p>
    <w:p w14:paraId="23BF7EF2">
      <w:pPr>
        <w:spacing w:line="360" w:lineRule="auto"/>
        <w:rPr>
          <w:rFonts w:hint="eastAsia"/>
          <w:color w:val="000000"/>
          <w:sz w:val="24"/>
          <w:szCs w:val="24"/>
        </w:rPr>
      </w:pPr>
      <w:r>
        <w:rPr>
          <w:rFonts w:hint="eastAsia"/>
          <w:color w:val="000000"/>
          <w:sz w:val="24"/>
          <w:szCs w:val="24"/>
        </w:rPr>
        <w:t>5、我方按磋商文件要求提供和交付本次采购项目服务的磋商报价为(大写)</w:t>
      </w:r>
      <w:r>
        <w:rPr>
          <w:rFonts w:hint="eastAsia"/>
          <w:color w:val="000000"/>
          <w:sz w:val="24"/>
          <w:szCs w:val="24"/>
          <w:u w:val="single"/>
          <w:lang w:val="en-US"/>
        </w:rPr>
        <w:t xml:space="preserve">             </w:t>
      </w:r>
      <w:r>
        <w:rPr>
          <w:rFonts w:hint="eastAsia"/>
          <w:color w:val="000000"/>
          <w:sz w:val="24"/>
          <w:szCs w:val="24"/>
        </w:rPr>
        <w:t>元</w:t>
      </w:r>
      <w:r>
        <w:rPr>
          <w:rFonts w:hint="eastAsia"/>
          <w:color w:val="000000"/>
          <w:sz w:val="24"/>
          <w:szCs w:val="24"/>
          <w:lang w:val="en-US"/>
        </w:rPr>
        <w:t xml:space="preserve"> </w:t>
      </w:r>
      <w:r>
        <w:rPr>
          <w:rFonts w:hint="eastAsia"/>
          <w:color w:val="000000"/>
          <w:sz w:val="24"/>
          <w:szCs w:val="24"/>
        </w:rPr>
        <w:t>，(小写)</w:t>
      </w:r>
      <w:r>
        <w:rPr>
          <w:rFonts w:hint="eastAsia"/>
          <w:color w:val="000000"/>
          <w:sz w:val="24"/>
          <w:szCs w:val="24"/>
          <w:u w:val="single"/>
        </w:rPr>
        <w:t xml:space="preserve">         </w:t>
      </w:r>
      <w:r>
        <w:rPr>
          <w:rFonts w:hint="eastAsia"/>
          <w:color w:val="000000"/>
          <w:sz w:val="24"/>
          <w:szCs w:val="24"/>
        </w:rPr>
        <w:t>元（所报总报价与报价一览表一致）</w:t>
      </w:r>
    </w:p>
    <w:p w14:paraId="6DC8BF0C">
      <w:pPr>
        <w:spacing w:line="360" w:lineRule="auto"/>
        <w:rPr>
          <w:rFonts w:hint="eastAsia"/>
          <w:color w:val="000000"/>
          <w:sz w:val="24"/>
          <w:szCs w:val="24"/>
        </w:rPr>
      </w:pPr>
      <w:r>
        <w:rPr>
          <w:rFonts w:hint="eastAsia"/>
          <w:color w:val="000000"/>
          <w:sz w:val="24"/>
          <w:szCs w:val="24"/>
        </w:rPr>
        <w:t>6、我方保证忠实地执行双方所签订的合同，并承担合同规定的责任和义务。</w:t>
      </w:r>
    </w:p>
    <w:p w14:paraId="3B8A4BB7">
      <w:pPr>
        <w:spacing w:line="360" w:lineRule="auto"/>
        <w:rPr>
          <w:rFonts w:hint="eastAsia"/>
          <w:color w:val="000000"/>
          <w:sz w:val="24"/>
          <w:szCs w:val="24"/>
        </w:rPr>
      </w:pPr>
      <w:r>
        <w:rPr>
          <w:rFonts w:hint="eastAsia"/>
          <w:color w:val="000000"/>
          <w:sz w:val="24"/>
          <w:szCs w:val="24"/>
        </w:rPr>
        <w:t>7、我方承诺完全满足和响应磋商文件中的各项要求，若有偏差，已在响应文件中予以明确特别说明。</w:t>
      </w:r>
    </w:p>
    <w:p w14:paraId="3ACBC17A">
      <w:pPr>
        <w:spacing w:line="360" w:lineRule="auto"/>
        <w:rPr>
          <w:rFonts w:hint="eastAsia"/>
          <w:color w:val="000000"/>
          <w:sz w:val="24"/>
          <w:szCs w:val="24"/>
        </w:rPr>
      </w:pPr>
      <w:r>
        <w:rPr>
          <w:rFonts w:hint="eastAsia"/>
          <w:color w:val="000000"/>
          <w:sz w:val="24"/>
          <w:szCs w:val="24"/>
        </w:rPr>
        <w:t>8、如果在磋商后规定的磋商有效期内撤回响应文件，我单位将承担由此而产生的一切后果及责任。</w:t>
      </w:r>
    </w:p>
    <w:p w14:paraId="05795D07">
      <w:pPr>
        <w:spacing w:line="360" w:lineRule="auto"/>
        <w:outlineLvl w:val="9"/>
        <w:rPr>
          <w:rFonts w:hint="eastAsia"/>
          <w:color w:val="000000"/>
          <w:sz w:val="24"/>
          <w:szCs w:val="24"/>
        </w:rPr>
      </w:pPr>
      <w:bookmarkStart w:id="529" w:name="_Toc4299"/>
      <w:r>
        <w:rPr>
          <w:rFonts w:hint="eastAsia"/>
          <w:color w:val="000000"/>
          <w:sz w:val="24"/>
          <w:szCs w:val="24"/>
        </w:rPr>
        <w:t>9、我方完全理解贵方不一定接受最低价的磋商。</w:t>
      </w:r>
      <w:bookmarkEnd w:id="529"/>
    </w:p>
    <w:p w14:paraId="622CA88E">
      <w:pPr>
        <w:spacing w:line="360" w:lineRule="auto"/>
        <w:outlineLvl w:val="9"/>
        <w:rPr>
          <w:rFonts w:hint="eastAsia"/>
          <w:color w:val="000000"/>
          <w:sz w:val="24"/>
          <w:szCs w:val="24"/>
        </w:rPr>
      </w:pPr>
      <w:r>
        <w:rPr>
          <w:rFonts w:hint="eastAsia"/>
          <w:color w:val="000000"/>
          <w:sz w:val="24"/>
          <w:szCs w:val="24"/>
        </w:rPr>
        <w:t>10、我方愿意向贵方提供任何与本项磋商有关的数据、情况和技术资料。若贵方需要，我方愿意提供我方作出的一切承诺的证明材料。</w:t>
      </w:r>
    </w:p>
    <w:p w14:paraId="36D3C377">
      <w:pPr>
        <w:spacing w:line="360" w:lineRule="auto"/>
        <w:outlineLvl w:val="9"/>
        <w:rPr>
          <w:rFonts w:hint="eastAsia"/>
          <w:color w:val="000000"/>
          <w:sz w:val="24"/>
          <w:szCs w:val="24"/>
        </w:rPr>
      </w:pPr>
      <w:bookmarkStart w:id="530" w:name="_Toc15654"/>
      <w:r>
        <w:rPr>
          <w:rFonts w:hint="eastAsia"/>
          <w:color w:val="000000"/>
          <w:sz w:val="24"/>
          <w:szCs w:val="24"/>
        </w:rPr>
        <w:t>11、我方已详细审核全部磋商文件及有关附件，确认无误。</w:t>
      </w:r>
      <w:bookmarkEnd w:id="530"/>
    </w:p>
    <w:p w14:paraId="3AC5EE0A">
      <w:pPr>
        <w:spacing w:line="360" w:lineRule="auto"/>
        <w:outlineLvl w:val="9"/>
        <w:rPr>
          <w:rFonts w:hint="eastAsia"/>
          <w:color w:val="000000"/>
          <w:sz w:val="24"/>
          <w:szCs w:val="24"/>
          <w:u w:val="single"/>
        </w:rPr>
      </w:pPr>
      <w:r>
        <w:rPr>
          <w:rFonts w:hint="eastAsia"/>
          <w:color w:val="000000"/>
          <w:sz w:val="24"/>
          <w:szCs w:val="24"/>
        </w:rPr>
        <w:t>地址：</w:t>
      </w:r>
      <w:r>
        <w:rPr>
          <w:rFonts w:hint="eastAsia"/>
          <w:color w:val="000000"/>
          <w:sz w:val="24"/>
          <w:szCs w:val="24"/>
          <w:u w:val="single"/>
        </w:rPr>
        <w:t xml:space="preserve">         </w:t>
      </w:r>
    </w:p>
    <w:p w14:paraId="69296356">
      <w:pPr>
        <w:spacing w:line="360" w:lineRule="auto"/>
        <w:outlineLvl w:val="9"/>
        <w:rPr>
          <w:rFonts w:hint="eastAsia"/>
          <w:color w:val="000000"/>
          <w:sz w:val="24"/>
          <w:szCs w:val="24"/>
        </w:rPr>
      </w:pPr>
      <w:r>
        <w:rPr>
          <w:rFonts w:hint="eastAsia"/>
          <w:color w:val="000000"/>
          <w:sz w:val="24"/>
          <w:szCs w:val="24"/>
        </w:rPr>
        <w:t>邮编：</w:t>
      </w:r>
      <w:r>
        <w:rPr>
          <w:rFonts w:hint="eastAsia"/>
          <w:color w:val="000000"/>
          <w:sz w:val="24"/>
          <w:szCs w:val="24"/>
          <w:u w:val="single"/>
        </w:rPr>
        <w:t xml:space="preserve">         </w:t>
      </w:r>
    </w:p>
    <w:p w14:paraId="4E28AFEA">
      <w:pPr>
        <w:spacing w:line="360" w:lineRule="auto"/>
        <w:outlineLvl w:val="9"/>
        <w:rPr>
          <w:rFonts w:hint="eastAsia"/>
          <w:color w:val="000000"/>
          <w:sz w:val="24"/>
          <w:szCs w:val="24"/>
        </w:rPr>
      </w:pPr>
      <w:r>
        <w:rPr>
          <w:rFonts w:hint="eastAsia"/>
          <w:color w:val="000000"/>
          <w:sz w:val="24"/>
          <w:szCs w:val="24"/>
        </w:rPr>
        <w:t>电话：</w:t>
      </w:r>
      <w:r>
        <w:rPr>
          <w:rFonts w:hint="eastAsia"/>
          <w:color w:val="000000"/>
          <w:sz w:val="24"/>
          <w:szCs w:val="24"/>
          <w:u w:val="single"/>
        </w:rPr>
        <w:t xml:space="preserve">         </w:t>
      </w:r>
    </w:p>
    <w:p w14:paraId="0DDCE7D6">
      <w:pPr>
        <w:spacing w:line="360" w:lineRule="auto"/>
        <w:outlineLvl w:val="9"/>
        <w:rPr>
          <w:rFonts w:hint="eastAsia"/>
          <w:color w:val="000000"/>
          <w:sz w:val="24"/>
          <w:szCs w:val="24"/>
        </w:rPr>
      </w:pPr>
      <w:r>
        <w:rPr>
          <w:rFonts w:hint="eastAsia"/>
          <w:color w:val="000000"/>
          <w:sz w:val="24"/>
          <w:szCs w:val="24"/>
          <w:lang w:eastAsia="zh-CN"/>
        </w:rPr>
        <w:t>响应人</w:t>
      </w:r>
      <w:r>
        <w:rPr>
          <w:rFonts w:hint="eastAsia"/>
          <w:color w:val="000000"/>
          <w:sz w:val="24"/>
          <w:szCs w:val="24"/>
        </w:rPr>
        <w:t>(单位电子公章)：</w:t>
      </w:r>
      <w:r>
        <w:rPr>
          <w:rFonts w:hint="eastAsia"/>
          <w:color w:val="000000"/>
          <w:sz w:val="24"/>
          <w:szCs w:val="24"/>
          <w:u w:val="single"/>
        </w:rPr>
        <w:t xml:space="preserve">         </w:t>
      </w:r>
    </w:p>
    <w:p w14:paraId="48A281B8">
      <w:pPr>
        <w:spacing w:line="360" w:lineRule="auto"/>
        <w:outlineLvl w:val="9"/>
        <w:rPr>
          <w:rFonts w:hint="eastAsia"/>
          <w:color w:val="000000"/>
          <w:sz w:val="24"/>
          <w:szCs w:val="24"/>
        </w:rPr>
      </w:pPr>
      <w:r>
        <w:rPr>
          <w:rFonts w:hint="eastAsia"/>
          <w:color w:val="000000"/>
          <w:sz w:val="24"/>
          <w:szCs w:val="24"/>
        </w:rPr>
        <w:t>法定代表人（法人电子签章）：</w:t>
      </w:r>
      <w:r>
        <w:rPr>
          <w:rFonts w:hint="eastAsia"/>
          <w:color w:val="000000"/>
          <w:sz w:val="24"/>
          <w:szCs w:val="24"/>
          <w:u w:val="single"/>
        </w:rPr>
        <w:t xml:space="preserve">         </w:t>
      </w:r>
    </w:p>
    <w:p w14:paraId="5C4D16BE">
      <w:pPr>
        <w:spacing w:line="360" w:lineRule="auto"/>
        <w:outlineLvl w:val="9"/>
        <w:rPr>
          <w:rFonts w:hint="eastAsia"/>
          <w:color w:val="000000"/>
          <w:sz w:val="24"/>
          <w:szCs w:val="24"/>
        </w:rPr>
      </w:pPr>
      <w:r>
        <w:rPr>
          <w:rFonts w:hint="eastAsia"/>
          <w:color w:val="000000"/>
          <w:sz w:val="24"/>
          <w:szCs w:val="24"/>
        </w:rPr>
        <w:t>日 期：</w:t>
      </w:r>
      <w:r>
        <w:rPr>
          <w:rFonts w:hint="eastAsia"/>
          <w:color w:val="000000"/>
          <w:sz w:val="24"/>
          <w:szCs w:val="24"/>
          <w:u w:val="single"/>
        </w:rPr>
        <w:t xml:space="preserve">         </w:t>
      </w:r>
    </w:p>
    <w:p w14:paraId="60BFABB4">
      <w:pPr>
        <w:pStyle w:val="9"/>
        <w:pageBreakBefore/>
        <w:numPr>
          <w:ilvl w:val="0"/>
          <w:numId w:val="0"/>
        </w:numPr>
        <w:spacing w:before="156" w:beforeLines="50" w:after="156" w:afterLines="50" w:line="360" w:lineRule="auto"/>
        <w:ind w:left="-101" w:leftChars="0"/>
        <w:jc w:val="center"/>
        <w:rPr>
          <w:rFonts w:hint="eastAsia" w:ascii="宋体" w:hAnsi="宋体"/>
          <w:color w:val="000000"/>
          <w:sz w:val="24"/>
          <w:szCs w:val="24"/>
        </w:rPr>
      </w:pPr>
      <w:bookmarkStart w:id="531" w:name="_Toc15320"/>
      <w:bookmarkEnd w:id="531"/>
      <w:bookmarkStart w:id="532" w:name="_Toc10414"/>
      <w:bookmarkStart w:id="533" w:name="_Toc9106"/>
      <w:bookmarkStart w:id="534" w:name="_Toc32754"/>
      <w:bookmarkStart w:id="535" w:name="_Toc15954"/>
      <w:bookmarkStart w:id="536" w:name="_Toc11973"/>
      <w:bookmarkStart w:id="537" w:name="_Toc14682"/>
      <w:bookmarkStart w:id="538" w:name="_Toc18921"/>
      <w:r>
        <w:rPr>
          <w:rFonts w:hint="eastAsia" w:ascii="宋体" w:hAnsi="宋体"/>
          <w:color w:val="000000"/>
          <w:sz w:val="24"/>
          <w:szCs w:val="24"/>
          <w:lang w:val="en-US" w:eastAsia="zh-CN"/>
        </w:rPr>
        <w:t>二、</w:t>
      </w:r>
      <w:r>
        <w:rPr>
          <w:rFonts w:hint="eastAsia" w:ascii="宋体" w:hAnsi="宋体"/>
          <w:color w:val="000000"/>
          <w:sz w:val="24"/>
          <w:szCs w:val="24"/>
        </w:rPr>
        <w:t>报价一览表</w:t>
      </w:r>
      <w:bookmarkEnd w:id="532"/>
      <w:bookmarkEnd w:id="533"/>
      <w:bookmarkEnd w:id="534"/>
      <w:bookmarkEnd w:id="535"/>
      <w:bookmarkEnd w:id="536"/>
      <w:bookmarkEnd w:id="537"/>
      <w:bookmarkEnd w:id="538"/>
    </w:p>
    <w:tbl>
      <w:tblPr>
        <w:tblStyle w:val="14"/>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2970"/>
        <w:gridCol w:w="1793"/>
        <w:gridCol w:w="1455"/>
      </w:tblGrid>
      <w:tr w14:paraId="4916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765" w:type="dxa"/>
            <w:noWrap w:val="0"/>
            <w:vAlign w:val="center"/>
          </w:tcPr>
          <w:p w14:paraId="367E0A0E">
            <w:pPr>
              <w:snapToGrid w:val="0"/>
              <w:spacing w:line="360" w:lineRule="auto"/>
              <w:ind w:firstLine="160" w:firstLineChars="67"/>
              <w:jc w:val="center"/>
              <w:rPr>
                <w:rFonts w:hint="eastAsia"/>
                <w:color w:val="000000"/>
                <w:sz w:val="24"/>
                <w:szCs w:val="24"/>
              </w:rPr>
            </w:pPr>
            <w:r>
              <w:rPr>
                <w:rFonts w:hint="eastAsia"/>
                <w:color w:val="000000"/>
                <w:sz w:val="24"/>
                <w:szCs w:val="24"/>
              </w:rPr>
              <w:t>项目名称</w:t>
            </w:r>
          </w:p>
        </w:tc>
        <w:tc>
          <w:tcPr>
            <w:tcW w:w="2970" w:type="dxa"/>
            <w:noWrap w:val="0"/>
            <w:vAlign w:val="center"/>
          </w:tcPr>
          <w:p w14:paraId="12207AAD">
            <w:pPr>
              <w:snapToGrid w:val="0"/>
              <w:spacing w:line="360" w:lineRule="auto"/>
              <w:ind w:firstLine="160" w:firstLineChars="67"/>
              <w:jc w:val="center"/>
              <w:rPr>
                <w:rFonts w:hint="eastAsia"/>
                <w:color w:val="000000"/>
                <w:sz w:val="24"/>
                <w:szCs w:val="24"/>
              </w:rPr>
            </w:pPr>
            <w:r>
              <w:rPr>
                <w:rFonts w:hint="eastAsia"/>
                <w:color w:val="000000"/>
                <w:sz w:val="24"/>
                <w:szCs w:val="24"/>
              </w:rPr>
              <w:t>磋商总价</w:t>
            </w:r>
          </w:p>
          <w:p w14:paraId="6BF5847A">
            <w:pPr>
              <w:snapToGrid w:val="0"/>
              <w:spacing w:line="360" w:lineRule="auto"/>
              <w:ind w:firstLine="160" w:firstLineChars="67"/>
              <w:jc w:val="center"/>
              <w:rPr>
                <w:rFonts w:hint="eastAsia"/>
                <w:color w:val="000000"/>
                <w:sz w:val="24"/>
                <w:szCs w:val="24"/>
              </w:rPr>
            </w:pPr>
            <w:r>
              <w:rPr>
                <w:rFonts w:hint="eastAsia"/>
                <w:color w:val="000000"/>
                <w:sz w:val="24"/>
                <w:szCs w:val="24"/>
              </w:rPr>
              <w:t>（元</w:t>
            </w:r>
            <w:r>
              <w:rPr>
                <w:rFonts w:hint="eastAsia"/>
                <w:color w:val="000000"/>
                <w:sz w:val="24"/>
                <w:szCs w:val="24"/>
                <w:lang w:val="en-US" w:eastAsia="zh-CN"/>
              </w:rPr>
              <w:t>/</w:t>
            </w:r>
            <w:r>
              <w:rPr>
                <w:rFonts w:hint="eastAsia"/>
                <w:color w:val="000000"/>
                <w:sz w:val="24"/>
                <w:szCs w:val="24"/>
              </w:rPr>
              <w:t>人民币）</w:t>
            </w:r>
          </w:p>
        </w:tc>
        <w:tc>
          <w:tcPr>
            <w:tcW w:w="1793" w:type="dxa"/>
            <w:noWrap w:val="0"/>
            <w:vAlign w:val="center"/>
          </w:tcPr>
          <w:p w14:paraId="68BD176E">
            <w:pPr>
              <w:snapToGrid w:val="0"/>
              <w:spacing w:line="360" w:lineRule="auto"/>
              <w:ind w:firstLine="160" w:firstLineChars="67"/>
              <w:jc w:val="center"/>
              <w:rPr>
                <w:rFonts w:hint="eastAsia"/>
                <w:color w:val="000000"/>
                <w:sz w:val="24"/>
                <w:szCs w:val="24"/>
              </w:rPr>
            </w:pPr>
            <w:r>
              <w:rPr>
                <w:rFonts w:hint="eastAsia"/>
                <w:color w:val="000000"/>
                <w:sz w:val="24"/>
                <w:szCs w:val="24"/>
              </w:rPr>
              <w:t>服务</w:t>
            </w:r>
          </w:p>
          <w:p w14:paraId="2DA77F61">
            <w:pPr>
              <w:snapToGrid w:val="0"/>
              <w:spacing w:line="360" w:lineRule="auto"/>
              <w:ind w:firstLine="160" w:firstLineChars="67"/>
              <w:jc w:val="center"/>
              <w:rPr>
                <w:rFonts w:hint="eastAsia"/>
                <w:color w:val="000000"/>
                <w:sz w:val="24"/>
                <w:szCs w:val="24"/>
              </w:rPr>
            </w:pPr>
            <w:r>
              <w:rPr>
                <w:rFonts w:hint="eastAsia"/>
                <w:color w:val="000000"/>
                <w:sz w:val="24"/>
                <w:szCs w:val="24"/>
              </w:rPr>
              <w:t>期限</w:t>
            </w:r>
          </w:p>
        </w:tc>
        <w:tc>
          <w:tcPr>
            <w:tcW w:w="1455" w:type="dxa"/>
            <w:noWrap w:val="0"/>
            <w:vAlign w:val="center"/>
          </w:tcPr>
          <w:p w14:paraId="6231013A">
            <w:pPr>
              <w:snapToGrid w:val="0"/>
              <w:spacing w:line="360" w:lineRule="auto"/>
              <w:jc w:val="center"/>
              <w:rPr>
                <w:rFonts w:hint="eastAsia"/>
                <w:color w:val="000000"/>
                <w:sz w:val="24"/>
                <w:szCs w:val="24"/>
              </w:rPr>
            </w:pPr>
            <w:r>
              <w:rPr>
                <w:rFonts w:hint="eastAsia"/>
                <w:color w:val="000000"/>
                <w:sz w:val="24"/>
                <w:szCs w:val="24"/>
              </w:rPr>
              <w:t>服务</w:t>
            </w:r>
          </w:p>
          <w:p w14:paraId="2A73A1C4">
            <w:pPr>
              <w:snapToGrid w:val="0"/>
              <w:spacing w:line="360" w:lineRule="auto"/>
              <w:jc w:val="center"/>
              <w:rPr>
                <w:rFonts w:hint="eastAsia"/>
                <w:color w:val="000000"/>
                <w:sz w:val="24"/>
                <w:szCs w:val="24"/>
              </w:rPr>
            </w:pPr>
            <w:r>
              <w:rPr>
                <w:rFonts w:hint="eastAsia"/>
                <w:color w:val="000000"/>
                <w:sz w:val="24"/>
                <w:szCs w:val="24"/>
              </w:rPr>
              <w:t>要求</w:t>
            </w:r>
          </w:p>
        </w:tc>
      </w:tr>
      <w:tr w14:paraId="1670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3765" w:type="dxa"/>
            <w:vMerge w:val="restart"/>
            <w:noWrap w:val="0"/>
            <w:vAlign w:val="center"/>
          </w:tcPr>
          <w:p w14:paraId="18A935F6">
            <w:pPr>
              <w:snapToGrid w:val="0"/>
              <w:spacing w:line="360" w:lineRule="auto"/>
              <w:ind w:firstLine="160" w:firstLineChars="67"/>
              <w:jc w:val="center"/>
              <w:rPr>
                <w:rFonts w:hint="eastAsia"/>
                <w:color w:val="000000"/>
                <w:sz w:val="24"/>
                <w:szCs w:val="24"/>
              </w:rPr>
            </w:pPr>
          </w:p>
        </w:tc>
        <w:tc>
          <w:tcPr>
            <w:tcW w:w="2970" w:type="dxa"/>
            <w:noWrap w:val="0"/>
            <w:vAlign w:val="center"/>
          </w:tcPr>
          <w:p w14:paraId="144DF579">
            <w:pPr>
              <w:snapToGrid w:val="0"/>
              <w:spacing w:line="360" w:lineRule="auto"/>
              <w:ind w:firstLine="160" w:firstLineChars="67"/>
              <w:rPr>
                <w:rFonts w:hint="eastAsia"/>
                <w:color w:val="000000"/>
                <w:sz w:val="24"/>
                <w:szCs w:val="24"/>
              </w:rPr>
            </w:pPr>
            <w:r>
              <w:rPr>
                <w:rFonts w:hint="eastAsia"/>
                <w:color w:val="000000"/>
                <w:sz w:val="24"/>
                <w:szCs w:val="24"/>
              </w:rPr>
              <w:t>小写：</w:t>
            </w:r>
          </w:p>
        </w:tc>
        <w:tc>
          <w:tcPr>
            <w:tcW w:w="1793" w:type="dxa"/>
            <w:vMerge w:val="restart"/>
            <w:noWrap w:val="0"/>
            <w:vAlign w:val="center"/>
          </w:tcPr>
          <w:p w14:paraId="35136804">
            <w:pPr>
              <w:snapToGrid w:val="0"/>
              <w:spacing w:line="360" w:lineRule="auto"/>
              <w:ind w:firstLine="160" w:firstLineChars="67"/>
              <w:jc w:val="center"/>
              <w:rPr>
                <w:rFonts w:hint="eastAsia"/>
                <w:color w:val="000000"/>
                <w:sz w:val="24"/>
                <w:szCs w:val="24"/>
              </w:rPr>
            </w:pPr>
          </w:p>
        </w:tc>
        <w:tc>
          <w:tcPr>
            <w:tcW w:w="1455" w:type="dxa"/>
            <w:vMerge w:val="restart"/>
            <w:noWrap w:val="0"/>
            <w:vAlign w:val="center"/>
          </w:tcPr>
          <w:p w14:paraId="3B34DFE0">
            <w:pPr>
              <w:snapToGrid w:val="0"/>
              <w:spacing w:line="360" w:lineRule="auto"/>
              <w:ind w:firstLine="160" w:firstLineChars="67"/>
              <w:jc w:val="center"/>
              <w:rPr>
                <w:rFonts w:hint="eastAsia"/>
                <w:color w:val="000000"/>
                <w:sz w:val="24"/>
                <w:szCs w:val="24"/>
              </w:rPr>
            </w:pPr>
          </w:p>
        </w:tc>
      </w:tr>
      <w:tr w14:paraId="044D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765" w:type="dxa"/>
            <w:vMerge w:val="continue"/>
            <w:noWrap w:val="0"/>
            <w:vAlign w:val="center"/>
          </w:tcPr>
          <w:p w14:paraId="7C19D51E">
            <w:pPr>
              <w:spacing w:line="360" w:lineRule="auto"/>
              <w:rPr>
                <w:rFonts w:hint="eastAsia"/>
                <w:color w:val="000000"/>
                <w:sz w:val="24"/>
                <w:szCs w:val="24"/>
              </w:rPr>
            </w:pPr>
          </w:p>
        </w:tc>
        <w:tc>
          <w:tcPr>
            <w:tcW w:w="2970" w:type="dxa"/>
            <w:noWrap w:val="0"/>
            <w:vAlign w:val="center"/>
          </w:tcPr>
          <w:p w14:paraId="0FA488F1">
            <w:pPr>
              <w:snapToGrid w:val="0"/>
              <w:spacing w:line="360" w:lineRule="auto"/>
              <w:ind w:firstLine="160" w:firstLineChars="67"/>
              <w:rPr>
                <w:rFonts w:hint="eastAsia"/>
                <w:color w:val="000000"/>
                <w:sz w:val="24"/>
                <w:szCs w:val="24"/>
              </w:rPr>
            </w:pPr>
            <w:r>
              <w:rPr>
                <w:rFonts w:hint="eastAsia"/>
                <w:color w:val="000000"/>
                <w:sz w:val="24"/>
                <w:szCs w:val="24"/>
              </w:rPr>
              <w:t>大写：</w:t>
            </w:r>
          </w:p>
        </w:tc>
        <w:tc>
          <w:tcPr>
            <w:tcW w:w="1793" w:type="dxa"/>
            <w:vMerge w:val="continue"/>
            <w:noWrap w:val="0"/>
            <w:vAlign w:val="center"/>
          </w:tcPr>
          <w:p w14:paraId="2C43475B">
            <w:pPr>
              <w:spacing w:line="360" w:lineRule="auto"/>
              <w:rPr>
                <w:rFonts w:hint="eastAsia"/>
                <w:color w:val="000000"/>
                <w:sz w:val="24"/>
                <w:szCs w:val="24"/>
              </w:rPr>
            </w:pPr>
          </w:p>
        </w:tc>
        <w:tc>
          <w:tcPr>
            <w:tcW w:w="1455" w:type="dxa"/>
            <w:vMerge w:val="continue"/>
            <w:noWrap w:val="0"/>
            <w:vAlign w:val="center"/>
          </w:tcPr>
          <w:p w14:paraId="60A0C9EE">
            <w:pPr>
              <w:spacing w:line="360" w:lineRule="auto"/>
              <w:rPr>
                <w:rFonts w:hint="eastAsia"/>
                <w:color w:val="000000"/>
                <w:sz w:val="24"/>
                <w:szCs w:val="24"/>
              </w:rPr>
            </w:pPr>
          </w:p>
        </w:tc>
      </w:tr>
    </w:tbl>
    <w:p w14:paraId="35F01E59">
      <w:pPr>
        <w:spacing w:before="312" w:beforeLines="100" w:line="360" w:lineRule="auto"/>
        <w:ind w:firstLine="160" w:firstLineChars="67"/>
        <w:rPr>
          <w:rFonts w:hint="eastAsia"/>
          <w:color w:val="000000"/>
          <w:sz w:val="24"/>
          <w:szCs w:val="24"/>
        </w:rPr>
      </w:pPr>
      <w:bookmarkStart w:id="539" w:name="_Toc303350104"/>
      <w:bookmarkEnd w:id="539"/>
      <w:bookmarkStart w:id="540" w:name="_Toc303696427"/>
      <w:bookmarkEnd w:id="540"/>
      <w:bookmarkStart w:id="541" w:name="_Toc268888732"/>
      <w:bookmarkEnd w:id="541"/>
      <w:bookmarkStart w:id="542" w:name="_Toc303696138"/>
      <w:bookmarkEnd w:id="542"/>
      <w:bookmarkStart w:id="543" w:name="_Toc303271523"/>
      <w:bookmarkEnd w:id="543"/>
      <w:bookmarkStart w:id="544" w:name="_Toc303294128"/>
      <w:bookmarkEnd w:id="544"/>
      <w:bookmarkStart w:id="545" w:name="_Toc271015843"/>
      <w:bookmarkEnd w:id="545"/>
      <w:bookmarkStart w:id="546" w:name="_Toc303697559"/>
      <w:r>
        <w:rPr>
          <w:rFonts w:hint="eastAsia"/>
          <w:color w:val="000000"/>
          <w:sz w:val="24"/>
          <w:szCs w:val="24"/>
        </w:rPr>
        <w:t>法定代表人（</w:t>
      </w:r>
      <w:bookmarkEnd w:id="546"/>
      <w:r>
        <w:rPr>
          <w:rFonts w:hint="eastAsia"/>
          <w:color w:val="000000"/>
          <w:sz w:val="24"/>
          <w:szCs w:val="24"/>
        </w:rPr>
        <w:t>法人电子签章）：</w:t>
      </w:r>
    </w:p>
    <w:p w14:paraId="26F739D1">
      <w:pPr>
        <w:spacing w:before="312" w:beforeLines="100" w:line="360" w:lineRule="auto"/>
        <w:ind w:firstLine="160" w:firstLineChars="67"/>
        <w:rPr>
          <w:rFonts w:hint="eastAsia"/>
          <w:color w:val="000000"/>
          <w:sz w:val="24"/>
          <w:szCs w:val="24"/>
        </w:rPr>
      </w:pPr>
      <w:bookmarkStart w:id="547" w:name="_Toc309605966"/>
      <w:bookmarkEnd w:id="547"/>
      <w:r>
        <w:rPr>
          <w:rFonts w:hint="eastAsia"/>
          <w:color w:val="000000"/>
          <w:sz w:val="24"/>
          <w:szCs w:val="24"/>
          <w:lang w:eastAsia="zh-CN"/>
        </w:rPr>
        <w:t>响应人</w:t>
      </w:r>
      <w:r>
        <w:rPr>
          <w:rFonts w:hint="eastAsia"/>
          <w:color w:val="000000"/>
          <w:sz w:val="24"/>
          <w:szCs w:val="24"/>
        </w:rPr>
        <w:t>名称（</w:t>
      </w:r>
      <w:r>
        <w:rPr>
          <w:rFonts w:hint="eastAsia"/>
          <w:color w:val="000000"/>
          <w:sz w:val="24"/>
          <w:szCs w:val="24"/>
          <w:lang w:eastAsia="zh-CN"/>
        </w:rPr>
        <w:t>单位电子公章</w:t>
      </w:r>
      <w:r>
        <w:rPr>
          <w:rFonts w:hint="eastAsia"/>
          <w:color w:val="000000"/>
          <w:sz w:val="24"/>
          <w:szCs w:val="24"/>
        </w:rPr>
        <w:t>）：</w:t>
      </w:r>
    </w:p>
    <w:p w14:paraId="706B6AD9">
      <w:pPr>
        <w:spacing w:before="312" w:beforeLines="100" w:line="360" w:lineRule="auto"/>
        <w:ind w:firstLine="160" w:firstLineChars="67"/>
        <w:rPr>
          <w:rFonts w:hint="eastAsia"/>
          <w:color w:val="000000"/>
          <w:sz w:val="24"/>
          <w:szCs w:val="24"/>
        </w:rPr>
      </w:pPr>
      <w:r>
        <w:rPr>
          <w:rFonts w:hint="eastAsia"/>
          <w:color w:val="000000"/>
          <w:sz w:val="24"/>
          <w:szCs w:val="24"/>
        </w:rPr>
        <w:t>注：1.上述价格应包括</w:t>
      </w:r>
      <w:r>
        <w:rPr>
          <w:rFonts w:hint="eastAsia"/>
          <w:color w:val="000000"/>
          <w:sz w:val="24"/>
          <w:szCs w:val="24"/>
          <w:lang w:eastAsia="zh-CN"/>
        </w:rPr>
        <w:t>响应人</w:t>
      </w:r>
      <w:r>
        <w:rPr>
          <w:rFonts w:hint="eastAsia"/>
          <w:color w:val="000000"/>
          <w:sz w:val="24"/>
          <w:szCs w:val="24"/>
        </w:rPr>
        <w:t>履行本项目所必须的所有成本费用和</w:t>
      </w:r>
      <w:r>
        <w:rPr>
          <w:rFonts w:hint="eastAsia"/>
          <w:color w:val="000000"/>
          <w:sz w:val="24"/>
          <w:szCs w:val="24"/>
          <w:lang w:eastAsia="zh-CN"/>
        </w:rPr>
        <w:t>响应人</w:t>
      </w:r>
      <w:r>
        <w:rPr>
          <w:rFonts w:hint="eastAsia"/>
          <w:color w:val="000000"/>
          <w:sz w:val="24"/>
          <w:szCs w:val="24"/>
        </w:rPr>
        <w:t>应承担的一切税费，包括但不限于办公、交通、人员、业务、差旅、调研、资料收集、报告编制、印刷、管理、税费、测试工具费用及其他管理费用等。此表中的磋商总价应和磋商分项报价表中的磋商总价相一致；</w:t>
      </w:r>
    </w:p>
    <w:p w14:paraId="5D9B7D58">
      <w:pPr>
        <w:spacing w:line="360" w:lineRule="auto"/>
        <w:ind w:left="596"/>
        <w:rPr>
          <w:rFonts w:hint="eastAsia"/>
          <w:color w:val="000000"/>
          <w:sz w:val="24"/>
          <w:szCs w:val="24"/>
        </w:rPr>
      </w:pPr>
      <w:r>
        <w:rPr>
          <w:rFonts w:hint="eastAsia"/>
          <w:color w:val="000000"/>
          <w:sz w:val="24"/>
          <w:szCs w:val="24"/>
        </w:rPr>
        <w:t>2.若用文字表示的数值与用数字表示的数值不一致，以文字表示的数值为准。</w:t>
      </w:r>
      <w:bookmarkStart w:id="548" w:name="_Toc325446133"/>
      <w:bookmarkEnd w:id="548"/>
      <w:bookmarkStart w:id="549" w:name="_Toc321903857"/>
      <w:bookmarkEnd w:id="549"/>
      <w:bookmarkStart w:id="550" w:name="_Toc325383407"/>
      <w:bookmarkEnd w:id="550"/>
      <w:bookmarkStart w:id="551" w:name="_Toc359842905"/>
      <w:bookmarkEnd w:id="551"/>
      <w:bookmarkStart w:id="552" w:name="_Toc324696984"/>
      <w:bookmarkEnd w:id="552"/>
      <w:bookmarkStart w:id="553" w:name="_Toc526072759"/>
      <w:bookmarkEnd w:id="553"/>
      <w:bookmarkStart w:id="554" w:name="_Toc266859802"/>
      <w:bookmarkEnd w:id="554"/>
    </w:p>
    <w:p w14:paraId="5CFB0153">
      <w:pPr>
        <w:pStyle w:val="20"/>
        <w:spacing w:line="360" w:lineRule="auto"/>
        <w:rPr>
          <w:rFonts w:hint="eastAsia" w:ascii="宋体" w:hAnsi="宋体" w:cs="宋体"/>
          <w:color w:val="000000"/>
          <w:sz w:val="24"/>
          <w:szCs w:val="24"/>
        </w:rPr>
      </w:pPr>
    </w:p>
    <w:p w14:paraId="25918052">
      <w:pPr>
        <w:pStyle w:val="9"/>
        <w:pageBreakBefore/>
        <w:numPr>
          <w:ilvl w:val="0"/>
          <w:numId w:val="0"/>
        </w:numPr>
        <w:spacing w:before="120" w:beforeLines="50" w:after="120" w:afterLines="50" w:line="360" w:lineRule="auto"/>
        <w:ind w:left="4281" w:leftChars="0"/>
        <w:jc w:val="both"/>
        <w:rPr>
          <w:rFonts w:hint="eastAsia" w:ascii="宋体" w:hAnsi="宋体"/>
          <w:color w:val="000000"/>
          <w:sz w:val="24"/>
          <w:szCs w:val="24"/>
        </w:rPr>
      </w:pPr>
      <w:bookmarkStart w:id="555" w:name="_Toc11784"/>
      <w:bookmarkEnd w:id="555"/>
      <w:bookmarkStart w:id="556" w:name="_Toc23798"/>
      <w:bookmarkStart w:id="557" w:name="_Toc11714"/>
      <w:bookmarkStart w:id="558" w:name="_Toc3536"/>
      <w:bookmarkStart w:id="559" w:name="_Toc4614"/>
      <w:bookmarkStart w:id="560" w:name="_Toc27317"/>
      <w:bookmarkStart w:id="561" w:name="_Toc31880"/>
      <w:bookmarkStart w:id="562" w:name="_Toc24025"/>
      <w:r>
        <w:rPr>
          <w:rFonts w:hint="eastAsia" w:ascii="宋体" w:hAnsi="宋体"/>
          <w:color w:val="000000"/>
          <w:sz w:val="24"/>
          <w:szCs w:val="24"/>
          <w:lang w:val="en-US" w:eastAsia="zh-CN"/>
        </w:rPr>
        <w:t>三、</w:t>
      </w:r>
      <w:r>
        <w:rPr>
          <w:rFonts w:hint="eastAsia" w:ascii="宋体" w:hAnsi="宋体" w:eastAsia="宋体" w:cs="宋体"/>
          <w:sz w:val="24"/>
          <w:szCs w:val="24"/>
        </w:rPr>
        <w:t>整体策划服务方案</w:t>
      </w:r>
      <w:bookmarkEnd w:id="556"/>
      <w:bookmarkEnd w:id="557"/>
      <w:bookmarkEnd w:id="558"/>
      <w:bookmarkEnd w:id="559"/>
      <w:bookmarkEnd w:id="560"/>
      <w:bookmarkEnd w:id="561"/>
      <w:bookmarkEnd w:id="562"/>
    </w:p>
    <w:p w14:paraId="66008DE1">
      <w:pPr>
        <w:rPr>
          <w:rFonts w:hint="eastAsia"/>
          <w:sz w:val="24"/>
          <w:szCs w:val="24"/>
        </w:rPr>
      </w:pPr>
    </w:p>
    <w:p w14:paraId="4562C836">
      <w:pPr>
        <w:spacing w:line="360" w:lineRule="auto"/>
        <w:ind w:left="-60" w:firstLine="161" w:firstLineChars="67"/>
        <w:jc w:val="center"/>
        <w:rPr>
          <w:rFonts w:hint="eastAsia"/>
          <w:b/>
          <w:bCs/>
          <w:color w:val="000000"/>
          <w:sz w:val="24"/>
          <w:szCs w:val="24"/>
        </w:rPr>
      </w:pPr>
    </w:p>
    <w:p w14:paraId="73DA9F2E">
      <w:pPr>
        <w:pStyle w:val="4"/>
        <w:rPr>
          <w:rFonts w:hint="eastAsia"/>
          <w:b/>
          <w:bCs/>
          <w:color w:val="000000"/>
          <w:sz w:val="24"/>
          <w:szCs w:val="24"/>
        </w:rPr>
      </w:pPr>
    </w:p>
    <w:p w14:paraId="34A5DC8C">
      <w:pPr>
        <w:pStyle w:val="4"/>
        <w:rPr>
          <w:rFonts w:hint="eastAsia"/>
          <w:b/>
          <w:bCs/>
          <w:color w:val="000000"/>
          <w:sz w:val="24"/>
          <w:szCs w:val="24"/>
        </w:rPr>
      </w:pPr>
    </w:p>
    <w:p w14:paraId="12C34FF0">
      <w:pPr>
        <w:pStyle w:val="4"/>
        <w:rPr>
          <w:rFonts w:hint="eastAsia"/>
          <w:b/>
          <w:bCs/>
          <w:color w:val="000000"/>
          <w:sz w:val="24"/>
          <w:szCs w:val="24"/>
        </w:rPr>
      </w:pPr>
    </w:p>
    <w:p w14:paraId="5F3AD7F3">
      <w:pPr>
        <w:pStyle w:val="4"/>
        <w:rPr>
          <w:rFonts w:hint="eastAsia"/>
          <w:b/>
          <w:bCs/>
          <w:color w:val="000000"/>
          <w:sz w:val="24"/>
          <w:szCs w:val="24"/>
        </w:rPr>
      </w:pPr>
    </w:p>
    <w:p w14:paraId="3C274E15">
      <w:pPr>
        <w:pStyle w:val="4"/>
        <w:rPr>
          <w:rFonts w:hint="eastAsia"/>
          <w:b/>
          <w:bCs/>
          <w:color w:val="000000"/>
          <w:sz w:val="24"/>
          <w:szCs w:val="24"/>
        </w:rPr>
      </w:pPr>
    </w:p>
    <w:p w14:paraId="06799915">
      <w:pPr>
        <w:pStyle w:val="4"/>
        <w:rPr>
          <w:rFonts w:hint="eastAsia"/>
          <w:b/>
          <w:bCs/>
          <w:color w:val="000000"/>
          <w:sz w:val="24"/>
          <w:szCs w:val="24"/>
        </w:rPr>
      </w:pPr>
    </w:p>
    <w:p w14:paraId="0C005AAA">
      <w:pPr>
        <w:pStyle w:val="4"/>
        <w:rPr>
          <w:rFonts w:hint="eastAsia"/>
          <w:b/>
          <w:bCs/>
          <w:color w:val="000000"/>
          <w:sz w:val="24"/>
          <w:szCs w:val="24"/>
        </w:rPr>
      </w:pPr>
    </w:p>
    <w:p w14:paraId="53EFB7B8">
      <w:pPr>
        <w:pStyle w:val="4"/>
        <w:rPr>
          <w:rFonts w:hint="eastAsia"/>
          <w:b/>
          <w:bCs/>
          <w:color w:val="000000"/>
          <w:sz w:val="24"/>
          <w:szCs w:val="24"/>
        </w:rPr>
      </w:pPr>
    </w:p>
    <w:p w14:paraId="2AC91BC5">
      <w:pPr>
        <w:pStyle w:val="4"/>
        <w:rPr>
          <w:rFonts w:hint="eastAsia"/>
          <w:b/>
          <w:bCs/>
          <w:color w:val="000000"/>
          <w:sz w:val="24"/>
          <w:szCs w:val="24"/>
        </w:rPr>
      </w:pPr>
    </w:p>
    <w:p w14:paraId="44FFB400">
      <w:pPr>
        <w:pStyle w:val="4"/>
        <w:rPr>
          <w:rFonts w:hint="eastAsia"/>
          <w:b/>
          <w:bCs/>
          <w:color w:val="000000"/>
          <w:sz w:val="24"/>
          <w:szCs w:val="24"/>
        </w:rPr>
      </w:pPr>
    </w:p>
    <w:p w14:paraId="108C3436">
      <w:pPr>
        <w:pStyle w:val="4"/>
        <w:rPr>
          <w:rFonts w:hint="eastAsia"/>
          <w:b/>
          <w:bCs/>
          <w:color w:val="000000"/>
          <w:sz w:val="24"/>
          <w:szCs w:val="24"/>
        </w:rPr>
      </w:pPr>
    </w:p>
    <w:p w14:paraId="60FDF314">
      <w:pPr>
        <w:pStyle w:val="4"/>
        <w:rPr>
          <w:rFonts w:hint="eastAsia"/>
          <w:b/>
          <w:bCs/>
          <w:color w:val="000000"/>
          <w:sz w:val="24"/>
          <w:szCs w:val="24"/>
        </w:rPr>
      </w:pPr>
    </w:p>
    <w:p w14:paraId="1AD8D9E8">
      <w:pPr>
        <w:pStyle w:val="4"/>
        <w:rPr>
          <w:rFonts w:hint="eastAsia"/>
          <w:b/>
          <w:bCs/>
          <w:color w:val="000000"/>
          <w:sz w:val="24"/>
          <w:szCs w:val="24"/>
        </w:rPr>
      </w:pPr>
    </w:p>
    <w:p w14:paraId="742725F2">
      <w:pPr>
        <w:pStyle w:val="4"/>
        <w:rPr>
          <w:rFonts w:hint="eastAsia"/>
          <w:b/>
          <w:bCs/>
          <w:color w:val="000000"/>
          <w:sz w:val="24"/>
          <w:szCs w:val="24"/>
        </w:rPr>
      </w:pPr>
    </w:p>
    <w:p w14:paraId="71A6C0C0">
      <w:pPr>
        <w:pStyle w:val="4"/>
        <w:rPr>
          <w:rFonts w:hint="eastAsia"/>
          <w:b/>
          <w:bCs/>
          <w:color w:val="000000"/>
          <w:sz w:val="24"/>
          <w:szCs w:val="24"/>
        </w:rPr>
      </w:pPr>
    </w:p>
    <w:p w14:paraId="602FFF3D">
      <w:pPr>
        <w:pStyle w:val="4"/>
        <w:rPr>
          <w:rFonts w:hint="eastAsia"/>
          <w:b/>
          <w:bCs/>
          <w:color w:val="000000"/>
          <w:sz w:val="24"/>
          <w:szCs w:val="24"/>
        </w:rPr>
      </w:pPr>
    </w:p>
    <w:p w14:paraId="0C2B542A">
      <w:pPr>
        <w:pStyle w:val="4"/>
        <w:rPr>
          <w:rFonts w:hint="eastAsia"/>
          <w:b/>
          <w:bCs/>
          <w:color w:val="000000"/>
          <w:sz w:val="24"/>
          <w:szCs w:val="24"/>
        </w:rPr>
      </w:pPr>
    </w:p>
    <w:p w14:paraId="3C726DFC">
      <w:pPr>
        <w:pStyle w:val="4"/>
        <w:rPr>
          <w:rFonts w:hint="eastAsia"/>
          <w:b/>
          <w:bCs/>
          <w:color w:val="000000"/>
          <w:sz w:val="24"/>
          <w:szCs w:val="24"/>
        </w:rPr>
      </w:pPr>
    </w:p>
    <w:p w14:paraId="65AC1F72">
      <w:pPr>
        <w:pStyle w:val="4"/>
        <w:rPr>
          <w:rFonts w:hint="eastAsia"/>
          <w:b/>
          <w:bCs/>
          <w:color w:val="000000"/>
          <w:sz w:val="24"/>
          <w:szCs w:val="24"/>
        </w:rPr>
      </w:pPr>
    </w:p>
    <w:p w14:paraId="2791540F">
      <w:pPr>
        <w:pStyle w:val="4"/>
        <w:rPr>
          <w:rFonts w:hint="eastAsia"/>
          <w:b/>
          <w:bCs/>
          <w:color w:val="000000"/>
          <w:sz w:val="24"/>
          <w:szCs w:val="24"/>
        </w:rPr>
      </w:pPr>
    </w:p>
    <w:p w14:paraId="55F667DA">
      <w:pPr>
        <w:pStyle w:val="4"/>
        <w:rPr>
          <w:rFonts w:hint="eastAsia"/>
          <w:b/>
          <w:bCs/>
          <w:color w:val="000000"/>
          <w:sz w:val="24"/>
          <w:szCs w:val="24"/>
        </w:rPr>
      </w:pPr>
    </w:p>
    <w:p w14:paraId="469C1018">
      <w:pPr>
        <w:pStyle w:val="4"/>
        <w:rPr>
          <w:rFonts w:hint="eastAsia"/>
          <w:b/>
          <w:bCs/>
          <w:color w:val="000000"/>
          <w:sz w:val="24"/>
          <w:szCs w:val="24"/>
        </w:rPr>
      </w:pPr>
    </w:p>
    <w:p w14:paraId="3C93B972">
      <w:pPr>
        <w:pStyle w:val="4"/>
        <w:rPr>
          <w:rFonts w:hint="eastAsia"/>
          <w:b/>
          <w:bCs/>
          <w:color w:val="000000"/>
          <w:sz w:val="24"/>
          <w:szCs w:val="24"/>
        </w:rPr>
      </w:pPr>
    </w:p>
    <w:p w14:paraId="78D53390">
      <w:pPr>
        <w:pStyle w:val="4"/>
        <w:rPr>
          <w:rFonts w:hint="eastAsia"/>
          <w:b/>
          <w:bCs/>
          <w:color w:val="000000"/>
          <w:sz w:val="24"/>
          <w:szCs w:val="24"/>
        </w:rPr>
      </w:pPr>
    </w:p>
    <w:p w14:paraId="3C8FB79E">
      <w:pPr>
        <w:spacing w:line="360" w:lineRule="auto"/>
        <w:ind w:left="-60" w:firstLine="161" w:firstLineChars="67"/>
        <w:jc w:val="center"/>
        <w:rPr>
          <w:rFonts w:hint="eastAsia"/>
          <w:b/>
          <w:bCs/>
          <w:color w:val="000000"/>
          <w:sz w:val="24"/>
          <w:szCs w:val="24"/>
        </w:rPr>
      </w:pPr>
    </w:p>
    <w:p w14:paraId="3C992A70">
      <w:pPr>
        <w:pStyle w:val="9"/>
        <w:pageBreakBefore/>
        <w:numPr>
          <w:ilvl w:val="0"/>
          <w:numId w:val="0"/>
        </w:numPr>
        <w:spacing w:before="120" w:beforeLines="50" w:after="120" w:afterLines="50" w:line="360" w:lineRule="auto"/>
        <w:ind w:leftChars="0"/>
        <w:jc w:val="center"/>
        <w:rPr>
          <w:rFonts w:hint="eastAsia" w:ascii="宋体" w:hAnsi="宋体"/>
          <w:color w:val="000000"/>
          <w:sz w:val="24"/>
          <w:szCs w:val="24"/>
        </w:rPr>
      </w:pPr>
      <w:bookmarkStart w:id="563" w:name="_Toc22621"/>
      <w:bookmarkStart w:id="564" w:name="_Toc15234"/>
      <w:bookmarkStart w:id="565" w:name="_Toc27658"/>
      <w:bookmarkStart w:id="566" w:name="_Toc26822"/>
      <w:bookmarkStart w:id="567" w:name="_Toc25511"/>
      <w:bookmarkStart w:id="568" w:name="_Toc5898"/>
      <w:bookmarkStart w:id="569" w:name="_Toc28264"/>
      <w:r>
        <w:rPr>
          <w:rFonts w:hint="eastAsia" w:ascii="宋体" w:hAnsi="宋体"/>
          <w:color w:val="000000"/>
          <w:sz w:val="24"/>
          <w:szCs w:val="24"/>
          <w:lang w:val="en-US" w:eastAsia="zh-CN"/>
        </w:rPr>
        <w:t>四、</w:t>
      </w:r>
      <w:r>
        <w:rPr>
          <w:rFonts w:hint="eastAsia" w:ascii="宋体" w:hAnsi="宋体"/>
          <w:color w:val="000000"/>
          <w:sz w:val="24"/>
          <w:szCs w:val="24"/>
        </w:rPr>
        <w:t>磋商承诺函</w:t>
      </w:r>
      <w:bookmarkEnd w:id="563"/>
      <w:bookmarkEnd w:id="564"/>
      <w:bookmarkEnd w:id="565"/>
      <w:bookmarkEnd w:id="566"/>
      <w:bookmarkEnd w:id="567"/>
      <w:bookmarkEnd w:id="568"/>
      <w:bookmarkEnd w:id="569"/>
    </w:p>
    <w:p w14:paraId="1CCB533B">
      <w:pPr>
        <w:spacing w:line="360" w:lineRule="auto"/>
        <w:rPr>
          <w:rFonts w:hint="eastAsia"/>
          <w:color w:val="000000"/>
          <w:sz w:val="24"/>
          <w:szCs w:val="24"/>
        </w:rPr>
      </w:pPr>
      <w:bookmarkStart w:id="570" w:name="_Toc266859798"/>
      <w:bookmarkEnd w:id="570"/>
      <w:r>
        <w:rPr>
          <w:rFonts w:hint="eastAsia"/>
          <w:color w:val="000000"/>
          <w:sz w:val="24"/>
          <w:szCs w:val="24"/>
        </w:rPr>
        <w:t>致（采购人及采购代理机构）：</w:t>
      </w:r>
    </w:p>
    <w:p w14:paraId="409B3603">
      <w:pPr>
        <w:spacing w:line="360" w:lineRule="auto"/>
        <w:ind w:firstLine="400" w:firstLineChars="167"/>
        <w:rPr>
          <w:rFonts w:hint="eastAsia"/>
          <w:color w:val="000000"/>
          <w:sz w:val="24"/>
          <w:szCs w:val="24"/>
        </w:rPr>
      </w:pPr>
      <w:r>
        <w:rPr>
          <w:rFonts w:hint="eastAsia"/>
          <w:color w:val="000000"/>
          <w:sz w:val="24"/>
          <w:szCs w:val="24"/>
        </w:rPr>
        <w:t>我公司作为本次采购项目的</w:t>
      </w:r>
      <w:r>
        <w:rPr>
          <w:rFonts w:hint="eastAsia"/>
          <w:color w:val="000000"/>
          <w:sz w:val="24"/>
          <w:szCs w:val="24"/>
          <w:lang w:eastAsia="zh-CN"/>
        </w:rPr>
        <w:t>响应人</w:t>
      </w:r>
      <w:r>
        <w:rPr>
          <w:rFonts w:hint="eastAsia"/>
          <w:color w:val="000000"/>
          <w:sz w:val="24"/>
          <w:szCs w:val="24"/>
        </w:rPr>
        <w:t>，根据磋商文件要求，现郑重承诺如下：</w:t>
      </w:r>
    </w:p>
    <w:p w14:paraId="27A95D83">
      <w:pPr>
        <w:spacing w:line="360" w:lineRule="auto"/>
        <w:ind w:firstLine="160" w:firstLineChars="67"/>
        <w:rPr>
          <w:rFonts w:hint="eastAsia"/>
          <w:color w:val="000000"/>
          <w:sz w:val="24"/>
          <w:szCs w:val="24"/>
        </w:rPr>
      </w:pPr>
      <w:r>
        <w:rPr>
          <w:rFonts w:hint="eastAsia"/>
          <w:color w:val="000000"/>
          <w:sz w:val="24"/>
          <w:szCs w:val="24"/>
        </w:rPr>
        <w:t>一、具备《中华人民共和国政府采购法》第二十二条第一款和本项目规定的条件：</w:t>
      </w:r>
    </w:p>
    <w:p w14:paraId="3FA8726E">
      <w:pPr>
        <w:spacing w:line="360" w:lineRule="auto"/>
        <w:ind w:firstLine="160" w:firstLineChars="67"/>
        <w:rPr>
          <w:rFonts w:hint="eastAsia"/>
          <w:color w:val="000000"/>
          <w:sz w:val="24"/>
          <w:szCs w:val="24"/>
        </w:rPr>
      </w:pPr>
      <w:r>
        <w:rPr>
          <w:rFonts w:hint="eastAsia"/>
          <w:color w:val="000000"/>
          <w:sz w:val="24"/>
          <w:szCs w:val="24"/>
        </w:rPr>
        <w:t>（一）具有独立承担民事责任的能力； 　　</w:t>
      </w:r>
    </w:p>
    <w:p w14:paraId="329A16D8">
      <w:pPr>
        <w:spacing w:line="360" w:lineRule="auto"/>
        <w:ind w:firstLine="160" w:firstLineChars="67"/>
        <w:rPr>
          <w:rFonts w:hint="eastAsia"/>
          <w:color w:val="000000"/>
          <w:sz w:val="24"/>
          <w:szCs w:val="24"/>
        </w:rPr>
      </w:pPr>
      <w:r>
        <w:rPr>
          <w:rFonts w:hint="eastAsia"/>
          <w:color w:val="000000"/>
          <w:sz w:val="24"/>
          <w:szCs w:val="24"/>
        </w:rPr>
        <w:t>（二）具有良好的商业信誉和健全的财务会计制度； 　</w:t>
      </w:r>
    </w:p>
    <w:p w14:paraId="0BCE4BFB">
      <w:pPr>
        <w:spacing w:line="360" w:lineRule="auto"/>
        <w:ind w:firstLine="160" w:firstLineChars="67"/>
        <w:rPr>
          <w:rFonts w:hint="eastAsia"/>
          <w:color w:val="000000"/>
          <w:sz w:val="24"/>
          <w:szCs w:val="24"/>
        </w:rPr>
      </w:pPr>
      <w:r>
        <w:rPr>
          <w:rFonts w:hint="eastAsia"/>
          <w:color w:val="000000"/>
          <w:sz w:val="24"/>
          <w:szCs w:val="24"/>
        </w:rPr>
        <w:t>（三）具有履行合同所必需的设备和专业技术能力； 　　</w:t>
      </w:r>
    </w:p>
    <w:p w14:paraId="12121702">
      <w:pPr>
        <w:spacing w:line="360" w:lineRule="auto"/>
        <w:ind w:firstLine="160" w:firstLineChars="67"/>
        <w:rPr>
          <w:rFonts w:hint="eastAsia"/>
          <w:color w:val="000000"/>
          <w:sz w:val="24"/>
          <w:szCs w:val="24"/>
        </w:rPr>
      </w:pPr>
      <w:r>
        <w:rPr>
          <w:rFonts w:hint="eastAsia"/>
          <w:color w:val="000000"/>
          <w:sz w:val="24"/>
          <w:szCs w:val="24"/>
        </w:rPr>
        <w:t>（四）有依法缴纳税收和社会保障资金的良好记录； 　　</w:t>
      </w:r>
    </w:p>
    <w:p w14:paraId="1EFD2854">
      <w:pPr>
        <w:spacing w:line="360" w:lineRule="auto"/>
        <w:ind w:firstLine="160" w:firstLineChars="67"/>
        <w:rPr>
          <w:rFonts w:hint="eastAsia"/>
          <w:color w:val="000000"/>
          <w:sz w:val="24"/>
          <w:szCs w:val="24"/>
        </w:rPr>
      </w:pPr>
      <w:r>
        <w:rPr>
          <w:rFonts w:hint="eastAsia"/>
          <w:color w:val="000000"/>
          <w:sz w:val="24"/>
          <w:szCs w:val="24"/>
        </w:rPr>
        <w:t>（五）参加政府采购活动前三年内，在经营活动中没有重大违法记录；</w:t>
      </w:r>
    </w:p>
    <w:p w14:paraId="54E8ED17">
      <w:pPr>
        <w:spacing w:line="360" w:lineRule="auto"/>
        <w:ind w:firstLine="160" w:firstLineChars="67"/>
        <w:rPr>
          <w:rFonts w:hint="eastAsia"/>
          <w:color w:val="000000"/>
          <w:sz w:val="24"/>
          <w:szCs w:val="24"/>
        </w:rPr>
      </w:pPr>
      <w:r>
        <w:rPr>
          <w:rFonts w:hint="eastAsia"/>
          <w:color w:val="000000"/>
          <w:sz w:val="24"/>
          <w:szCs w:val="24"/>
        </w:rPr>
        <w:t>（六）法律、行政法规规定的其他条件；</w:t>
      </w:r>
    </w:p>
    <w:p w14:paraId="7D221C05">
      <w:pPr>
        <w:spacing w:line="360" w:lineRule="auto"/>
        <w:ind w:firstLine="160" w:firstLineChars="67"/>
        <w:rPr>
          <w:rFonts w:hint="eastAsia"/>
          <w:color w:val="000000"/>
          <w:sz w:val="24"/>
          <w:szCs w:val="24"/>
        </w:rPr>
      </w:pPr>
      <w:r>
        <w:rPr>
          <w:rFonts w:hint="eastAsia"/>
          <w:color w:val="000000"/>
          <w:sz w:val="24"/>
          <w:szCs w:val="24"/>
        </w:rPr>
        <w:t>（七）根据采购项目提出的特殊条件。</w:t>
      </w:r>
    </w:p>
    <w:p w14:paraId="15A713D9">
      <w:pPr>
        <w:spacing w:line="360" w:lineRule="auto"/>
        <w:ind w:firstLine="160" w:firstLineChars="67"/>
        <w:rPr>
          <w:rFonts w:hint="eastAsia"/>
          <w:color w:val="000000"/>
          <w:sz w:val="24"/>
          <w:szCs w:val="24"/>
        </w:rPr>
      </w:pPr>
      <w:r>
        <w:rPr>
          <w:rFonts w:hint="eastAsia"/>
          <w:color w:val="000000"/>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14:paraId="10A69714">
      <w:pPr>
        <w:spacing w:line="360" w:lineRule="auto"/>
        <w:ind w:firstLine="160" w:firstLineChars="67"/>
        <w:rPr>
          <w:rFonts w:hint="eastAsia"/>
          <w:color w:val="000000"/>
          <w:sz w:val="24"/>
          <w:szCs w:val="24"/>
        </w:rPr>
      </w:pPr>
      <w:r>
        <w:rPr>
          <w:rFonts w:hint="eastAsia"/>
          <w:color w:val="000000"/>
          <w:sz w:val="24"/>
          <w:szCs w:val="24"/>
        </w:rPr>
        <w:t>三、参加本次招标采购活动，不存在与单位负责人为同一人或者存在直接控股、管理关系的其他</w:t>
      </w:r>
      <w:r>
        <w:rPr>
          <w:rFonts w:hint="eastAsia"/>
          <w:color w:val="000000"/>
          <w:sz w:val="24"/>
          <w:szCs w:val="24"/>
          <w:lang w:eastAsia="zh-CN"/>
        </w:rPr>
        <w:t>响应人</w:t>
      </w:r>
      <w:r>
        <w:rPr>
          <w:rFonts w:hint="eastAsia"/>
          <w:color w:val="000000"/>
          <w:sz w:val="24"/>
          <w:szCs w:val="24"/>
        </w:rPr>
        <w:t>参与同一合同项下的政府采购活动的行为。    </w:t>
      </w:r>
    </w:p>
    <w:p w14:paraId="28614D97">
      <w:pPr>
        <w:spacing w:line="360" w:lineRule="auto"/>
        <w:ind w:firstLine="160" w:firstLineChars="67"/>
        <w:rPr>
          <w:rFonts w:hint="eastAsia"/>
          <w:color w:val="000000"/>
          <w:sz w:val="24"/>
          <w:szCs w:val="24"/>
        </w:rPr>
      </w:pPr>
      <w:r>
        <w:rPr>
          <w:rFonts w:hint="eastAsia"/>
          <w:color w:val="000000"/>
          <w:sz w:val="24"/>
          <w:szCs w:val="24"/>
        </w:rPr>
        <w:t>四、参加本次招标采购活动，不存在为采购项目提供整体设计、规范编制或者项目管理、监理、检测等服务的行为。</w:t>
      </w:r>
    </w:p>
    <w:p w14:paraId="55F084DE">
      <w:pPr>
        <w:spacing w:line="360" w:lineRule="auto"/>
        <w:ind w:firstLine="160" w:firstLineChars="67"/>
        <w:rPr>
          <w:rFonts w:hint="eastAsia"/>
          <w:color w:val="000000"/>
          <w:sz w:val="24"/>
          <w:szCs w:val="24"/>
        </w:rPr>
      </w:pPr>
      <w:r>
        <w:rPr>
          <w:rFonts w:hint="eastAsia"/>
          <w:color w:val="000000"/>
          <w:sz w:val="24"/>
          <w:szCs w:val="24"/>
        </w:rPr>
        <w:t>五、参加本次招标采购活动，不存在和其他</w:t>
      </w:r>
      <w:r>
        <w:rPr>
          <w:rFonts w:hint="eastAsia"/>
          <w:color w:val="000000"/>
          <w:sz w:val="24"/>
          <w:szCs w:val="24"/>
          <w:lang w:eastAsia="zh-CN"/>
        </w:rPr>
        <w:t>响应人</w:t>
      </w:r>
      <w:r>
        <w:rPr>
          <w:rFonts w:hint="eastAsia"/>
          <w:color w:val="000000"/>
          <w:sz w:val="24"/>
          <w:szCs w:val="24"/>
        </w:rPr>
        <w:t>在同一合同项下的采购项目中，同时委托同一个自然人、同一家庭的人员、同一单位的人员作为代理人的行为。</w:t>
      </w:r>
    </w:p>
    <w:p w14:paraId="16E7BD21">
      <w:pPr>
        <w:spacing w:line="360" w:lineRule="auto"/>
        <w:ind w:firstLine="160" w:firstLineChars="67"/>
        <w:rPr>
          <w:rFonts w:hint="eastAsia"/>
          <w:color w:val="000000"/>
          <w:sz w:val="24"/>
          <w:szCs w:val="24"/>
        </w:rPr>
      </w:pPr>
      <w:r>
        <w:rPr>
          <w:rFonts w:hint="eastAsia"/>
          <w:color w:val="000000"/>
          <w:sz w:val="24"/>
          <w:szCs w:val="24"/>
        </w:rPr>
        <w:t>六、</w:t>
      </w:r>
      <w:r>
        <w:rPr>
          <w:rFonts w:hint="eastAsia"/>
          <w:color w:val="000000"/>
          <w:sz w:val="24"/>
          <w:szCs w:val="24"/>
          <w:lang w:eastAsia="zh-CN"/>
        </w:rPr>
        <w:t>响应人</w:t>
      </w:r>
      <w:r>
        <w:rPr>
          <w:rFonts w:hint="eastAsia"/>
          <w:color w:val="000000"/>
          <w:sz w:val="24"/>
          <w:szCs w:val="24"/>
        </w:rPr>
        <w:t>参加本次政府采购活动要求在近三年内</w:t>
      </w:r>
      <w:r>
        <w:rPr>
          <w:rFonts w:hint="eastAsia"/>
          <w:color w:val="000000"/>
          <w:sz w:val="24"/>
          <w:szCs w:val="24"/>
          <w:lang w:eastAsia="zh-CN"/>
        </w:rPr>
        <w:t>响应人</w:t>
      </w:r>
      <w:r>
        <w:rPr>
          <w:rFonts w:hint="eastAsia"/>
          <w:color w:val="000000"/>
          <w:sz w:val="24"/>
          <w:szCs w:val="24"/>
        </w:rPr>
        <w:t>和其法定代表人没有行贿犯罪行为。</w:t>
      </w:r>
    </w:p>
    <w:p w14:paraId="3F0E81AF">
      <w:pPr>
        <w:spacing w:line="360" w:lineRule="auto"/>
        <w:ind w:firstLine="160" w:firstLineChars="67"/>
        <w:outlineLvl w:val="9"/>
        <w:rPr>
          <w:rFonts w:hint="eastAsia"/>
          <w:color w:val="000000"/>
          <w:sz w:val="24"/>
          <w:szCs w:val="24"/>
        </w:rPr>
      </w:pPr>
      <w:bookmarkStart w:id="571" w:name="_Toc17176"/>
      <w:r>
        <w:rPr>
          <w:rFonts w:hint="eastAsia"/>
          <w:color w:val="000000"/>
          <w:sz w:val="24"/>
          <w:szCs w:val="24"/>
        </w:rPr>
        <w:t>七、参加本次招标采购活动，不存在联合体磋商。</w:t>
      </w:r>
      <w:bookmarkEnd w:id="571"/>
    </w:p>
    <w:p w14:paraId="5128F4DD">
      <w:pPr>
        <w:spacing w:line="360" w:lineRule="auto"/>
        <w:ind w:firstLine="160" w:firstLineChars="67"/>
        <w:outlineLvl w:val="9"/>
        <w:rPr>
          <w:rFonts w:hint="eastAsia"/>
          <w:color w:val="000000"/>
          <w:sz w:val="24"/>
          <w:szCs w:val="24"/>
        </w:rPr>
      </w:pPr>
      <w:r>
        <w:rPr>
          <w:rFonts w:hint="eastAsia"/>
          <w:color w:val="000000"/>
          <w:sz w:val="24"/>
          <w:szCs w:val="24"/>
        </w:rPr>
        <w:t>八、磋商响应文件中提供的能够给予我公司带来优惠、好处的任何材料资料和技术、服务、商务等响应承诺情况都是真实的、有效的、合法的。</w:t>
      </w:r>
    </w:p>
    <w:p w14:paraId="3DEF44A3">
      <w:pPr>
        <w:spacing w:line="360" w:lineRule="auto"/>
        <w:ind w:firstLine="160" w:firstLineChars="67"/>
        <w:outlineLvl w:val="9"/>
        <w:rPr>
          <w:rFonts w:hint="eastAsia"/>
          <w:color w:val="000000"/>
          <w:sz w:val="24"/>
          <w:szCs w:val="24"/>
        </w:rPr>
      </w:pPr>
      <w:r>
        <w:rPr>
          <w:rFonts w:hint="eastAsia"/>
          <w:color w:val="000000"/>
          <w:sz w:val="24"/>
          <w:szCs w:val="24"/>
        </w:rPr>
        <w:t>九、如本项目评标过程中需要提供样品，则我公司提供的样品即为成交后将要提供的成交产品，我公司对提供样品的性能和质量负责，因样品存在缺陷或者不符合磋商文件要求导致未能成交的，我公司愿意承担相应不利后果。（如提供样品）    </w:t>
      </w:r>
    </w:p>
    <w:p w14:paraId="307639FF">
      <w:pPr>
        <w:spacing w:line="360" w:lineRule="auto"/>
        <w:ind w:firstLine="160" w:firstLineChars="67"/>
        <w:outlineLvl w:val="9"/>
        <w:rPr>
          <w:rFonts w:hint="eastAsia"/>
          <w:color w:val="000000"/>
          <w:sz w:val="24"/>
          <w:szCs w:val="24"/>
        </w:rPr>
      </w:pPr>
      <w:bookmarkStart w:id="572" w:name="_Toc18671"/>
      <w:r>
        <w:rPr>
          <w:rFonts w:hint="eastAsia"/>
          <w:color w:val="000000"/>
          <w:sz w:val="24"/>
          <w:szCs w:val="24"/>
        </w:rPr>
        <w:t>十、存在以下行为之一的愿意接受相关部门的处理：</w:t>
      </w:r>
      <w:bookmarkEnd w:id="572"/>
    </w:p>
    <w:p w14:paraId="225C2016">
      <w:pPr>
        <w:spacing w:line="360" w:lineRule="auto"/>
        <w:ind w:firstLine="160" w:firstLineChars="67"/>
        <w:outlineLvl w:val="9"/>
        <w:rPr>
          <w:rFonts w:hint="eastAsia"/>
          <w:color w:val="000000"/>
          <w:sz w:val="24"/>
          <w:szCs w:val="24"/>
        </w:rPr>
      </w:pPr>
      <w:r>
        <w:rPr>
          <w:rFonts w:hint="eastAsia"/>
          <w:color w:val="000000"/>
          <w:sz w:val="24"/>
          <w:szCs w:val="24"/>
        </w:rPr>
        <w:t>   （一）磋商有效期内撤销磋商响应文件的；</w:t>
      </w:r>
    </w:p>
    <w:p w14:paraId="7F19CC3B">
      <w:pPr>
        <w:spacing w:line="360" w:lineRule="auto"/>
        <w:ind w:firstLine="160" w:firstLineChars="67"/>
        <w:outlineLvl w:val="9"/>
        <w:rPr>
          <w:rFonts w:hint="eastAsia"/>
          <w:color w:val="000000"/>
          <w:sz w:val="24"/>
          <w:szCs w:val="24"/>
        </w:rPr>
      </w:pPr>
      <w:r>
        <w:rPr>
          <w:rFonts w:hint="eastAsia"/>
          <w:color w:val="000000"/>
          <w:sz w:val="24"/>
          <w:szCs w:val="24"/>
        </w:rPr>
        <w:t>   （二）在采购人确定成交人以前放弃成交候选资格的；</w:t>
      </w:r>
    </w:p>
    <w:p w14:paraId="30179BBA">
      <w:pPr>
        <w:spacing w:line="360" w:lineRule="auto"/>
        <w:ind w:firstLine="160" w:firstLineChars="67"/>
        <w:outlineLvl w:val="9"/>
        <w:rPr>
          <w:rFonts w:hint="eastAsia"/>
          <w:color w:val="000000"/>
          <w:sz w:val="24"/>
          <w:szCs w:val="24"/>
        </w:rPr>
      </w:pPr>
      <w:r>
        <w:rPr>
          <w:rFonts w:hint="eastAsia"/>
          <w:color w:val="000000"/>
          <w:sz w:val="24"/>
          <w:szCs w:val="24"/>
        </w:rPr>
        <w:t>   （三）由于成交人的原因未能按照磋商文件的规定与采购人签订合同；</w:t>
      </w:r>
    </w:p>
    <w:p w14:paraId="49659818">
      <w:pPr>
        <w:spacing w:line="360" w:lineRule="auto"/>
        <w:ind w:firstLine="160" w:firstLineChars="67"/>
        <w:outlineLvl w:val="9"/>
        <w:rPr>
          <w:rFonts w:hint="eastAsia"/>
          <w:color w:val="000000"/>
          <w:sz w:val="24"/>
          <w:szCs w:val="24"/>
        </w:rPr>
      </w:pPr>
      <w:r>
        <w:rPr>
          <w:rFonts w:hint="eastAsia"/>
          <w:color w:val="000000"/>
          <w:sz w:val="24"/>
          <w:szCs w:val="24"/>
        </w:rPr>
        <w:t>   （四）在磋商响应文件中提供虚假材料谋取成交；</w:t>
      </w:r>
    </w:p>
    <w:p w14:paraId="64F133C3">
      <w:pPr>
        <w:spacing w:line="360" w:lineRule="auto"/>
        <w:ind w:firstLine="160" w:firstLineChars="67"/>
        <w:outlineLvl w:val="9"/>
        <w:rPr>
          <w:rFonts w:hint="eastAsia"/>
          <w:color w:val="000000"/>
          <w:sz w:val="24"/>
          <w:szCs w:val="24"/>
        </w:rPr>
      </w:pPr>
      <w:r>
        <w:rPr>
          <w:rFonts w:hint="eastAsia"/>
          <w:color w:val="000000"/>
          <w:sz w:val="24"/>
          <w:szCs w:val="24"/>
        </w:rPr>
        <w:t>   （五）与采购人、其他</w:t>
      </w:r>
      <w:r>
        <w:rPr>
          <w:rFonts w:hint="eastAsia"/>
          <w:color w:val="000000"/>
          <w:sz w:val="24"/>
          <w:szCs w:val="24"/>
          <w:lang w:eastAsia="zh-CN"/>
        </w:rPr>
        <w:t>响应人</w:t>
      </w:r>
      <w:r>
        <w:rPr>
          <w:rFonts w:hint="eastAsia"/>
          <w:color w:val="000000"/>
          <w:sz w:val="24"/>
          <w:szCs w:val="24"/>
        </w:rPr>
        <w:t>或者采购代理机构恶意串通的；</w:t>
      </w:r>
    </w:p>
    <w:p w14:paraId="613EFB17">
      <w:pPr>
        <w:spacing w:line="360" w:lineRule="auto"/>
        <w:ind w:firstLine="160" w:firstLineChars="67"/>
        <w:outlineLvl w:val="9"/>
        <w:rPr>
          <w:rFonts w:hint="eastAsia"/>
          <w:color w:val="000000"/>
          <w:sz w:val="24"/>
          <w:szCs w:val="24"/>
        </w:rPr>
      </w:pPr>
      <w:r>
        <w:rPr>
          <w:rFonts w:hint="eastAsia"/>
          <w:color w:val="000000"/>
          <w:sz w:val="24"/>
          <w:szCs w:val="24"/>
        </w:rPr>
        <w:t>   （六）磋商有效期内，</w:t>
      </w:r>
      <w:r>
        <w:rPr>
          <w:rFonts w:hint="eastAsia"/>
          <w:color w:val="000000"/>
          <w:sz w:val="24"/>
          <w:szCs w:val="24"/>
          <w:lang w:eastAsia="zh-CN"/>
        </w:rPr>
        <w:t>响应人</w:t>
      </w:r>
      <w:r>
        <w:rPr>
          <w:rFonts w:hint="eastAsia"/>
          <w:color w:val="000000"/>
          <w:sz w:val="24"/>
          <w:szCs w:val="24"/>
        </w:rPr>
        <w:t>在政府采购活动中有违法、违规、违纪行为。</w:t>
      </w:r>
    </w:p>
    <w:p w14:paraId="772DB163">
      <w:pPr>
        <w:spacing w:line="360" w:lineRule="auto"/>
        <w:ind w:firstLine="160" w:firstLineChars="67"/>
        <w:outlineLvl w:val="9"/>
        <w:rPr>
          <w:rFonts w:hint="eastAsia"/>
          <w:color w:val="000000"/>
          <w:sz w:val="24"/>
          <w:szCs w:val="24"/>
        </w:rPr>
      </w:pPr>
      <w:r>
        <w:rPr>
          <w:rFonts w:hint="eastAsia"/>
          <w:color w:val="000000"/>
          <w:sz w:val="24"/>
          <w:szCs w:val="24"/>
        </w:rPr>
        <w:t> 由此产生的一切法律后果和责任由我公司承担。我公司声明放弃对此提出任何异议和追索的权利。</w:t>
      </w:r>
    </w:p>
    <w:p w14:paraId="42E76367">
      <w:pPr>
        <w:spacing w:line="360" w:lineRule="auto"/>
        <w:ind w:firstLine="160" w:firstLineChars="67"/>
        <w:rPr>
          <w:rFonts w:hint="eastAsia"/>
          <w:color w:val="000000"/>
          <w:sz w:val="24"/>
          <w:szCs w:val="24"/>
        </w:rPr>
      </w:pPr>
      <w:r>
        <w:rPr>
          <w:rFonts w:hint="eastAsia"/>
          <w:color w:val="000000"/>
          <w:sz w:val="24"/>
          <w:szCs w:val="24"/>
        </w:rPr>
        <w:t>本公司对上述承诺的内容事项真实性负责。如经查实上述承诺的内容事项存在虚假，我公司愿意接受以提供虚假材料谋取成交追究法律责任。</w:t>
      </w:r>
    </w:p>
    <w:p w14:paraId="7818F194">
      <w:pPr>
        <w:spacing w:line="360" w:lineRule="auto"/>
        <w:ind w:firstLine="160" w:firstLineChars="67"/>
        <w:rPr>
          <w:rFonts w:hint="eastAsia"/>
          <w:color w:val="000000"/>
          <w:sz w:val="24"/>
          <w:szCs w:val="24"/>
        </w:rPr>
      </w:pPr>
      <w:r>
        <w:rPr>
          <w:rFonts w:hint="eastAsia"/>
          <w:color w:val="000000"/>
          <w:sz w:val="24"/>
          <w:szCs w:val="24"/>
        </w:rPr>
        <w:t>       </w:t>
      </w:r>
    </w:p>
    <w:p w14:paraId="6301D8E2">
      <w:pPr>
        <w:spacing w:line="360" w:lineRule="auto"/>
        <w:ind w:firstLine="160" w:firstLineChars="67"/>
        <w:rPr>
          <w:rFonts w:hint="eastAsia"/>
          <w:color w:val="000000"/>
          <w:sz w:val="24"/>
          <w:szCs w:val="24"/>
        </w:rPr>
      </w:pPr>
      <w:r>
        <w:rPr>
          <w:rFonts w:hint="eastAsia"/>
          <w:color w:val="000000"/>
          <w:sz w:val="24"/>
          <w:szCs w:val="24"/>
          <w:lang w:eastAsia="zh-CN"/>
        </w:rPr>
        <w:t>响应人</w:t>
      </w:r>
      <w:r>
        <w:rPr>
          <w:rFonts w:hint="eastAsia"/>
          <w:color w:val="000000"/>
          <w:sz w:val="24"/>
          <w:szCs w:val="24"/>
        </w:rPr>
        <w:t>名称：         （</w:t>
      </w:r>
      <w:r>
        <w:rPr>
          <w:rFonts w:hint="eastAsia"/>
          <w:color w:val="000000"/>
          <w:sz w:val="24"/>
          <w:szCs w:val="24"/>
          <w:lang w:eastAsia="zh-CN"/>
        </w:rPr>
        <w:t>单位电子公章</w:t>
      </w:r>
      <w:r>
        <w:rPr>
          <w:rFonts w:hint="eastAsia"/>
          <w:color w:val="000000"/>
          <w:sz w:val="24"/>
          <w:szCs w:val="24"/>
        </w:rPr>
        <w:t>）</w:t>
      </w:r>
    </w:p>
    <w:p w14:paraId="030E3B5C">
      <w:pPr>
        <w:spacing w:line="360" w:lineRule="auto"/>
        <w:ind w:firstLine="160" w:firstLineChars="67"/>
        <w:rPr>
          <w:rFonts w:hint="eastAsia"/>
          <w:color w:val="000000"/>
          <w:sz w:val="24"/>
          <w:szCs w:val="24"/>
        </w:rPr>
      </w:pPr>
      <w:r>
        <w:rPr>
          <w:rFonts w:hint="eastAsia"/>
          <w:color w:val="000000"/>
          <w:sz w:val="24"/>
          <w:szCs w:val="24"/>
        </w:rPr>
        <w:t>法定代表人：          （电子签章）</w:t>
      </w:r>
    </w:p>
    <w:p w14:paraId="4F7A485B">
      <w:pPr>
        <w:spacing w:line="360" w:lineRule="auto"/>
        <w:ind w:firstLine="160" w:firstLineChars="67"/>
        <w:rPr>
          <w:rFonts w:hint="eastAsia"/>
          <w:color w:val="000000"/>
          <w:sz w:val="24"/>
          <w:szCs w:val="24"/>
        </w:rPr>
      </w:pPr>
      <w:r>
        <w:rPr>
          <w:rFonts w:hint="eastAsia"/>
          <w:color w:val="000000"/>
          <w:sz w:val="24"/>
          <w:szCs w:val="24"/>
        </w:rPr>
        <w:t>日期：              </w:t>
      </w:r>
    </w:p>
    <w:p w14:paraId="29D013B7">
      <w:pPr>
        <w:spacing w:line="360" w:lineRule="auto"/>
        <w:ind w:firstLine="160" w:firstLineChars="67"/>
        <w:rPr>
          <w:rFonts w:hint="eastAsia"/>
          <w:color w:val="000000"/>
          <w:sz w:val="24"/>
          <w:szCs w:val="24"/>
        </w:rPr>
      </w:pPr>
      <w:r>
        <w:rPr>
          <w:rFonts w:hint="eastAsia"/>
          <w:color w:val="000000"/>
          <w:sz w:val="24"/>
          <w:szCs w:val="24"/>
        </w:rPr>
        <w:t> </w:t>
      </w:r>
    </w:p>
    <w:p w14:paraId="6827E9CF">
      <w:pPr>
        <w:spacing w:line="360" w:lineRule="auto"/>
        <w:ind w:firstLine="160" w:firstLineChars="67"/>
        <w:rPr>
          <w:rFonts w:hint="eastAsia"/>
          <w:color w:val="000000"/>
          <w:sz w:val="24"/>
          <w:szCs w:val="24"/>
        </w:rPr>
      </w:pPr>
      <w:r>
        <w:rPr>
          <w:rFonts w:hint="eastAsia"/>
          <w:color w:val="000000"/>
          <w:sz w:val="24"/>
          <w:szCs w:val="24"/>
        </w:rPr>
        <w:t> </w:t>
      </w:r>
    </w:p>
    <w:p w14:paraId="667E5CDA">
      <w:pPr>
        <w:spacing w:line="360" w:lineRule="auto"/>
        <w:ind w:firstLine="160" w:firstLineChars="67"/>
        <w:rPr>
          <w:rFonts w:hint="eastAsia"/>
          <w:color w:val="000000"/>
          <w:sz w:val="24"/>
          <w:szCs w:val="24"/>
        </w:rPr>
      </w:pPr>
      <w:r>
        <w:rPr>
          <w:rFonts w:hint="eastAsia"/>
          <w:color w:val="000000"/>
          <w:sz w:val="24"/>
          <w:szCs w:val="24"/>
        </w:rPr>
        <w:t xml:space="preserve"> </w:t>
      </w:r>
    </w:p>
    <w:p w14:paraId="26C29040">
      <w:pPr>
        <w:spacing w:line="360" w:lineRule="auto"/>
        <w:rPr>
          <w:rFonts w:hint="eastAsia"/>
          <w:color w:val="000000"/>
          <w:sz w:val="24"/>
          <w:szCs w:val="24"/>
        </w:rPr>
      </w:pPr>
    </w:p>
    <w:p w14:paraId="2733C10B">
      <w:pPr>
        <w:pStyle w:val="9"/>
        <w:spacing w:line="360" w:lineRule="auto"/>
        <w:ind w:left="147" w:leftChars="67"/>
        <w:rPr>
          <w:rFonts w:hint="eastAsia" w:ascii="宋体" w:hAnsi="宋体"/>
          <w:color w:val="000000"/>
          <w:sz w:val="24"/>
          <w:szCs w:val="24"/>
        </w:rPr>
      </w:pPr>
      <w:r>
        <w:rPr>
          <w:rFonts w:hint="eastAsia" w:ascii="宋体" w:hAnsi="宋体"/>
          <w:color w:val="000000"/>
          <w:sz w:val="24"/>
          <w:szCs w:val="24"/>
        </w:rPr>
        <w:br w:type="page"/>
      </w:r>
      <w:bookmarkStart w:id="573" w:name="_Toc26420"/>
      <w:bookmarkEnd w:id="573"/>
      <w:bookmarkStart w:id="574" w:name="_Toc18216"/>
      <w:bookmarkStart w:id="575" w:name="_Toc26324"/>
      <w:bookmarkStart w:id="576" w:name="_Toc12522"/>
      <w:bookmarkStart w:id="577" w:name="_Toc583"/>
      <w:bookmarkStart w:id="578" w:name="_Toc30600"/>
      <w:bookmarkStart w:id="579" w:name="_Toc26460"/>
      <w:bookmarkStart w:id="580" w:name="_Toc5204"/>
      <w:r>
        <w:rPr>
          <w:rFonts w:hint="eastAsia" w:ascii="宋体" w:hAnsi="宋体"/>
          <w:color w:val="000000"/>
          <w:sz w:val="24"/>
          <w:szCs w:val="24"/>
          <w:lang w:val="en-US" w:eastAsia="zh-CN"/>
        </w:rPr>
        <w:t>五、</w:t>
      </w:r>
      <w:r>
        <w:rPr>
          <w:rFonts w:hint="eastAsia" w:ascii="宋体" w:hAnsi="宋体"/>
          <w:color w:val="000000"/>
          <w:sz w:val="24"/>
          <w:szCs w:val="24"/>
        </w:rPr>
        <w:t>法定代表人身份证明书</w:t>
      </w:r>
      <w:bookmarkEnd w:id="574"/>
      <w:bookmarkEnd w:id="575"/>
      <w:bookmarkEnd w:id="576"/>
      <w:bookmarkEnd w:id="577"/>
      <w:bookmarkEnd w:id="578"/>
      <w:bookmarkEnd w:id="579"/>
      <w:bookmarkEnd w:id="580"/>
    </w:p>
    <w:p w14:paraId="12F583DF">
      <w:pPr>
        <w:spacing w:line="360" w:lineRule="auto"/>
        <w:ind w:firstLine="160" w:firstLineChars="67"/>
        <w:rPr>
          <w:rFonts w:hint="eastAsia"/>
          <w:color w:val="000000"/>
          <w:sz w:val="24"/>
          <w:szCs w:val="24"/>
        </w:rPr>
      </w:pPr>
      <w:r>
        <w:rPr>
          <w:rFonts w:hint="eastAsia"/>
          <w:color w:val="000000"/>
          <w:sz w:val="24"/>
          <w:szCs w:val="24"/>
        </w:rPr>
        <w:t xml:space="preserve"> </w:t>
      </w:r>
    </w:p>
    <w:p w14:paraId="66C8FD41">
      <w:pPr>
        <w:spacing w:line="360" w:lineRule="auto"/>
        <w:ind w:firstLine="160" w:firstLineChars="67"/>
        <w:rPr>
          <w:rFonts w:hint="eastAsia"/>
          <w:color w:val="000000"/>
          <w:sz w:val="24"/>
          <w:szCs w:val="24"/>
        </w:rPr>
      </w:pPr>
      <w:r>
        <w:rPr>
          <w:rFonts w:hint="eastAsia"/>
          <w:color w:val="000000"/>
          <w:sz w:val="24"/>
          <w:szCs w:val="24"/>
          <w:lang w:eastAsia="zh-CN"/>
        </w:rPr>
        <w:t>响应人</w:t>
      </w:r>
      <w:r>
        <w:rPr>
          <w:rFonts w:hint="eastAsia"/>
          <w:color w:val="000000"/>
          <w:sz w:val="24"/>
          <w:szCs w:val="24"/>
        </w:rPr>
        <w:t>名称：</w:t>
      </w:r>
    </w:p>
    <w:p w14:paraId="30CB0E61">
      <w:pPr>
        <w:spacing w:line="360" w:lineRule="auto"/>
        <w:ind w:firstLine="160" w:firstLineChars="67"/>
        <w:rPr>
          <w:rFonts w:hint="eastAsia"/>
          <w:color w:val="000000"/>
          <w:sz w:val="24"/>
          <w:szCs w:val="24"/>
        </w:rPr>
      </w:pPr>
      <w:r>
        <w:rPr>
          <w:rFonts w:hint="eastAsia"/>
          <w:color w:val="000000"/>
          <w:sz w:val="24"/>
          <w:szCs w:val="24"/>
        </w:rPr>
        <w:t xml:space="preserve"> 单位性质：</w:t>
      </w:r>
    </w:p>
    <w:p w14:paraId="0F2AB018">
      <w:pPr>
        <w:spacing w:line="360" w:lineRule="auto"/>
        <w:ind w:firstLine="160" w:firstLineChars="67"/>
        <w:rPr>
          <w:rFonts w:hint="eastAsia"/>
          <w:color w:val="000000"/>
          <w:sz w:val="24"/>
          <w:szCs w:val="24"/>
        </w:rPr>
      </w:pPr>
      <w:r>
        <w:rPr>
          <w:rFonts w:hint="eastAsia"/>
          <w:color w:val="000000"/>
          <w:sz w:val="24"/>
          <w:szCs w:val="24"/>
        </w:rPr>
        <w:t xml:space="preserve"> 地  址：</w:t>
      </w:r>
    </w:p>
    <w:p w14:paraId="3A661F90">
      <w:pPr>
        <w:spacing w:line="360" w:lineRule="auto"/>
        <w:ind w:firstLine="160" w:firstLineChars="67"/>
        <w:rPr>
          <w:rFonts w:hint="eastAsia"/>
          <w:color w:val="000000"/>
          <w:sz w:val="24"/>
          <w:szCs w:val="24"/>
        </w:rPr>
      </w:pPr>
      <w:r>
        <w:rPr>
          <w:rFonts w:hint="eastAsia"/>
          <w:color w:val="000000"/>
          <w:sz w:val="24"/>
          <w:szCs w:val="24"/>
        </w:rPr>
        <w:t xml:space="preserve"> 成立时间：   年   月   日</w:t>
      </w:r>
    </w:p>
    <w:p w14:paraId="27CB5AA4">
      <w:pPr>
        <w:spacing w:line="360" w:lineRule="auto"/>
        <w:ind w:firstLine="160" w:firstLineChars="67"/>
        <w:rPr>
          <w:rFonts w:hint="eastAsia"/>
          <w:color w:val="000000"/>
          <w:sz w:val="24"/>
          <w:szCs w:val="24"/>
        </w:rPr>
      </w:pPr>
      <w:r>
        <w:rPr>
          <w:rFonts w:hint="eastAsia"/>
          <w:color w:val="000000"/>
          <w:sz w:val="24"/>
          <w:szCs w:val="24"/>
        </w:rPr>
        <w:t xml:space="preserve"> 姓名：    性别：    年龄：    职务：</w:t>
      </w:r>
    </w:p>
    <w:p w14:paraId="248C4C0E">
      <w:pPr>
        <w:spacing w:line="360" w:lineRule="auto"/>
        <w:ind w:firstLine="160" w:firstLineChars="67"/>
        <w:rPr>
          <w:rFonts w:hint="eastAsia"/>
          <w:color w:val="000000"/>
          <w:sz w:val="24"/>
          <w:szCs w:val="24"/>
        </w:rPr>
      </w:pPr>
      <w:r>
        <w:rPr>
          <w:rFonts w:hint="eastAsia"/>
          <w:color w:val="000000"/>
          <w:sz w:val="24"/>
          <w:szCs w:val="24"/>
        </w:rPr>
        <w:t xml:space="preserve"> 系                  （</w:t>
      </w:r>
      <w:r>
        <w:rPr>
          <w:rFonts w:hint="eastAsia"/>
          <w:color w:val="000000"/>
          <w:sz w:val="24"/>
          <w:szCs w:val="24"/>
          <w:lang w:eastAsia="zh-CN"/>
        </w:rPr>
        <w:t>响应人</w:t>
      </w:r>
      <w:r>
        <w:rPr>
          <w:rFonts w:hint="eastAsia"/>
          <w:color w:val="000000"/>
          <w:sz w:val="24"/>
          <w:szCs w:val="24"/>
        </w:rPr>
        <w:t>名称）的法定代表人。</w:t>
      </w:r>
    </w:p>
    <w:p w14:paraId="77A7A458">
      <w:pPr>
        <w:spacing w:line="360" w:lineRule="auto"/>
        <w:ind w:firstLine="160" w:firstLineChars="67"/>
        <w:rPr>
          <w:rFonts w:hint="eastAsia"/>
          <w:color w:val="000000"/>
          <w:sz w:val="24"/>
          <w:szCs w:val="24"/>
        </w:rPr>
      </w:pPr>
      <w:r>
        <w:rPr>
          <w:rFonts w:hint="eastAsia"/>
          <w:color w:val="000000"/>
          <w:sz w:val="24"/>
          <w:szCs w:val="24"/>
        </w:rPr>
        <w:t xml:space="preserve"> </w:t>
      </w:r>
    </w:p>
    <w:p w14:paraId="247A72AF">
      <w:pPr>
        <w:spacing w:line="360" w:lineRule="auto"/>
        <w:ind w:firstLine="160" w:firstLineChars="67"/>
        <w:rPr>
          <w:rFonts w:hint="eastAsia"/>
          <w:color w:val="000000"/>
          <w:sz w:val="24"/>
          <w:szCs w:val="24"/>
        </w:rPr>
      </w:pPr>
      <w:r>
        <w:rPr>
          <w:rFonts w:hint="eastAsia"/>
          <w:color w:val="000000"/>
          <w:sz w:val="24"/>
          <w:szCs w:val="24"/>
        </w:rPr>
        <w:t>特此证明。</w:t>
      </w:r>
    </w:p>
    <w:p w14:paraId="159E2D3D">
      <w:pPr>
        <w:spacing w:line="360" w:lineRule="auto"/>
        <w:ind w:firstLine="160" w:firstLineChars="67"/>
        <w:rPr>
          <w:rFonts w:hint="eastAsia"/>
          <w:color w:val="000000"/>
          <w:sz w:val="24"/>
          <w:szCs w:val="24"/>
        </w:rPr>
      </w:pPr>
      <w:r>
        <w:rPr>
          <w:rFonts w:hint="eastAsia"/>
          <w:color w:val="000000"/>
          <w:sz w:val="24"/>
          <w:szCs w:val="24"/>
        </w:rPr>
        <w:t xml:space="preserve"> </w:t>
      </w:r>
    </w:p>
    <w:p w14:paraId="65CE99E8">
      <w:pPr>
        <w:spacing w:line="360" w:lineRule="auto"/>
        <w:ind w:firstLine="160" w:firstLineChars="67"/>
        <w:rPr>
          <w:rFonts w:hint="eastAsia"/>
          <w:color w:val="000000"/>
          <w:sz w:val="24"/>
          <w:szCs w:val="24"/>
          <w:u w:val="single"/>
        </w:rPr>
      </w:pPr>
      <w:r>
        <w:rPr>
          <w:rFonts w:hint="eastAsia"/>
          <w:color w:val="000000"/>
          <w:sz w:val="24"/>
          <w:szCs w:val="24"/>
          <w:lang w:eastAsia="zh-CN"/>
        </w:rPr>
        <w:t>响应人</w:t>
      </w:r>
      <w:r>
        <w:rPr>
          <w:rFonts w:hint="eastAsia"/>
          <w:color w:val="000000"/>
          <w:sz w:val="24"/>
          <w:szCs w:val="24"/>
        </w:rPr>
        <w:t>名称（</w:t>
      </w:r>
      <w:r>
        <w:rPr>
          <w:rFonts w:hint="eastAsia"/>
          <w:color w:val="000000"/>
          <w:sz w:val="24"/>
          <w:szCs w:val="24"/>
          <w:lang w:eastAsia="zh-CN"/>
        </w:rPr>
        <w:t>单位电子公章</w:t>
      </w:r>
      <w:r>
        <w:rPr>
          <w:rFonts w:hint="eastAsia"/>
          <w:color w:val="000000"/>
          <w:sz w:val="24"/>
          <w:szCs w:val="24"/>
        </w:rPr>
        <w:t>）：</w:t>
      </w:r>
    </w:p>
    <w:p w14:paraId="05B81875">
      <w:pPr>
        <w:spacing w:line="360" w:lineRule="auto"/>
        <w:ind w:firstLine="160" w:firstLineChars="67"/>
        <w:rPr>
          <w:rFonts w:hint="eastAsia"/>
          <w:color w:val="000000"/>
          <w:sz w:val="24"/>
          <w:szCs w:val="24"/>
        </w:rPr>
      </w:pPr>
      <w:r>
        <w:rPr>
          <w:rFonts w:hint="eastAsia"/>
          <w:color w:val="000000"/>
          <w:sz w:val="24"/>
          <w:szCs w:val="24"/>
        </w:rPr>
        <w:t xml:space="preserve"> </w:t>
      </w:r>
    </w:p>
    <w:p w14:paraId="421CABD1">
      <w:pPr>
        <w:spacing w:line="360" w:lineRule="auto"/>
        <w:ind w:firstLine="160" w:firstLineChars="67"/>
        <w:rPr>
          <w:rFonts w:hint="eastAsia"/>
          <w:color w:val="000000"/>
          <w:sz w:val="24"/>
          <w:szCs w:val="24"/>
        </w:rPr>
      </w:pPr>
      <w:r>
        <w:rPr>
          <w:rFonts w:hint="eastAsia"/>
          <w:color w:val="000000"/>
          <w:sz w:val="24"/>
          <w:szCs w:val="24"/>
        </w:rPr>
        <w:t xml:space="preserve">日期: </w:t>
      </w:r>
    </w:p>
    <w:p w14:paraId="4BA977E8">
      <w:pPr>
        <w:spacing w:line="360" w:lineRule="auto"/>
        <w:ind w:firstLine="160" w:firstLineChars="67"/>
        <w:rPr>
          <w:rFonts w:hint="eastAsia"/>
          <w:color w:val="000000"/>
          <w:sz w:val="24"/>
          <w:szCs w:val="24"/>
        </w:rPr>
      </w:pPr>
      <w:r>
        <w:rPr>
          <w:rFonts w:hint="eastAsia"/>
          <w:color w:val="000000"/>
          <w:sz w:val="24"/>
          <w:szCs w:val="24"/>
        </w:rPr>
        <w:t>附：法定代表人的身份证复印件</w:t>
      </w:r>
      <w:bookmarkStart w:id="581" w:name="_Toc221329839"/>
      <w:bookmarkEnd w:id="581"/>
      <w:bookmarkStart w:id="582" w:name="_Toc83289253"/>
      <w:bookmarkEnd w:id="582"/>
      <w:bookmarkStart w:id="583" w:name="_Toc266824467"/>
      <w:bookmarkEnd w:id="583"/>
      <w:bookmarkStart w:id="584" w:name="_Toc266859796"/>
      <w:bookmarkEnd w:id="584"/>
      <w:bookmarkStart w:id="585" w:name="_Toc221330133"/>
      <w:r>
        <w:rPr>
          <w:rFonts w:hint="eastAsia"/>
          <w:color w:val="000000"/>
          <w:sz w:val="24"/>
          <w:szCs w:val="24"/>
        </w:rPr>
        <w:t>。</w:t>
      </w:r>
      <w:bookmarkEnd w:id="585"/>
    </w:p>
    <w:p w14:paraId="62417B9F">
      <w:pPr>
        <w:spacing w:line="360" w:lineRule="auto"/>
        <w:ind w:firstLine="160" w:firstLineChars="67"/>
        <w:rPr>
          <w:rFonts w:hint="eastAsia"/>
          <w:color w:val="000000"/>
          <w:sz w:val="24"/>
          <w:szCs w:val="24"/>
        </w:rPr>
      </w:pPr>
      <w:r>
        <w:rPr>
          <w:rFonts w:hint="eastAsia"/>
          <w:color w:val="000000"/>
          <w:sz w:val="24"/>
          <w:szCs w:val="24"/>
        </w:rPr>
        <w:drawing>
          <wp:inline distT="0" distB="0" distL="114300" distR="114300">
            <wp:extent cx="2990215" cy="1943100"/>
            <wp:effectExtent l="0" t="0" r="635" b="0"/>
            <wp:docPr id="4" name="图片 2" descr="C:\Users\ADMINI~1\AppData\Local\Temp\ksohtml\wps26D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1\AppData\Local\Temp\ksohtml\wps26DB.tmp.png"/>
                    <pic:cNvPicPr>
                      <a:picLocks noChangeAspect="1"/>
                    </pic:cNvPicPr>
                  </pic:nvPicPr>
                  <pic:blipFill>
                    <a:blip r:embed="rId15"/>
                    <a:stretch>
                      <a:fillRect/>
                    </a:stretch>
                  </pic:blipFill>
                  <pic:spPr>
                    <a:xfrm>
                      <a:off x="0" y="0"/>
                      <a:ext cx="2990215" cy="1943100"/>
                    </a:xfrm>
                    <a:prstGeom prst="rect">
                      <a:avLst/>
                    </a:prstGeom>
                    <a:noFill/>
                    <a:ln>
                      <a:noFill/>
                    </a:ln>
                  </pic:spPr>
                </pic:pic>
              </a:graphicData>
            </a:graphic>
          </wp:inline>
        </w:drawing>
      </w:r>
      <w:r>
        <w:rPr>
          <w:rFonts w:hint="eastAsia"/>
          <w:color w:val="000000"/>
          <w:sz w:val="24"/>
          <w:szCs w:val="24"/>
        </w:rPr>
        <w:drawing>
          <wp:inline distT="0" distB="0" distL="114300" distR="114300">
            <wp:extent cx="2990215" cy="1943100"/>
            <wp:effectExtent l="0" t="0" r="635" b="0"/>
            <wp:docPr id="5" name="图片 3" descr="C:\Users\ADMINI~1\AppData\Local\Temp\ksohtml\wps26D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1\AppData\Local\Temp\ksohtml\wps26DB.tmp.png"/>
                    <pic:cNvPicPr>
                      <a:picLocks noChangeAspect="1"/>
                    </pic:cNvPicPr>
                  </pic:nvPicPr>
                  <pic:blipFill>
                    <a:blip r:embed="rId15"/>
                    <a:stretch>
                      <a:fillRect/>
                    </a:stretch>
                  </pic:blipFill>
                  <pic:spPr>
                    <a:xfrm>
                      <a:off x="0" y="0"/>
                      <a:ext cx="2990215" cy="1943100"/>
                    </a:xfrm>
                    <a:prstGeom prst="rect">
                      <a:avLst/>
                    </a:prstGeom>
                    <a:noFill/>
                    <a:ln>
                      <a:noFill/>
                    </a:ln>
                  </pic:spPr>
                </pic:pic>
              </a:graphicData>
            </a:graphic>
          </wp:inline>
        </w:drawing>
      </w:r>
    </w:p>
    <w:p w14:paraId="5898FB57">
      <w:pPr>
        <w:pStyle w:val="9"/>
        <w:spacing w:line="360" w:lineRule="auto"/>
        <w:ind w:left="147" w:leftChars="67"/>
        <w:rPr>
          <w:rFonts w:hint="eastAsia" w:ascii="宋体" w:hAnsi="宋体"/>
          <w:color w:val="000000"/>
          <w:sz w:val="24"/>
          <w:szCs w:val="24"/>
        </w:rPr>
      </w:pPr>
      <w:r>
        <w:rPr>
          <w:rFonts w:hint="eastAsia" w:ascii="宋体" w:hAnsi="宋体"/>
          <w:color w:val="000000"/>
          <w:sz w:val="24"/>
          <w:szCs w:val="24"/>
        </w:rPr>
        <w:br w:type="page"/>
      </w:r>
      <w:bookmarkStart w:id="586" w:name="_Toc325446131"/>
      <w:bookmarkEnd w:id="586"/>
      <w:bookmarkStart w:id="587" w:name="_Toc359842904"/>
      <w:bookmarkEnd w:id="587"/>
      <w:bookmarkStart w:id="588" w:name="_Toc9017"/>
      <w:bookmarkEnd w:id="588"/>
      <w:bookmarkStart w:id="589" w:name="_Toc325383405"/>
      <w:bookmarkEnd w:id="589"/>
      <w:bookmarkStart w:id="590" w:name="_Toc324696982"/>
      <w:bookmarkEnd w:id="590"/>
      <w:bookmarkStart w:id="591" w:name="_Toc15705"/>
      <w:bookmarkStart w:id="592" w:name="_Toc29493"/>
      <w:bookmarkStart w:id="593" w:name="_Toc32035"/>
      <w:bookmarkStart w:id="594" w:name="_Toc2051"/>
      <w:bookmarkStart w:id="595" w:name="_Toc32039"/>
      <w:bookmarkStart w:id="596" w:name="_Toc19871"/>
      <w:bookmarkStart w:id="597" w:name="_Toc27288"/>
      <w:r>
        <w:rPr>
          <w:rFonts w:hint="eastAsia" w:ascii="宋体" w:hAnsi="宋体"/>
          <w:color w:val="000000"/>
          <w:sz w:val="24"/>
          <w:szCs w:val="24"/>
          <w:lang w:val="en-US" w:eastAsia="zh-CN"/>
        </w:rPr>
        <w:t>六、</w:t>
      </w:r>
      <w:r>
        <w:rPr>
          <w:rFonts w:hint="eastAsia" w:ascii="宋体" w:hAnsi="宋体"/>
          <w:color w:val="000000"/>
          <w:sz w:val="24"/>
          <w:szCs w:val="24"/>
        </w:rPr>
        <w:t>法定代表人授权委托书</w:t>
      </w:r>
      <w:bookmarkEnd w:id="591"/>
      <w:bookmarkEnd w:id="592"/>
      <w:bookmarkEnd w:id="593"/>
      <w:bookmarkEnd w:id="594"/>
      <w:bookmarkEnd w:id="595"/>
      <w:bookmarkEnd w:id="596"/>
      <w:bookmarkEnd w:id="597"/>
    </w:p>
    <w:p w14:paraId="552317F6">
      <w:pPr>
        <w:spacing w:line="360" w:lineRule="auto"/>
        <w:rPr>
          <w:rFonts w:hint="eastAsia"/>
          <w:color w:val="000000"/>
          <w:sz w:val="24"/>
          <w:szCs w:val="24"/>
        </w:rPr>
      </w:pPr>
      <w:r>
        <w:rPr>
          <w:rFonts w:hint="eastAsia"/>
          <w:color w:val="000000"/>
          <w:sz w:val="24"/>
          <w:szCs w:val="24"/>
        </w:rPr>
        <w:t xml:space="preserve"> </w:t>
      </w:r>
    </w:p>
    <w:p w14:paraId="5EDD988F">
      <w:pPr>
        <w:spacing w:line="360" w:lineRule="auto"/>
        <w:ind w:firstLine="240" w:firstLineChars="100"/>
        <w:rPr>
          <w:rFonts w:hint="eastAsia"/>
          <w:color w:val="000000"/>
          <w:sz w:val="24"/>
          <w:szCs w:val="24"/>
        </w:rPr>
      </w:pPr>
      <w:r>
        <w:rPr>
          <w:rFonts w:hint="eastAsia"/>
          <w:color w:val="000000"/>
          <w:sz w:val="24"/>
          <w:szCs w:val="24"/>
        </w:rPr>
        <w:t>本人     （姓名）系       （</w:t>
      </w:r>
      <w:r>
        <w:rPr>
          <w:rFonts w:hint="eastAsia"/>
          <w:color w:val="000000"/>
          <w:sz w:val="24"/>
          <w:szCs w:val="24"/>
          <w:lang w:eastAsia="zh-CN"/>
        </w:rPr>
        <w:t>响应人</w:t>
      </w:r>
      <w:r>
        <w:rPr>
          <w:rFonts w:hint="eastAsia"/>
          <w:color w:val="000000"/>
          <w:sz w:val="24"/>
          <w:szCs w:val="24"/>
        </w:rPr>
        <w:t>名称）的法定代表人，在此授权    （单位）   （姓名），其身份证号码：     ，作为我方合法授权代表，以我方名义并代表我单位全权处理       （项目名称）项目磋商相关事宜。</w:t>
      </w:r>
    </w:p>
    <w:p w14:paraId="05D384A6">
      <w:pPr>
        <w:spacing w:line="360" w:lineRule="auto"/>
        <w:ind w:firstLine="160" w:firstLineChars="67"/>
        <w:rPr>
          <w:rFonts w:hint="eastAsia"/>
          <w:color w:val="000000"/>
          <w:sz w:val="24"/>
          <w:szCs w:val="24"/>
        </w:rPr>
      </w:pPr>
      <w:r>
        <w:rPr>
          <w:rFonts w:hint="eastAsia"/>
          <w:color w:val="000000"/>
          <w:sz w:val="24"/>
          <w:szCs w:val="24"/>
        </w:rPr>
        <w:t>本授权书期限自   年   月   日起至   年   月   日止。</w:t>
      </w:r>
    </w:p>
    <w:p w14:paraId="45C9748D">
      <w:pPr>
        <w:spacing w:line="360" w:lineRule="auto"/>
        <w:ind w:firstLine="160" w:firstLineChars="67"/>
        <w:rPr>
          <w:rFonts w:hint="eastAsia"/>
          <w:color w:val="000000"/>
          <w:sz w:val="24"/>
          <w:szCs w:val="24"/>
        </w:rPr>
      </w:pPr>
      <w:r>
        <w:rPr>
          <w:rFonts w:hint="eastAsia"/>
          <w:color w:val="000000"/>
          <w:sz w:val="24"/>
          <w:szCs w:val="24"/>
        </w:rPr>
        <w:t>在授权范围和期限内，被授权人所实施的行为具有法律效力，授权人予以认可。被授权人无权转让委托权，特此委托。</w:t>
      </w:r>
    </w:p>
    <w:p w14:paraId="5A60227A">
      <w:pPr>
        <w:spacing w:line="360" w:lineRule="auto"/>
        <w:ind w:left="1260" w:firstLine="160" w:firstLineChars="67"/>
        <w:rPr>
          <w:rFonts w:hint="eastAsia"/>
          <w:color w:val="000000"/>
          <w:sz w:val="24"/>
          <w:szCs w:val="24"/>
        </w:rPr>
      </w:pPr>
      <w:r>
        <w:rPr>
          <w:rFonts w:hint="eastAsia"/>
          <w:color w:val="000000"/>
          <w:sz w:val="24"/>
          <w:szCs w:val="24"/>
        </w:rPr>
        <w:t xml:space="preserve"> </w:t>
      </w:r>
    </w:p>
    <w:p w14:paraId="01B1BF22">
      <w:pPr>
        <w:spacing w:before="120" w:beforeLines="50" w:after="100" w:afterAutospacing="1" w:line="360" w:lineRule="auto"/>
        <w:ind w:firstLine="160" w:firstLineChars="67"/>
        <w:rPr>
          <w:rFonts w:hint="eastAsia"/>
          <w:color w:val="000000"/>
          <w:sz w:val="24"/>
          <w:szCs w:val="24"/>
          <w:u w:val="single"/>
        </w:rPr>
      </w:pPr>
      <w:r>
        <w:rPr>
          <w:rFonts w:hint="eastAsia"/>
          <w:color w:val="000000"/>
          <w:sz w:val="24"/>
          <w:szCs w:val="24"/>
        </w:rPr>
        <w:t>法定代表人（法人电子签章）：</w:t>
      </w:r>
    </w:p>
    <w:p w14:paraId="5AB804FA">
      <w:pPr>
        <w:spacing w:before="120" w:beforeLines="50" w:after="100" w:afterAutospacing="1" w:line="360" w:lineRule="auto"/>
        <w:ind w:firstLine="160" w:firstLineChars="67"/>
        <w:rPr>
          <w:rFonts w:hint="eastAsia"/>
          <w:color w:val="000000"/>
          <w:sz w:val="24"/>
          <w:szCs w:val="24"/>
        </w:rPr>
      </w:pPr>
      <w:r>
        <w:rPr>
          <w:rFonts w:hint="eastAsia"/>
          <w:color w:val="000000"/>
          <w:sz w:val="24"/>
          <w:szCs w:val="24"/>
          <w:lang w:eastAsia="zh-CN"/>
        </w:rPr>
        <w:t>响应人</w:t>
      </w:r>
      <w:r>
        <w:rPr>
          <w:rFonts w:hint="eastAsia"/>
          <w:color w:val="000000"/>
          <w:sz w:val="24"/>
          <w:szCs w:val="24"/>
        </w:rPr>
        <w:t>名称（</w:t>
      </w:r>
      <w:r>
        <w:rPr>
          <w:rFonts w:hint="eastAsia"/>
          <w:color w:val="000000"/>
          <w:sz w:val="24"/>
          <w:szCs w:val="24"/>
          <w:lang w:eastAsia="zh-CN"/>
        </w:rPr>
        <w:t>单位电子公章</w:t>
      </w:r>
      <w:r>
        <w:rPr>
          <w:rFonts w:hint="eastAsia"/>
          <w:color w:val="000000"/>
          <w:sz w:val="24"/>
          <w:szCs w:val="24"/>
        </w:rPr>
        <w:t>）：</w:t>
      </w:r>
    </w:p>
    <w:p w14:paraId="7950A380">
      <w:pPr>
        <w:spacing w:before="120" w:beforeLines="50" w:line="360" w:lineRule="auto"/>
        <w:ind w:firstLine="160" w:firstLineChars="67"/>
        <w:rPr>
          <w:rFonts w:hint="eastAsia"/>
          <w:color w:val="000000"/>
          <w:sz w:val="24"/>
          <w:szCs w:val="24"/>
        </w:rPr>
      </w:pPr>
      <w:r>
        <w:rPr>
          <w:rFonts w:hint="eastAsia"/>
          <w:color w:val="000000"/>
          <w:sz w:val="24"/>
          <w:szCs w:val="24"/>
        </w:rPr>
        <w:t xml:space="preserve"> </w:t>
      </w:r>
    </w:p>
    <w:p w14:paraId="4C48625B">
      <w:pPr>
        <w:spacing w:line="360" w:lineRule="auto"/>
        <w:ind w:firstLine="160" w:firstLineChars="67"/>
        <w:rPr>
          <w:rFonts w:hint="eastAsia"/>
          <w:color w:val="000000"/>
          <w:sz w:val="24"/>
          <w:szCs w:val="24"/>
        </w:rPr>
      </w:pPr>
      <w:r>
        <w:rPr>
          <w:rFonts w:hint="eastAsia"/>
          <w:color w:val="000000"/>
          <w:sz w:val="24"/>
          <w:szCs w:val="24"/>
        </w:rPr>
        <w:t>附：被授权人的身份证复印件</w:t>
      </w:r>
      <w:bookmarkStart w:id="598" w:name="_Toc266859797"/>
      <w:bookmarkEnd w:id="598"/>
      <w:r>
        <w:rPr>
          <w:rFonts w:hint="eastAsia"/>
          <w:color w:val="000000"/>
          <w:sz w:val="24"/>
          <w:szCs w:val="24"/>
        </w:rPr>
        <w:t>。</w:t>
      </w:r>
    </w:p>
    <w:p w14:paraId="681016E3">
      <w:pPr>
        <w:spacing w:line="360" w:lineRule="auto"/>
        <w:ind w:firstLine="160" w:firstLineChars="67"/>
        <w:rPr>
          <w:rFonts w:hint="eastAsia"/>
          <w:color w:val="000000"/>
          <w:sz w:val="24"/>
          <w:szCs w:val="24"/>
        </w:rPr>
      </w:pPr>
      <w:r>
        <w:rPr>
          <w:rFonts w:hint="eastAsia"/>
          <w:color w:val="000000"/>
          <w:sz w:val="24"/>
          <w:szCs w:val="24"/>
        </w:rPr>
        <w:t xml:space="preserve"> </w:t>
      </w:r>
    </w:p>
    <w:p w14:paraId="40D7CF2E">
      <w:pPr>
        <w:spacing w:line="360" w:lineRule="auto"/>
        <w:ind w:firstLine="160" w:firstLineChars="67"/>
        <w:rPr>
          <w:rFonts w:hint="eastAsia"/>
          <w:b/>
          <w:bCs/>
          <w:color w:val="000000"/>
          <w:sz w:val="24"/>
          <w:szCs w:val="24"/>
        </w:rPr>
      </w:pPr>
      <w:r>
        <w:rPr>
          <w:rFonts w:hint="eastAsia"/>
          <w:color w:val="000000"/>
          <w:sz w:val="24"/>
          <w:szCs w:val="24"/>
        </w:rPr>
        <w:drawing>
          <wp:inline distT="0" distB="0" distL="114300" distR="114300">
            <wp:extent cx="2990215" cy="1943100"/>
            <wp:effectExtent l="0" t="0" r="635" b="0"/>
            <wp:docPr id="6" name="图片 4" descr="C:\Users\ADMINI~1\AppData\Local\Temp\ksohtml\wps26D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ADMINI~1\AppData\Local\Temp\ksohtml\wps26DC.tmp.png"/>
                    <pic:cNvPicPr>
                      <a:picLocks noChangeAspect="1"/>
                    </pic:cNvPicPr>
                  </pic:nvPicPr>
                  <pic:blipFill>
                    <a:blip r:embed="rId15"/>
                    <a:stretch>
                      <a:fillRect/>
                    </a:stretch>
                  </pic:blipFill>
                  <pic:spPr>
                    <a:xfrm>
                      <a:off x="0" y="0"/>
                      <a:ext cx="2990215" cy="1943100"/>
                    </a:xfrm>
                    <a:prstGeom prst="rect">
                      <a:avLst/>
                    </a:prstGeom>
                    <a:noFill/>
                    <a:ln>
                      <a:noFill/>
                    </a:ln>
                  </pic:spPr>
                </pic:pic>
              </a:graphicData>
            </a:graphic>
          </wp:inline>
        </w:drawing>
      </w:r>
      <w:r>
        <w:rPr>
          <w:rFonts w:hint="eastAsia"/>
          <w:color w:val="000000"/>
          <w:sz w:val="24"/>
          <w:szCs w:val="24"/>
        </w:rPr>
        <w:drawing>
          <wp:inline distT="0" distB="0" distL="114300" distR="114300">
            <wp:extent cx="2990215" cy="1943100"/>
            <wp:effectExtent l="0" t="0" r="635" b="0"/>
            <wp:docPr id="10" name="图片 5" descr="C:\Users\ADMINI~1\AppData\Local\Temp\ksohtml\wps26D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ADMINI~1\AppData\Local\Temp\ksohtml\wps26DC.tmp.png"/>
                    <pic:cNvPicPr>
                      <a:picLocks noChangeAspect="1"/>
                    </pic:cNvPicPr>
                  </pic:nvPicPr>
                  <pic:blipFill>
                    <a:blip r:embed="rId15"/>
                    <a:stretch>
                      <a:fillRect/>
                    </a:stretch>
                  </pic:blipFill>
                  <pic:spPr>
                    <a:xfrm>
                      <a:off x="0" y="0"/>
                      <a:ext cx="2990215" cy="1943100"/>
                    </a:xfrm>
                    <a:prstGeom prst="rect">
                      <a:avLst/>
                    </a:prstGeom>
                    <a:noFill/>
                    <a:ln>
                      <a:noFill/>
                    </a:ln>
                  </pic:spPr>
                </pic:pic>
              </a:graphicData>
            </a:graphic>
          </wp:inline>
        </w:drawing>
      </w:r>
    </w:p>
    <w:p w14:paraId="76A193CE">
      <w:pPr>
        <w:pStyle w:val="9"/>
        <w:spacing w:line="360" w:lineRule="auto"/>
        <w:ind w:left="147" w:leftChars="67"/>
        <w:rPr>
          <w:rFonts w:hint="eastAsia" w:ascii="宋体" w:hAnsi="宋体"/>
          <w:color w:val="000000"/>
          <w:sz w:val="24"/>
          <w:szCs w:val="24"/>
        </w:rPr>
      </w:pPr>
      <w:r>
        <w:rPr>
          <w:rFonts w:hint="eastAsia" w:ascii="宋体" w:hAnsi="宋体"/>
          <w:color w:val="000000"/>
          <w:kern w:val="2"/>
          <w:sz w:val="24"/>
          <w:szCs w:val="24"/>
        </w:rPr>
        <w:br w:type="page"/>
      </w:r>
      <w:bookmarkStart w:id="599" w:name="_Toc324696986"/>
      <w:bookmarkEnd w:id="599"/>
      <w:bookmarkStart w:id="600" w:name="_Toc325383409"/>
      <w:bookmarkEnd w:id="600"/>
      <w:bookmarkStart w:id="601" w:name="_Toc325446135"/>
      <w:bookmarkEnd w:id="601"/>
      <w:bookmarkStart w:id="602" w:name="_Toc359842907"/>
      <w:bookmarkEnd w:id="602"/>
      <w:bookmarkStart w:id="603" w:name="_Toc22015"/>
      <w:bookmarkEnd w:id="603"/>
      <w:bookmarkStart w:id="604" w:name="_Toc3546"/>
      <w:bookmarkStart w:id="605" w:name="_Toc20620"/>
      <w:bookmarkStart w:id="606" w:name="_Toc4324"/>
      <w:bookmarkStart w:id="607" w:name="_Toc31658"/>
      <w:bookmarkStart w:id="608" w:name="_Toc672"/>
      <w:bookmarkStart w:id="609" w:name="_Toc2916"/>
      <w:bookmarkStart w:id="610" w:name="_Toc1442"/>
      <w:r>
        <w:rPr>
          <w:rFonts w:hint="eastAsia" w:ascii="宋体" w:hAnsi="宋体"/>
          <w:color w:val="000000"/>
          <w:kern w:val="2"/>
          <w:sz w:val="24"/>
          <w:szCs w:val="24"/>
          <w:lang w:val="en-US" w:eastAsia="zh-CN"/>
        </w:rPr>
        <w:t>七、</w:t>
      </w:r>
      <w:r>
        <w:rPr>
          <w:rFonts w:hint="eastAsia" w:ascii="宋体" w:hAnsi="宋体"/>
          <w:color w:val="000000"/>
          <w:sz w:val="24"/>
          <w:szCs w:val="24"/>
        </w:rPr>
        <w:t>资格证明文件</w:t>
      </w:r>
      <w:bookmarkEnd w:id="604"/>
      <w:bookmarkEnd w:id="605"/>
      <w:bookmarkEnd w:id="606"/>
      <w:bookmarkEnd w:id="607"/>
      <w:bookmarkEnd w:id="608"/>
      <w:bookmarkEnd w:id="609"/>
      <w:bookmarkEnd w:id="610"/>
    </w:p>
    <w:p w14:paraId="331F0C66">
      <w:pPr>
        <w:spacing w:line="360" w:lineRule="auto"/>
        <w:ind w:left="147" w:leftChars="67"/>
        <w:rPr>
          <w:rFonts w:hint="eastAsia"/>
          <w:color w:val="000000"/>
          <w:sz w:val="24"/>
          <w:szCs w:val="24"/>
        </w:rPr>
      </w:pPr>
    </w:p>
    <w:p w14:paraId="4DC9B0C1">
      <w:pPr>
        <w:spacing w:line="360" w:lineRule="auto"/>
        <w:ind w:left="147" w:leftChars="67"/>
        <w:rPr>
          <w:rFonts w:hint="eastAsia"/>
          <w:color w:val="000000"/>
          <w:sz w:val="24"/>
          <w:szCs w:val="24"/>
        </w:rPr>
      </w:pPr>
      <w:r>
        <w:rPr>
          <w:rFonts w:hint="eastAsia"/>
          <w:color w:val="000000"/>
          <w:kern w:val="2"/>
          <w:sz w:val="24"/>
          <w:szCs w:val="24"/>
          <w:lang w:val="en-US" w:eastAsia="zh-CN"/>
        </w:rPr>
        <w:t>7</w:t>
      </w:r>
      <w:r>
        <w:rPr>
          <w:rFonts w:hint="eastAsia"/>
          <w:color w:val="000000"/>
          <w:sz w:val="24"/>
          <w:szCs w:val="24"/>
        </w:rPr>
        <w:t>-1</w:t>
      </w:r>
      <w:r>
        <w:rPr>
          <w:rFonts w:hint="eastAsia"/>
          <w:color w:val="000000"/>
          <w:sz w:val="24"/>
          <w:szCs w:val="24"/>
          <w:lang w:eastAsia="zh-CN"/>
        </w:rPr>
        <w:t>响应人</w:t>
      </w:r>
      <w:r>
        <w:rPr>
          <w:rFonts w:hint="eastAsia"/>
          <w:color w:val="000000"/>
          <w:sz w:val="24"/>
          <w:szCs w:val="24"/>
        </w:rPr>
        <w:t>基本情况表</w:t>
      </w:r>
    </w:p>
    <w:p w14:paraId="5A040E1D">
      <w:pPr>
        <w:spacing w:line="360" w:lineRule="auto"/>
        <w:ind w:left="147" w:leftChars="67"/>
        <w:rPr>
          <w:rFonts w:hint="eastAsia"/>
          <w:color w:val="000000"/>
          <w:sz w:val="24"/>
          <w:szCs w:val="24"/>
        </w:rPr>
      </w:pPr>
      <w:r>
        <w:rPr>
          <w:rFonts w:hint="eastAsia"/>
          <w:color w:val="000000"/>
          <w:kern w:val="2"/>
          <w:sz w:val="24"/>
          <w:szCs w:val="24"/>
          <w:lang w:val="en-US" w:eastAsia="zh-CN"/>
        </w:rPr>
        <w:t>7</w:t>
      </w:r>
      <w:r>
        <w:rPr>
          <w:rFonts w:hint="eastAsia"/>
          <w:color w:val="000000"/>
          <w:sz w:val="24"/>
          <w:szCs w:val="24"/>
        </w:rPr>
        <w:t>-2服务承诺书</w:t>
      </w:r>
    </w:p>
    <w:p w14:paraId="2BE461FA">
      <w:pPr>
        <w:spacing w:line="360" w:lineRule="auto"/>
        <w:ind w:left="147" w:leftChars="67"/>
        <w:outlineLvl w:val="9"/>
        <w:rPr>
          <w:rFonts w:hint="eastAsia"/>
          <w:color w:val="000000"/>
          <w:sz w:val="24"/>
          <w:szCs w:val="24"/>
        </w:rPr>
      </w:pPr>
      <w:bookmarkStart w:id="611" w:name="_Toc23723"/>
      <w:bookmarkStart w:id="612" w:name="_Toc27489"/>
      <w:r>
        <w:rPr>
          <w:rFonts w:hint="eastAsia"/>
          <w:color w:val="000000"/>
          <w:kern w:val="2"/>
          <w:sz w:val="24"/>
          <w:szCs w:val="24"/>
          <w:lang w:val="en-US" w:eastAsia="zh-CN"/>
        </w:rPr>
        <w:t>7</w:t>
      </w:r>
      <w:r>
        <w:rPr>
          <w:rFonts w:hint="eastAsia"/>
          <w:color w:val="000000"/>
          <w:sz w:val="24"/>
          <w:szCs w:val="24"/>
        </w:rPr>
        <w:t>-3无商业贿赂及无不正当竞争行为的承诺书</w:t>
      </w:r>
      <w:bookmarkEnd w:id="611"/>
      <w:bookmarkEnd w:id="612"/>
    </w:p>
    <w:p w14:paraId="35674EB1">
      <w:pPr>
        <w:spacing w:line="360" w:lineRule="auto"/>
        <w:ind w:left="147" w:leftChars="67"/>
        <w:rPr>
          <w:rFonts w:hint="eastAsia"/>
          <w:color w:val="000000"/>
          <w:sz w:val="24"/>
          <w:szCs w:val="24"/>
        </w:rPr>
      </w:pPr>
      <w:r>
        <w:rPr>
          <w:rFonts w:hint="eastAsia"/>
          <w:color w:val="000000"/>
          <w:kern w:val="2"/>
          <w:sz w:val="24"/>
          <w:szCs w:val="24"/>
          <w:lang w:val="en-US" w:eastAsia="zh-CN"/>
        </w:rPr>
        <w:t>7</w:t>
      </w:r>
      <w:r>
        <w:rPr>
          <w:rFonts w:hint="eastAsia"/>
          <w:color w:val="000000"/>
          <w:sz w:val="24"/>
          <w:szCs w:val="24"/>
        </w:rPr>
        <w:t>-4信用信息查询证明</w:t>
      </w:r>
    </w:p>
    <w:p w14:paraId="68F499D9">
      <w:pPr>
        <w:spacing w:line="360" w:lineRule="auto"/>
        <w:ind w:left="147" w:leftChars="67"/>
        <w:rPr>
          <w:rFonts w:hint="eastAsia"/>
          <w:color w:val="000000"/>
          <w:sz w:val="24"/>
          <w:szCs w:val="24"/>
        </w:rPr>
      </w:pPr>
      <w:r>
        <w:rPr>
          <w:rFonts w:hint="eastAsia"/>
          <w:color w:val="000000"/>
          <w:kern w:val="2"/>
          <w:sz w:val="24"/>
          <w:szCs w:val="24"/>
          <w:lang w:val="en-US" w:eastAsia="zh-CN"/>
        </w:rPr>
        <w:t>7</w:t>
      </w:r>
      <w:r>
        <w:rPr>
          <w:rFonts w:hint="eastAsia"/>
          <w:color w:val="000000"/>
          <w:sz w:val="24"/>
          <w:szCs w:val="24"/>
        </w:rPr>
        <w:t>-5享受政府采购政策的证明材料</w:t>
      </w:r>
    </w:p>
    <w:p w14:paraId="112AB570">
      <w:pPr>
        <w:spacing w:line="360" w:lineRule="auto"/>
        <w:ind w:left="147" w:leftChars="67"/>
        <w:rPr>
          <w:rFonts w:hint="eastAsia"/>
          <w:color w:val="000000"/>
          <w:sz w:val="24"/>
          <w:szCs w:val="24"/>
        </w:rPr>
      </w:pPr>
      <w:r>
        <w:rPr>
          <w:rFonts w:hint="eastAsia"/>
          <w:color w:val="000000"/>
          <w:kern w:val="2"/>
          <w:sz w:val="24"/>
          <w:szCs w:val="24"/>
          <w:lang w:val="en-US" w:eastAsia="zh-CN"/>
        </w:rPr>
        <w:t>7</w:t>
      </w:r>
      <w:r>
        <w:rPr>
          <w:rFonts w:hint="eastAsia"/>
          <w:color w:val="000000"/>
          <w:sz w:val="24"/>
          <w:szCs w:val="24"/>
        </w:rPr>
        <w:t>-6其他证明材料</w:t>
      </w:r>
    </w:p>
    <w:p w14:paraId="36C73096">
      <w:pPr>
        <w:spacing w:line="360" w:lineRule="auto"/>
        <w:ind w:left="147" w:leftChars="67"/>
        <w:rPr>
          <w:rFonts w:hint="eastAsia"/>
          <w:color w:val="000000"/>
          <w:sz w:val="24"/>
          <w:szCs w:val="24"/>
        </w:rPr>
      </w:pPr>
      <w:r>
        <w:rPr>
          <w:rFonts w:hint="eastAsia"/>
          <w:color w:val="000000"/>
          <w:sz w:val="24"/>
          <w:szCs w:val="24"/>
        </w:rPr>
        <w:t xml:space="preserve"> </w:t>
      </w:r>
    </w:p>
    <w:p w14:paraId="41C5D1F6">
      <w:pPr>
        <w:rPr>
          <w:rFonts w:hint="eastAsia"/>
          <w:color w:val="000000"/>
          <w:sz w:val="24"/>
          <w:szCs w:val="24"/>
        </w:rPr>
      </w:pPr>
      <w:r>
        <w:rPr>
          <w:rFonts w:hint="eastAsia"/>
          <w:color w:val="000000"/>
          <w:sz w:val="24"/>
          <w:szCs w:val="24"/>
        </w:rPr>
        <w:t xml:space="preserve"> </w:t>
      </w:r>
    </w:p>
    <w:p w14:paraId="4C4908F9">
      <w:pPr>
        <w:rPr>
          <w:rFonts w:hint="eastAsia"/>
          <w:color w:val="000000"/>
          <w:sz w:val="24"/>
          <w:szCs w:val="24"/>
        </w:rPr>
      </w:pPr>
      <w:r>
        <w:rPr>
          <w:rFonts w:hint="eastAsia"/>
          <w:color w:val="000000"/>
          <w:sz w:val="24"/>
          <w:szCs w:val="24"/>
        </w:rPr>
        <w:t xml:space="preserve"> </w:t>
      </w:r>
    </w:p>
    <w:p w14:paraId="6E73A976">
      <w:pPr>
        <w:rPr>
          <w:rFonts w:hint="eastAsia"/>
          <w:color w:val="000000"/>
          <w:sz w:val="24"/>
          <w:szCs w:val="24"/>
        </w:rPr>
      </w:pPr>
      <w:r>
        <w:rPr>
          <w:rFonts w:hint="eastAsia"/>
          <w:color w:val="000000"/>
          <w:sz w:val="24"/>
          <w:szCs w:val="24"/>
        </w:rPr>
        <w:t xml:space="preserve"> </w:t>
      </w:r>
    </w:p>
    <w:p w14:paraId="7C917233">
      <w:pPr>
        <w:rPr>
          <w:rFonts w:hint="eastAsia"/>
          <w:color w:val="000000"/>
          <w:sz w:val="24"/>
          <w:szCs w:val="24"/>
        </w:rPr>
      </w:pPr>
      <w:r>
        <w:rPr>
          <w:rFonts w:hint="eastAsia"/>
          <w:color w:val="000000"/>
          <w:sz w:val="24"/>
          <w:szCs w:val="24"/>
        </w:rPr>
        <w:t xml:space="preserve"> </w:t>
      </w:r>
    </w:p>
    <w:p w14:paraId="49E263DE">
      <w:pPr>
        <w:rPr>
          <w:rFonts w:hint="eastAsia"/>
          <w:color w:val="000000"/>
          <w:sz w:val="24"/>
          <w:szCs w:val="24"/>
        </w:rPr>
      </w:pPr>
      <w:r>
        <w:rPr>
          <w:rFonts w:hint="eastAsia"/>
          <w:color w:val="000000"/>
          <w:sz w:val="24"/>
          <w:szCs w:val="24"/>
        </w:rPr>
        <w:t xml:space="preserve"> </w:t>
      </w:r>
    </w:p>
    <w:p w14:paraId="0BB00291">
      <w:pPr>
        <w:rPr>
          <w:rFonts w:hint="eastAsia"/>
          <w:color w:val="000000"/>
          <w:sz w:val="24"/>
          <w:szCs w:val="24"/>
        </w:rPr>
      </w:pPr>
      <w:r>
        <w:rPr>
          <w:rFonts w:hint="eastAsia"/>
          <w:color w:val="000000"/>
          <w:sz w:val="24"/>
          <w:szCs w:val="24"/>
        </w:rPr>
        <w:t xml:space="preserve"> </w:t>
      </w:r>
    </w:p>
    <w:p w14:paraId="5B6E3893">
      <w:pPr>
        <w:rPr>
          <w:rFonts w:hint="eastAsia"/>
          <w:color w:val="000000"/>
          <w:sz w:val="24"/>
          <w:szCs w:val="24"/>
        </w:rPr>
      </w:pPr>
      <w:r>
        <w:rPr>
          <w:rFonts w:hint="eastAsia"/>
          <w:color w:val="000000"/>
          <w:sz w:val="24"/>
          <w:szCs w:val="24"/>
        </w:rPr>
        <w:t xml:space="preserve"> </w:t>
      </w:r>
    </w:p>
    <w:p w14:paraId="0205A045">
      <w:pPr>
        <w:rPr>
          <w:rFonts w:hint="eastAsia"/>
          <w:color w:val="000000"/>
          <w:sz w:val="24"/>
          <w:szCs w:val="24"/>
        </w:rPr>
      </w:pPr>
      <w:r>
        <w:rPr>
          <w:rFonts w:hint="eastAsia"/>
          <w:color w:val="000000"/>
          <w:sz w:val="24"/>
          <w:szCs w:val="24"/>
        </w:rPr>
        <w:t xml:space="preserve"> </w:t>
      </w:r>
    </w:p>
    <w:p w14:paraId="37139A31">
      <w:pPr>
        <w:rPr>
          <w:rFonts w:hint="eastAsia"/>
          <w:color w:val="000000"/>
          <w:sz w:val="24"/>
          <w:szCs w:val="24"/>
        </w:rPr>
      </w:pPr>
      <w:r>
        <w:rPr>
          <w:rFonts w:hint="eastAsia"/>
          <w:color w:val="000000"/>
          <w:sz w:val="24"/>
          <w:szCs w:val="24"/>
        </w:rPr>
        <w:t xml:space="preserve"> </w:t>
      </w:r>
    </w:p>
    <w:p w14:paraId="23795D3F">
      <w:pPr>
        <w:rPr>
          <w:rFonts w:hint="eastAsia"/>
          <w:color w:val="000000"/>
          <w:sz w:val="24"/>
          <w:szCs w:val="24"/>
        </w:rPr>
      </w:pPr>
      <w:r>
        <w:rPr>
          <w:rFonts w:hint="eastAsia"/>
          <w:color w:val="000000"/>
          <w:sz w:val="24"/>
          <w:szCs w:val="24"/>
        </w:rPr>
        <w:t xml:space="preserve"> </w:t>
      </w:r>
    </w:p>
    <w:p w14:paraId="4E180018">
      <w:pPr>
        <w:rPr>
          <w:rFonts w:hint="eastAsia"/>
          <w:color w:val="000000"/>
          <w:sz w:val="24"/>
          <w:szCs w:val="24"/>
        </w:rPr>
      </w:pPr>
      <w:r>
        <w:rPr>
          <w:rFonts w:hint="eastAsia"/>
          <w:color w:val="000000"/>
          <w:sz w:val="24"/>
          <w:szCs w:val="24"/>
        </w:rPr>
        <w:t xml:space="preserve"> </w:t>
      </w:r>
    </w:p>
    <w:p w14:paraId="6FCBB908">
      <w:pPr>
        <w:rPr>
          <w:rFonts w:hint="eastAsia"/>
          <w:color w:val="000000"/>
          <w:sz w:val="24"/>
          <w:szCs w:val="24"/>
        </w:rPr>
      </w:pPr>
      <w:r>
        <w:rPr>
          <w:rFonts w:hint="eastAsia"/>
          <w:color w:val="000000"/>
          <w:sz w:val="24"/>
          <w:szCs w:val="24"/>
        </w:rPr>
        <w:t xml:space="preserve"> </w:t>
      </w:r>
    </w:p>
    <w:p w14:paraId="39A251E9">
      <w:pPr>
        <w:rPr>
          <w:rFonts w:hint="eastAsia"/>
          <w:color w:val="000000"/>
          <w:sz w:val="24"/>
          <w:szCs w:val="24"/>
        </w:rPr>
      </w:pPr>
      <w:r>
        <w:rPr>
          <w:rFonts w:hint="eastAsia"/>
          <w:color w:val="000000"/>
          <w:sz w:val="24"/>
          <w:szCs w:val="24"/>
        </w:rPr>
        <w:t xml:space="preserve"> </w:t>
      </w:r>
    </w:p>
    <w:p w14:paraId="1475A426">
      <w:pPr>
        <w:rPr>
          <w:rFonts w:hint="eastAsia"/>
          <w:color w:val="000000"/>
          <w:sz w:val="24"/>
          <w:szCs w:val="24"/>
        </w:rPr>
      </w:pPr>
      <w:bookmarkStart w:id="613" w:name="_Toc18145"/>
      <w:bookmarkEnd w:id="613"/>
      <w:r>
        <w:rPr>
          <w:rFonts w:hint="eastAsia"/>
          <w:color w:val="000000"/>
          <w:sz w:val="24"/>
          <w:szCs w:val="24"/>
        </w:rPr>
        <w:br w:type="page"/>
      </w:r>
    </w:p>
    <w:p w14:paraId="0E637B09">
      <w:pPr>
        <w:pStyle w:val="9"/>
        <w:spacing w:before="120" w:beforeLines="50" w:after="120" w:afterLines="50" w:line="360" w:lineRule="auto"/>
        <w:ind w:firstLine="161" w:firstLineChars="67"/>
        <w:outlineLvl w:val="9"/>
        <w:rPr>
          <w:rFonts w:hint="eastAsia" w:ascii="宋体" w:hAnsi="宋体"/>
          <w:b w:val="0"/>
          <w:bCs w:val="0"/>
          <w:color w:val="000000"/>
          <w:kern w:val="2"/>
          <w:sz w:val="24"/>
          <w:szCs w:val="24"/>
        </w:rPr>
      </w:pPr>
      <w:bookmarkStart w:id="614" w:name="_Toc22969"/>
      <w:bookmarkStart w:id="615" w:name="_Toc26167"/>
      <w:r>
        <w:rPr>
          <w:rFonts w:hint="eastAsia" w:ascii="宋体" w:hAnsi="宋体"/>
          <w:color w:val="000000"/>
          <w:kern w:val="2"/>
          <w:sz w:val="24"/>
          <w:szCs w:val="24"/>
          <w:lang w:val="en-US" w:eastAsia="zh-CN"/>
        </w:rPr>
        <w:t>7</w:t>
      </w:r>
      <w:r>
        <w:rPr>
          <w:rFonts w:hint="eastAsia" w:ascii="宋体" w:hAnsi="宋体"/>
          <w:color w:val="000000"/>
          <w:sz w:val="24"/>
          <w:szCs w:val="24"/>
        </w:rPr>
        <w:t>-1</w:t>
      </w:r>
      <w:r>
        <w:rPr>
          <w:rFonts w:hint="eastAsia" w:ascii="宋体" w:hAnsi="宋体"/>
          <w:color w:val="000000"/>
          <w:sz w:val="24"/>
          <w:szCs w:val="24"/>
          <w:lang w:val="en-US" w:eastAsia="zh-CN"/>
        </w:rPr>
        <w:t xml:space="preserve"> </w:t>
      </w:r>
      <w:r>
        <w:rPr>
          <w:rFonts w:hint="eastAsia" w:ascii="宋体" w:hAnsi="宋体"/>
          <w:color w:val="000000"/>
          <w:sz w:val="24"/>
          <w:szCs w:val="24"/>
          <w:lang w:eastAsia="zh-CN"/>
        </w:rPr>
        <w:t>响应人</w:t>
      </w:r>
      <w:r>
        <w:rPr>
          <w:rFonts w:hint="eastAsia" w:ascii="宋体" w:hAnsi="宋体"/>
          <w:color w:val="000000"/>
          <w:sz w:val="24"/>
          <w:szCs w:val="24"/>
        </w:rPr>
        <w:t>基本情况表</w:t>
      </w:r>
      <w:bookmarkEnd w:id="614"/>
      <w:bookmarkEnd w:id="615"/>
    </w:p>
    <w:tbl>
      <w:tblPr>
        <w:tblStyle w:val="14"/>
        <w:tblW w:w="9681" w:type="dxa"/>
        <w:jc w:val="center"/>
        <w:tblLayout w:type="fixed"/>
        <w:tblCellMar>
          <w:top w:w="0" w:type="dxa"/>
          <w:left w:w="108" w:type="dxa"/>
          <w:bottom w:w="0" w:type="dxa"/>
          <w:right w:w="108" w:type="dxa"/>
        </w:tblCellMar>
      </w:tblPr>
      <w:tblGrid>
        <w:gridCol w:w="2463"/>
        <w:gridCol w:w="1325"/>
        <w:gridCol w:w="1933"/>
        <w:gridCol w:w="1698"/>
        <w:gridCol w:w="2262"/>
      </w:tblGrid>
      <w:tr w14:paraId="6E3F8DF8">
        <w:tblPrEx>
          <w:tblCellMar>
            <w:top w:w="0" w:type="dxa"/>
            <w:left w:w="108" w:type="dxa"/>
            <w:bottom w:w="0" w:type="dxa"/>
            <w:right w:w="108" w:type="dxa"/>
          </w:tblCellMar>
        </w:tblPrEx>
        <w:trPr>
          <w:trHeight w:val="76" w:hRule="atLeast"/>
          <w:jc w:val="center"/>
        </w:trPr>
        <w:tc>
          <w:tcPr>
            <w:tcW w:w="2463" w:type="dxa"/>
            <w:tcBorders>
              <w:top w:val="single" w:color="auto" w:sz="4" w:space="0"/>
              <w:left w:val="single" w:color="auto" w:sz="4" w:space="0"/>
              <w:bottom w:val="single" w:color="auto" w:sz="4" w:space="0"/>
              <w:right w:val="single" w:color="auto" w:sz="4" w:space="0"/>
            </w:tcBorders>
            <w:noWrap w:val="0"/>
            <w:vAlign w:val="center"/>
          </w:tcPr>
          <w:p w14:paraId="171E7936">
            <w:pPr>
              <w:spacing w:line="360" w:lineRule="auto"/>
              <w:ind w:firstLine="160" w:firstLineChars="67"/>
              <w:jc w:val="center"/>
              <w:outlineLvl w:val="9"/>
              <w:rPr>
                <w:rFonts w:hint="eastAsia"/>
                <w:color w:val="000000"/>
                <w:sz w:val="24"/>
                <w:szCs w:val="24"/>
              </w:rPr>
            </w:pPr>
            <w:r>
              <w:rPr>
                <w:rFonts w:hint="eastAsia"/>
                <w:color w:val="000000"/>
                <w:sz w:val="24"/>
                <w:szCs w:val="24"/>
                <w:lang w:eastAsia="zh-CN"/>
              </w:rPr>
              <w:t>响应人</w:t>
            </w:r>
            <w:r>
              <w:rPr>
                <w:rFonts w:hint="eastAsia"/>
                <w:color w:val="000000"/>
                <w:sz w:val="24"/>
                <w:szCs w:val="24"/>
              </w:rPr>
              <w:t>名称</w:t>
            </w:r>
          </w:p>
        </w:tc>
        <w:tc>
          <w:tcPr>
            <w:tcW w:w="3258" w:type="dxa"/>
            <w:gridSpan w:val="2"/>
            <w:tcBorders>
              <w:top w:val="single" w:color="auto" w:sz="4" w:space="0"/>
              <w:left w:val="nil"/>
              <w:bottom w:val="single" w:color="auto" w:sz="4" w:space="0"/>
              <w:right w:val="nil"/>
            </w:tcBorders>
            <w:noWrap w:val="0"/>
            <w:vAlign w:val="center"/>
          </w:tcPr>
          <w:p w14:paraId="4D90F33A">
            <w:pPr>
              <w:spacing w:line="360" w:lineRule="auto"/>
              <w:ind w:firstLine="160" w:firstLineChars="67"/>
              <w:jc w:val="center"/>
              <w:outlineLvl w:val="9"/>
              <w:rPr>
                <w:rFonts w:hint="eastAsia"/>
                <w:color w:val="000000"/>
                <w:sz w:val="24"/>
                <w:szCs w:val="24"/>
              </w:rPr>
            </w:pPr>
          </w:p>
        </w:tc>
        <w:tc>
          <w:tcPr>
            <w:tcW w:w="1698" w:type="dxa"/>
            <w:tcBorders>
              <w:top w:val="single" w:color="auto" w:sz="4" w:space="0"/>
              <w:left w:val="single" w:color="auto" w:sz="4" w:space="0"/>
              <w:bottom w:val="single" w:color="auto" w:sz="4" w:space="0"/>
              <w:right w:val="nil"/>
            </w:tcBorders>
            <w:noWrap w:val="0"/>
            <w:vAlign w:val="center"/>
          </w:tcPr>
          <w:p w14:paraId="3B794237">
            <w:pPr>
              <w:spacing w:line="360" w:lineRule="auto"/>
              <w:ind w:firstLine="160" w:firstLineChars="67"/>
              <w:jc w:val="center"/>
              <w:outlineLvl w:val="9"/>
              <w:rPr>
                <w:rFonts w:hint="eastAsia"/>
                <w:color w:val="000000"/>
                <w:sz w:val="24"/>
                <w:szCs w:val="24"/>
              </w:rPr>
            </w:pPr>
            <w:r>
              <w:rPr>
                <w:rFonts w:hint="eastAsia"/>
                <w:color w:val="000000"/>
                <w:sz w:val="24"/>
                <w:szCs w:val="24"/>
              </w:rPr>
              <w:t>注册地址</w:t>
            </w:r>
          </w:p>
        </w:tc>
        <w:tc>
          <w:tcPr>
            <w:tcW w:w="2262" w:type="dxa"/>
            <w:tcBorders>
              <w:top w:val="single" w:color="auto" w:sz="4" w:space="0"/>
              <w:left w:val="single" w:color="auto" w:sz="4" w:space="0"/>
              <w:bottom w:val="single" w:color="auto" w:sz="4" w:space="0"/>
              <w:right w:val="single" w:color="auto" w:sz="8" w:space="0"/>
            </w:tcBorders>
            <w:noWrap w:val="0"/>
            <w:vAlign w:val="center"/>
          </w:tcPr>
          <w:p w14:paraId="4BDC6027">
            <w:pPr>
              <w:spacing w:line="360" w:lineRule="auto"/>
              <w:ind w:firstLine="160" w:firstLineChars="67"/>
              <w:jc w:val="center"/>
              <w:outlineLvl w:val="9"/>
              <w:rPr>
                <w:rFonts w:hint="eastAsia"/>
                <w:color w:val="000000"/>
                <w:sz w:val="24"/>
                <w:szCs w:val="24"/>
              </w:rPr>
            </w:pPr>
          </w:p>
        </w:tc>
      </w:tr>
      <w:tr w14:paraId="4D05582B">
        <w:tblPrEx>
          <w:tblCellMar>
            <w:top w:w="0" w:type="dxa"/>
            <w:left w:w="108" w:type="dxa"/>
            <w:bottom w:w="0" w:type="dxa"/>
            <w:right w:w="108" w:type="dxa"/>
          </w:tblCellMar>
        </w:tblPrEx>
        <w:trPr>
          <w:trHeight w:val="506" w:hRule="atLeast"/>
          <w:jc w:val="center"/>
        </w:trPr>
        <w:tc>
          <w:tcPr>
            <w:tcW w:w="2463" w:type="dxa"/>
            <w:vMerge w:val="restart"/>
            <w:tcBorders>
              <w:top w:val="nil"/>
              <w:left w:val="single" w:color="auto" w:sz="4" w:space="0"/>
              <w:bottom w:val="single" w:color="auto" w:sz="4" w:space="0"/>
              <w:right w:val="single" w:color="auto" w:sz="4" w:space="0"/>
            </w:tcBorders>
            <w:noWrap w:val="0"/>
            <w:vAlign w:val="center"/>
          </w:tcPr>
          <w:p w14:paraId="4161E86F">
            <w:pPr>
              <w:spacing w:line="360" w:lineRule="auto"/>
              <w:ind w:firstLine="160" w:firstLineChars="67"/>
              <w:jc w:val="center"/>
              <w:outlineLvl w:val="9"/>
              <w:rPr>
                <w:rFonts w:hint="eastAsia"/>
                <w:color w:val="000000"/>
                <w:sz w:val="24"/>
                <w:szCs w:val="24"/>
              </w:rPr>
            </w:pPr>
            <w:r>
              <w:rPr>
                <w:rFonts w:hint="eastAsia"/>
                <w:color w:val="000000"/>
                <w:sz w:val="24"/>
                <w:szCs w:val="24"/>
              </w:rPr>
              <w:t>联系方式</w:t>
            </w:r>
          </w:p>
        </w:tc>
        <w:tc>
          <w:tcPr>
            <w:tcW w:w="1325" w:type="dxa"/>
            <w:vMerge w:val="restart"/>
            <w:tcBorders>
              <w:top w:val="single" w:color="auto" w:sz="4" w:space="0"/>
              <w:left w:val="nil"/>
              <w:right w:val="single" w:color="auto" w:sz="4" w:space="0"/>
            </w:tcBorders>
            <w:noWrap w:val="0"/>
            <w:vAlign w:val="center"/>
          </w:tcPr>
          <w:p w14:paraId="2DE8C733">
            <w:pPr>
              <w:spacing w:line="360" w:lineRule="auto"/>
              <w:ind w:firstLine="160" w:firstLineChars="67"/>
              <w:jc w:val="center"/>
              <w:outlineLvl w:val="9"/>
              <w:rPr>
                <w:rFonts w:hint="eastAsia"/>
                <w:color w:val="000000"/>
                <w:sz w:val="24"/>
                <w:szCs w:val="24"/>
              </w:rPr>
            </w:pPr>
            <w:r>
              <w:rPr>
                <w:rFonts w:hint="eastAsia"/>
                <w:color w:val="000000"/>
                <w:sz w:val="24"/>
                <w:szCs w:val="24"/>
              </w:rPr>
              <w:t>联系人</w:t>
            </w:r>
          </w:p>
        </w:tc>
        <w:tc>
          <w:tcPr>
            <w:tcW w:w="1933" w:type="dxa"/>
            <w:vMerge w:val="restart"/>
            <w:tcBorders>
              <w:top w:val="single" w:color="auto" w:sz="4" w:space="0"/>
              <w:left w:val="nil"/>
              <w:right w:val="single" w:color="auto" w:sz="4" w:space="0"/>
            </w:tcBorders>
            <w:noWrap w:val="0"/>
            <w:vAlign w:val="center"/>
          </w:tcPr>
          <w:p w14:paraId="172C1A2D">
            <w:pPr>
              <w:spacing w:line="360" w:lineRule="auto"/>
              <w:ind w:firstLine="160" w:firstLineChars="67"/>
              <w:jc w:val="center"/>
              <w:outlineLvl w:val="9"/>
              <w:rPr>
                <w:rFonts w:hint="eastAsia"/>
                <w:color w:val="000000"/>
                <w:sz w:val="24"/>
                <w:szCs w:val="24"/>
              </w:rPr>
            </w:pPr>
          </w:p>
        </w:tc>
        <w:tc>
          <w:tcPr>
            <w:tcW w:w="1698" w:type="dxa"/>
            <w:tcBorders>
              <w:top w:val="single" w:color="auto" w:sz="4" w:space="0"/>
              <w:left w:val="nil"/>
              <w:bottom w:val="single" w:color="auto" w:sz="4" w:space="0"/>
              <w:right w:val="single" w:color="auto" w:sz="4" w:space="0"/>
            </w:tcBorders>
            <w:noWrap w:val="0"/>
            <w:vAlign w:val="center"/>
          </w:tcPr>
          <w:p w14:paraId="441F2391">
            <w:pPr>
              <w:spacing w:line="360" w:lineRule="auto"/>
              <w:ind w:firstLine="160" w:firstLineChars="67"/>
              <w:jc w:val="center"/>
              <w:outlineLvl w:val="9"/>
              <w:rPr>
                <w:rFonts w:hint="eastAsia"/>
                <w:color w:val="000000"/>
                <w:sz w:val="24"/>
                <w:szCs w:val="24"/>
              </w:rPr>
            </w:pPr>
            <w:r>
              <w:rPr>
                <w:rFonts w:hint="eastAsia"/>
                <w:color w:val="000000"/>
                <w:sz w:val="24"/>
                <w:szCs w:val="24"/>
              </w:rPr>
              <w:t>联系电话</w:t>
            </w:r>
          </w:p>
        </w:tc>
        <w:tc>
          <w:tcPr>
            <w:tcW w:w="2262" w:type="dxa"/>
            <w:tcBorders>
              <w:top w:val="single" w:color="auto" w:sz="4" w:space="0"/>
              <w:left w:val="nil"/>
              <w:bottom w:val="single" w:color="auto" w:sz="4" w:space="0"/>
              <w:right w:val="single" w:color="auto" w:sz="8" w:space="0"/>
            </w:tcBorders>
            <w:noWrap w:val="0"/>
            <w:vAlign w:val="center"/>
          </w:tcPr>
          <w:p w14:paraId="401153FD">
            <w:pPr>
              <w:spacing w:line="360" w:lineRule="auto"/>
              <w:ind w:firstLine="160" w:firstLineChars="67"/>
              <w:jc w:val="center"/>
              <w:outlineLvl w:val="9"/>
              <w:rPr>
                <w:rFonts w:hint="eastAsia"/>
                <w:color w:val="000000"/>
                <w:sz w:val="24"/>
                <w:szCs w:val="24"/>
              </w:rPr>
            </w:pPr>
          </w:p>
        </w:tc>
      </w:tr>
      <w:tr w14:paraId="37B6E760">
        <w:tblPrEx>
          <w:tblCellMar>
            <w:top w:w="0" w:type="dxa"/>
            <w:left w:w="108" w:type="dxa"/>
            <w:bottom w:w="0" w:type="dxa"/>
            <w:right w:w="108" w:type="dxa"/>
          </w:tblCellMar>
        </w:tblPrEx>
        <w:trPr>
          <w:trHeight w:val="474" w:hRule="atLeast"/>
          <w:jc w:val="center"/>
        </w:trPr>
        <w:tc>
          <w:tcPr>
            <w:tcW w:w="2463" w:type="dxa"/>
            <w:vMerge w:val="continue"/>
            <w:tcBorders>
              <w:top w:val="nil"/>
              <w:left w:val="single" w:color="auto" w:sz="4" w:space="0"/>
              <w:bottom w:val="single" w:color="auto" w:sz="4" w:space="0"/>
              <w:right w:val="single" w:color="auto" w:sz="4" w:space="0"/>
            </w:tcBorders>
            <w:noWrap w:val="0"/>
            <w:vAlign w:val="center"/>
          </w:tcPr>
          <w:p w14:paraId="7B47FCA3">
            <w:pPr>
              <w:spacing w:line="360" w:lineRule="auto"/>
              <w:outlineLvl w:val="9"/>
              <w:rPr>
                <w:rFonts w:hint="eastAsia"/>
                <w:color w:val="000000"/>
                <w:sz w:val="24"/>
                <w:szCs w:val="24"/>
              </w:rPr>
            </w:pPr>
          </w:p>
        </w:tc>
        <w:tc>
          <w:tcPr>
            <w:tcW w:w="1325" w:type="dxa"/>
            <w:vMerge w:val="continue"/>
            <w:tcBorders>
              <w:left w:val="nil"/>
              <w:bottom w:val="single" w:color="auto" w:sz="4" w:space="0"/>
              <w:right w:val="single" w:color="auto" w:sz="4" w:space="0"/>
            </w:tcBorders>
            <w:noWrap w:val="0"/>
            <w:vAlign w:val="center"/>
          </w:tcPr>
          <w:p w14:paraId="13B36C4D">
            <w:pPr>
              <w:spacing w:line="360" w:lineRule="auto"/>
              <w:ind w:firstLine="160" w:firstLineChars="67"/>
              <w:jc w:val="center"/>
              <w:outlineLvl w:val="9"/>
              <w:rPr>
                <w:rFonts w:hint="eastAsia"/>
                <w:color w:val="000000"/>
                <w:sz w:val="24"/>
                <w:szCs w:val="24"/>
              </w:rPr>
            </w:pPr>
          </w:p>
        </w:tc>
        <w:tc>
          <w:tcPr>
            <w:tcW w:w="1933" w:type="dxa"/>
            <w:vMerge w:val="continue"/>
            <w:tcBorders>
              <w:left w:val="nil"/>
              <w:bottom w:val="single" w:color="auto" w:sz="4" w:space="0"/>
              <w:right w:val="single" w:color="auto" w:sz="4" w:space="0"/>
            </w:tcBorders>
            <w:noWrap w:val="0"/>
            <w:vAlign w:val="center"/>
          </w:tcPr>
          <w:p w14:paraId="1E6E1CF6">
            <w:pPr>
              <w:spacing w:line="360" w:lineRule="auto"/>
              <w:ind w:firstLine="160" w:firstLineChars="67"/>
              <w:jc w:val="center"/>
              <w:outlineLvl w:val="9"/>
              <w:rPr>
                <w:rFonts w:hint="eastAsia"/>
                <w:color w:val="000000"/>
                <w:sz w:val="24"/>
                <w:szCs w:val="24"/>
              </w:rPr>
            </w:pPr>
          </w:p>
        </w:tc>
        <w:tc>
          <w:tcPr>
            <w:tcW w:w="1698" w:type="dxa"/>
            <w:tcBorders>
              <w:top w:val="single" w:color="auto" w:sz="4" w:space="0"/>
              <w:left w:val="nil"/>
              <w:bottom w:val="single" w:color="auto" w:sz="4" w:space="0"/>
              <w:right w:val="single" w:color="auto" w:sz="4" w:space="0"/>
            </w:tcBorders>
            <w:noWrap w:val="0"/>
            <w:vAlign w:val="center"/>
          </w:tcPr>
          <w:p w14:paraId="329B5EEC">
            <w:pPr>
              <w:spacing w:line="360" w:lineRule="auto"/>
              <w:ind w:firstLine="160" w:firstLineChars="67"/>
              <w:jc w:val="center"/>
              <w:outlineLvl w:val="9"/>
              <w:rPr>
                <w:rFonts w:hint="eastAsia"/>
                <w:color w:val="000000"/>
                <w:sz w:val="24"/>
                <w:szCs w:val="24"/>
              </w:rPr>
            </w:pPr>
            <w:r>
              <w:rPr>
                <w:rFonts w:hint="eastAsia"/>
                <w:color w:val="000000"/>
                <w:sz w:val="24"/>
                <w:szCs w:val="24"/>
              </w:rPr>
              <w:t>电子邮箱</w:t>
            </w:r>
          </w:p>
        </w:tc>
        <w:tc>
          <w:tcPr>
            <w:tcW w:w="2262" w:type="dxa"/>
            <w:tcBorders>
              <w:top w:val="single" w:color="auto" w:sz="4" w:space="0"/>
              <w:left w:val="nil"/>
              <w:bottom w:val="single" w:color="auto" w:sz="4" w:space="0"/>
              <w:right w:val="single" w:color="auto" w:sz="8" w:space="0"/>
            </w:tcBorders>
            <w:noWrap w:val="0"/>
            <w:vAlign w:val="center"/>
          </w:tcPr>
          <w:p w14:paraId="7F0E50FF">
            <w:pPr>
              <w:spacing w:line="360" w:lineRule="auto"/>
              <w:ind w:firstLine="160" w:firstLineChars="67"/>
              <w:jc w:val="center"/>
              <w:outlineLvl w:val="9"/>
              <w:rPr>
                <w:rFonts w:hint="eastAsia"/>
                <w:color w:val="000000"/>
                <w:sz w:val="24"/>
                <w:szCs w:val="24"/>
              </w:rPr>
            </w:pPr>
          </w:p>
        </w:tc>
      </w:tr>
      <w:tr w14:paraId="60378B5C">
        <w:tblPrEx>
          <w:tblCellMar>
            <w:top w:w="0" w:type="dxa"/>
            <w:left w:w="108" w:type="dxa"/>
            <w:bottom w:w="0" w:type="dxa"/>
            <w:right w:w="108" w:type="dxa"/>
          </w:tblCellMar>
        </w:tblPrEx>
        <w:trPr>
          <w:trHeight w:val="445" w:hRule="atLeast"/>
          <w:jc w:val="center"/>
        </w:trPr>
        <w:tc>
          <w:tcPr>
            <w:tcW w:w="2463" w:type="dxa"/>
            <w:tcBorders>
              <w:top w:val="single" w:color="auto" w:sz="4" w:space="0"/>
              <w:left w:val="single" w:color="auto" w:sz="8" w:space="0"/>
              <w:bottom w:val="single" w:color="auto" w:sz="4" w:space="0"/>
              <w:right w:val="single" w:color="auto" w:sz="4" w:space="0"/>
            </w:tcBorders>
            <w:noWrap w:val="0"/>
            <w:vAlign w:val="center"/>
          </w:tcPr>
          <w:p w14:paraId="66EBC3A7">
            <w:pPr>
              <w:spacing w:line="360" w:lineRule="auto"/>
              <w:ind w:firstLine="160" w:firstLineChars="67"/>
              <w:jc w:val="center"/>
              <w:outlineLvl w:val="9"/>
              <w:rPr>
                <w:rFonts w:hint="eastAsia"/>
                <w:color w:val="000000"/>
                <w:sz w:val="24"/>
                <w:szCs w:val="24"/>
              </w:rPr>
            </w:pPr>
            <w:r>
              <w:rPr>
                <w:rFonts w:hint="eastAsia"/>
                <w:color w:val="000000"/>
                <w:sz w:val="24"/>
                <w:szCs w:val="24"/>
              </w:rPr>
              <w:t>法定代表人</w:t>
            </w:r>
          </w:p>
        </w:tc>
        <w:tc>
          <w:tcPr>
            <w:tcW w:w="1325" w:type="dxa"/>
            <w:tcBorders>
              <w:top w:val="single" w:color="auto" w:sz="4" w:space="0"/>
              <w:left w:val="nil"/>
              <w:bottom w:val="single" w:color="auto" w:sz="4" w:space="0"/>
              <w:right w:val="single" w:color="auto" w:sz="4" w:space="0"/>
            </w:tcBorders>
            <w:noWrap w:val="0"/>
            <w:vAlign w:val="center"/>
          </w:tcPr>
          <w:p w14:paraId="3A264E1E">
            <w:pPr>
              <w:spacing w:line="360" w:lineRule="auto"/>
              <w:ind w:firstLine="160" w:firstLineChars="67"/>
              <w:jc w:val="center"/>
              <w:outlineLvl w:val="9"/>
              <w:rPr>
                <w:rFonts w:hint="eastAsia"/>
                <w:color w:val="000000"/>
                <w:sz w:val="24"/>
                <w:szCs w:val="24"/>
              </w:rPr>
            </w:pPr>
            <w:r>
              <w:rPr>
                <w:rFonts w:hint="eastAsia"/>
                <w:color w:val="000000"/>
                <w:sz w:val="24"/>
                <w:szCs w:val="24"/>
              </w:rPr>
              <w:t>姓名</w:t>
            </w:r>
          </w:p>
        </w:tc>
        <w:tc>
          <w:tcPr>
            <w:tcW w:w="1933" w:type="dxa"/>
            <w:tcBorders>
              <w:top w:val="single" w:color="auto" w:sz="4" w:space="0"/>
              <w:left w:val="nil"/>
              <w:bottom w:val="single" w:color="auto" w:sz="4" w:space="0"/>
              <w:right w:val="single" w:color="auto" w:sz="4" w:space="0"/>
            </w:tcBorders>
            <w:noWrap w:val="0"/>
            <w:vAlign w:val="center"/>
          </w:tcPr>
          <w:p w14:paraId="1DF02842">
            <w:pPr>
              <w:spacing w:line="360" w:lineRule="auto"/>
              <w:ind w:firstLine="160" w:firstLineChars="67"/>
              <w:jc w:val="center"/>
              <w:outlineLvl w:val="9"/>
              <w:rPr>
                <w:rFonts w:hint="eastAsia"/>
                <w:color w:val="000000"/>
                <w:sz w:val="24"/>
                <w:szCs w:val="24"/>
              </w:rPr>
            </w:pPr>
          </w:p>
        </w:tc>
        <w:tc>
          <w:tcPr>
            <w:tcW w:w="1698" w:type="dxa"/>
            <w:tcBorders>
              <w:top w:val="single" w:color="auto" w:sz="4" w:space="0"/>
              <w:left w:val="nil"/>
              <w:bottom w:val="single" w:color="auto" w:sz="4" w:space="0"/>
              <w:right w:val="single" w:color="auto" w:sz="4" w:space="0"/>
            </w:tcBorders>
            <w:noWrap w:val="0"/>
            <w:vAlign w:val="center"/>
          </w:tcPr>
          <w:p w14:paraId="70346DC2">
            <w:pPr>
              <w:spacing w:line="360" w:lineRule="auto"/>
              <w:ind w:firstLine="160" w:firstLineChars="67"/>
              <w:jc w:val="center"/>
              <w:outlineLvl w:val="9"/>
              <w:rPr>
                <w:rFonts w:hint="eastAsia"/>
                <w:color w:val="000000"/>
                <w:sz w:val="24"/>
                <w:szCs w:val="24"/>
              </w:rPr>
            </w:pPr>
            <w:r>
              <w:rPr>
                <w:rFonts w:hint="eastAsia"/>
                <w:color w:val="000000"/>
                <w:sz w:val="24"/>
                <w:szCs w:val="24"/>
              </w:rPr>
              <w:t>职务</w:t>
            </w:r>
          </w:p>
        </w:tc>
        <w:tc>
          <w:tcPr>
            <w:tcW w:w="2262" w:type="dxa"/>
            <w:tcBorders>
              <w:top w:val="single" w:color="auto" w:sz="4" w:space="0"/>
              <w:left w:val="nil"/>
              <w:bottom w:val="single" w:color="auto" w:sz="4" w:space="0"/>
              <w:right w:val="single" w:color="auto" w:sz="8" w:space="0"/>
            </w:tcBorders>
            <w:noWrap w:val="0"/>
            <w:vAlign w:val="center"/>
          </w:tcPr>
          <w:p w14:paraId="20DD2564">
            <w:pPr>
              <w:spacing w:line="360" w:lineRule="auto"/>
              <w:ind w:firstLine="160" w:firstLineChars="67"/>
              <w:jc w:val="center"/>
              <w:outlineLvl w:val="9"/>
              <w:rPr>
                <w:rFonts w:hint="eastAsia"/>
                <w:color w:val="000000"/>
                <w:sz w:val="24"/>
                <w:szCs w:val="24"/>
              </w:rPr>
            </w:pPr>
          </w:p>
        </w:tc>
      </w:tr>
      <w:tr w14:paraId="63EC6413">
        <w:tblPrEx>
          <w:tblCellMar>
            <w:top w:w="0" w:type="dxa"/>
            <w:left w:w="108" w:type="dxa"/>
            <w:bottom w:w="0" w:type="dxa"/>
            <w:right w:w="108" w:type="dxa"/>
          </w:tblCellMar>
        </w:tblPrEx>
        <w:trPr>
          <w:trHeight w:val="392" w:hRule="atLeast"/>
          <w:jc w:val="center"/>
        </w:trPr>
        <w:tc>
          <w:tcPr>
            <w:tcW w:w="2463" w:type="dxa"/>
            <w:tcBorders>
              <w:top w:val="single" w:color="auto" w:sz="4" w:space="0"/>
              <w:left w:val="single" w:color="auto" w:sz="8" w:space="0"/>
              <w:bottom w:val="single" w:color="auto" w:sz="4" w:space="0"/>
              <w:right w:val="single" w:color="auto" w:sz="4" w:space="0"/>
            </w:tcBorders>
            <w:noWrap w:val="0"/>
            <w:vAlign w:val="center"/>
          </w:tcPr>
          <w:p w14:paraId="0113F2DE">
            <w:pPr>
              <w:spacing w:line="360" w:lineRule="auto"/>
              <w:ind w:firstLine="160" w:firstLineChars="67"/>
              <w:jc w:val="center"/>
              <w:outlineLvl w:val="9"/>
              <w:rPr>
                <w:rFonts w:hint="eastAsia"/>
                <w:color w:val="000000"/>
                <w:sz w:val="24"/>
                <w:szCs w:val="24"/>
              </w:rPr>
            </w:pPr>
            <w:r>
              <w:rPr>
                <w:rFonts w:hint="eastAsia"/>
                <w:color w:val="000000"/>
                <w:sz w:val="24"/>
                <w:szCs w:val="24"/>
              </w:rPr>
              <w:t>单位性质</w:t>
            </w:r>
          </w:p>
        </w:tc>
        <w:tc>
          <w:tcPr>
            <w:tcW w:w="3258" w:type="dxa"/>
            <w:gridSpan w:val="2"/>
            <w:tcBorders>
              <w:top w:val="single" w:color="auto" w:sz="4" w:space="0"/>
              <w:left w:val="nil"/>
              <w:bottom w:val="single" w:color="auto" w:sz="4" w:space="0"/>
              <w:right w:val="single" w:color="auto" w:sz="4" w:space="0"/>
            </w:tcBorders>
            <w:noWrap w:val="0"/>
            <w:vAlign w:val="center"/>
          </w:tcPr>
          <w:p w14:paraId="56BD6321">
            <w:pPr>
              <w:spacing w:line="360" w:lineRule="auto"/>
              <w:ind w:firstLine="160" w:firstLineChars="67"/>
              <w:jc w:val="center"/>
              <w:outlineLvl w:val="9"/>
              <w:rPr>
                <w:rFonts w:hint="eastAsia"/>
                <w:color w:val="000000"/>
                <w:sz w:val="24"/>
                <w:szCs w:val="24"/>
              </w:rPr>
            </w:pPr>
          </w:p>
        </w:tc>
        <w:tc>
          <w:tcPr>
            <w:tcW w:w="1698" w:type="dxa"/>
            <w:tcBorders>
              <w:top w:val="single" w:color="auto" w:sz="4" w:space="0"/>
              <w:left w:val="nil"/>
              <w:bottom w:val="single" w:color="auto" w:sz="4" w:space="0"/>
              <w:right w:val="single" w:color="auto" w:sz="4" w:space="0"/>
            </w:tcBorders>
            <w:noWrap w:val="0"/>
            <w:vAlign w:val="center"/>
          </w:tcPr>
          <w:p w14:paraId="01F4296F">
            <w:pPr>
              <w:spacing w:line="360" w:lineRule="auto"/>
              <w:ind w:firstLine="160" w:firstLineChars="67"/>
              <w:jc w:val="center"/>
              <w:outlineLvl w:val="9"/>
              <w:rPr>
                <w:rFonts w:hint="eastAsia"/>
                <w:color w:val="000000"/>
                <w:sz w:val="24"/>
                <w:szCs w:val="24"/>
              </w:rPr>
            </w:pPr>
            <w:r>
              <w:rPr>
                <w:rFonts w:hint="eastAsia"/>
                <w:color w:val="000000"/>
                <w:sz w:val="24"/>
                <w:szCs w:val="24"/>
              </w:rPr>
              <w:t>成立时间</w:t>
            </w:r>
          </w:p>
        </w:tc>
        <w:tc>
          <w:tcPr>
            <w:tcW w:w="2262" w:type="dxa"/>
            <w:tcBorders>
              <w:top w:val="single" w:color="auto" w:sz="4" w:space="0"/>
              <w:left w:val="nil"/>
              <w:bottom w:val="single" w:color="auto" w:sz="4" w:space="0"/>
              <w:right w:val="single" w:color="auto" w:sz="8" w:space="0"/>
            </w:tcBorders>
            <w:noWrap w:val="0"/>
            <w:vAlign w:val="center"/>
          </w:tcPr>
          <w:p w14:paraId="520E98CF">
            <w:pPr>
              <w:spacing w:line="360" w:lineRule="auto"/>
              <w:ind w:firstLine="160" w:firstLineChars="67"/>
              <w:jc w:val="center"/>
              <w:outlineLvl w:val="9"/>
              <w:rPr>
                <w:rFonts w:hint="eastAsia"/>
                <w:color w:val="000000"/>
                <w:sz w:val="24"/>
                <w:szCs w:val="24"/>
              </w:rPr>
            </w:pPr>
          </w:p>
        </w:tc>
      </w:tr>
      <w:tr w14:paraId="74FD2E9C">
        <w:tblPrEx>
          <w:tblCellMar>
            <w:top w:w="0" w:type="dxa"/>
            <w:left w:w="108" w:type="dxa"/>
            <w:bottom w:w="0" w:type="dxa"/>
            <w:right w:w="108" w:type="dxa"/>
          </w:tblCellMar>
        </w:tblPrEx>
        <w:trPr>
          <w:trHeight w:val="457" w:hRule="atLeast"/>
          <w:jc w:val="center"/>
        </w:trPr>
        <w:tc>
          <w:tcPr>
            <w:tcW w:w="2463" w:type="dxa"/>
            <w:tcBorders>
              <w:top w:val="single" w:color="auto" w:sz="4" w:space="0"/>
              <w:left w:val="single" w:color="auto" w:sz="8" w:space="0"/>
              <w:bottom w:val="single" w:color="auto" w:sz="4" w:space="0"/>
              <w:right w:val="single" w:color="auto" w:sz="4" w:space="0"/>
            </w:tcBorders>
            <w:noWrap w:val="0"/>
            <w:vAlign w:val="center"/>
          </w:tcPr>
          <w:p w14:paraId="1B4150D7">
            <w:pPr>
              <w:spacing w:line="360" w:lineRule="auto"/>
              <w:ind w:firstLine="160" w:firstLineChars="67"/>
              <w:jc w:val="center"/>
              <w:outlineLvl w:val="9"/>
              <w:rPr>
                <w:rFonts w:hint="eastAsia"/>
                <w:color w:val="000000"/>
                <w:sz w:val="24"/>
                <w:szCs w:val="24"/>
              </w:rPr>
            </w:pPr>
            <w:r>
              <w:rPr>
                <w:rFonts w:hint="eastAsia"/>
                <w:color w:val="000000"/>
                <w:sz w:val="24"/>
                <w:szCs w:val="24"/>
              </w:rPr>
              <w:t>经营范围</w:t>
            </w:r>
          </w:p>
        </w:tc>
        <w:tc>
          <w:tcPr>
            <w:tcW w:w="3258" w:type="dxa"/>
            <w:gridSpan w:val="2"/>
            <w:tcBorders>
              <w:top w:val="single" w:color="auto" w:sz="4" w:space="0"/>
              <w:left w:val="nil"/>
              <w:bottom w:val="single" w:color="auto" w:sz="4" w:space="0"/>
              <w:right w:val="single" w:color="auto" w:sz="4" w:space="0"/>
            </w:tcBorders>
            <w:noWrap w:val="0"/>
            <w:vAlign w:val="center"/>
          </w:tcPr>
          <w:p w14:paraId="65CCC222">
            <w:pPr>
              <w:spacing w:line="360" w:lineRule="auto"/>
              <w:ind w:firstLine="160" w:firstLineChars="67"/>
              <w:jc w:val="center"/>
              <w:outlineLvl w:val="9"/>
              <w:rPr>
                <w:rFonts w:hint="eastAsia"/>
                <w:color w:val="000000"/>
                <w:sz w:val="24"/>
                <w:szCs w:val="24"/>
              </w:rPr>
            </w:pPr>
          </w:p>
        </w:tc>
        <w:tc>
          <w:tcPr>
            <w:tcW w:w="1698" w:type="dxa"/>
            <w:tcBorders>
              <w:top w:val="single" w:color="auto" w:sz="4" w:space="0"/>
              <w:left w:val="nil"/>
              <w:bottom w:val="single" w:color="auto" w:sz="4" w:space="0"/>
              <w:right w:val="single" w:color="auto" w:sz="4" w:space="0"/>
            </w:tcBorders>
            <w:noWrap w:val="0"/>
            <w:vAlign w:val="center"/>
          </w:tcPr>
          <w:p w14:paraId="473BDB78">
            <w:pPr>
              <w:spacing w:line="360" w:lineRule="auto"/>
              <w:ind w:firstLine="160" w:firstLineChars="67"/>
              <w:jc w:val="center"/>
              <w:outlineLvl w:val="9"/>
              <w:rPr>
                <w:rFonts w:hint="eastAsia"/>
                <w:color w:val="000000"/>
                <w:sz w:val="24"/>
                <w:szCs w:val="24"/>
              </w:rPr>
            </w:pPr>
            <w:r>
              <w:rPr>
                <w:rFonts w:hint="eastAsia"/>
                <w:color w:val="000000"/>
                <w:sz w:val="24"/>
                <w:szCs w:val="24"/>
              </w:rPr>
              <w:t>注册资金</w:t>
            </w:r>
          </w:p>
        </w:tc>
        <w:tc>
          <w:tcPr>
            <w:tcW w:w="2262" w:type="dxa"/>
            <w:tcBorders>
              <w:top w:val="single" w:color="auto" w:sz="4" w:space="0"/>
              <w:left w:val="nil"/>
              <w:bottom w:val="single" w:color="auto" w:sz="4" w:space="0"/>
              <w:right w:val="single" w:color="auto" w:sz="8" w:space="0"/>
            </w:tcBorders>
            <w:noWrap w:val="0"/>
            <w:vAlign w:val="center"/>
          </w:tcPr>
          <w:p w14:paraId="0B33C9C6">
            <w:pPr>
              <w:spacing w:line="360" w:lineRule="auto"/>
              <w:ind w:firstLine="160" w:firstLineChars="67"/>
              <w:jc w:val="center"/>
              <w:outlineLvl w:val="9"/>
              <w:rPr>
                <w:rFonts w:hint="eastAsia"/>
                <w:color w:val="000000"/>
                <w:sz w:val="24"/>
                <w:szCs w:val="24"/>
              </w:rPr>
            </w:pPr>
          </w:p>
        </w:tc>
      </w:tr>
      <w:tr w14:paraId="085D8A89">
        <w:tblPrEx>
          <w:tblCellMar>
            <w:top w:w="0" w:type="dxa"/>
            <w:left w:w="108" w:type="dxa"/>
            <w:bottom w:w="0" w:type="dxa"/>
            <w:right w:w="108" w:type="dxa"/>
          </w:tblCellMar>
        </w:tblPrEx>
        <w:trPr>
          <w:trHeight w:val="391" w:hRule="atLeast"/>
          <w:jc w:val="center"/>
        </w:trPr>
        <w:tc>
          <w:tcPr>
            <w:tcW w:w="2463" w:type="dxa"/>
            <w:tcBorders>
              <w:top w:val="single" w:color="auto" w:sz="4" w:space="0"/>
              <w:left w:val="single" w:color="auto" w:sz="8" w:space="0"/>
              <w:bottom w:val="single" w:color="auto" w:sz="4" w:space="0"/>
              <w:right w:val="single" w:color="auto" w:sz="4" w:space="0"/>
            </w:tcBorders>
            <w:noWrap w:val="0"/>
            <w:vAlign w:val="center"/>
          </w:tcPr>
          <w:p w14:paraId="76122875">
            <w:pPr>
              <w:spacing w:line="360" w:lineRule="auto"/>
              <w:ind w:firstLine="160" w:firstLineChars="67"/>
              <w:jc w:val="center"/>
              <w:outlineLvl w:val="9"/>
              <w:rPr>
                <w:rFonts w:hint="eastAsia"/>
                <w:color w:val="000000"/>
                <w:sz w:val="24"/>
                <w:szCs w:val="24"/>
              </w:rPr>
            </w:pPr>
            <w:r>
              <w:rPr>
                <w:rFonts w:hint="eastAsia"/>
                <w:color w:val="000000"/>
                <w:sz w:val="24"/>
                <w:szCs w:val="24"/>
              </w:rPr>
              <w:t>开户银行</w:t>
            </w:r>
          </w:p>
        </w:tc>
        <w:tc>
          <w:tcPr>
            <w:tcW w:w="3258" w:type="dxa"/>
            <w:gridSpan w:val="2"/>
            <w:tcBorders>
              <w:top w:val="single" w:color="auto" w:sz="4" w:space="0"/>
              <w:left w:val="nil"/>
              <w:bottom w:val="single" w:color="auto" w:sz="4" w:space="0"/>
              <w:right w:val="single" w:color="auto" w:sz="4" w:space="0"/>
            </w:tcBorders>
            <w:noWrap w:val="0"/>
            <w:vAlign w:val="center"/>
          </w:tcPr>
          <w:p w14:paraId="5A4906AC">
            <w:pPr>
              <w:spacing w:line="360" w:lineRule="auto"/>
              <w:ind w:firstLine="160" w:firstLineChars="67"/>
              <w:jc w:val="center"/>
              <w:outlineLvl w:val="9"/>
              <w:rPr>
                <w:rFonts w:hint="eastAsia"/>
                <w:color w:val="000000"/>
                <w:sz w:val="24"/>
                <w:szCs w:val="24"/>
              </w:rPr>
            </w:pPr>
          </w:p>
        </w:tc>
        <w:tc>
          <w:tcPr>
            <w:tcW w:w="1698" w:type="dxa"/>
            <w:tcBorders>
              <w:top w:val="single" w:color="auto" w:sz="4" w:space="0"/>
              <w:left w:val="nil"/>
              <w:bottom w:val="single" w:color="auto" w:sz="4" w:space="0"/>
              <w:right w:val="single" w:color="auto" w:sz="4" w:space="0"/>
            </w:tcBorders>
            <w:noWrap w:val="0"/>
            <w:vAlign w:val="center"/>
          </w:tcPr>
          <w:p w14:paraId="4C6C41CD">
            <w:pPr>
              <w:spacing w:line="360" w:lineRule="auto"/>
              <w:ind w:firstLine="160" w:firstLineChars="67"/>
              <w:jc w:val="center"/>
              <w:outlineLvl w:val="9"/>
              <w:rPr>
                <w:rFonts w:hint="eastAsia"/>
                <w:color w:val="000000"/>
                <w:sz w:val="24"/>
                <w:szCs w:val="24"/>
              </w:rPr>
            </w:pPr>
            <w:r>
              <w:rPr>
                <w:rFonts w:hint="eastAsia"/>
                <w:color w:val="000000"/>
                <w:sz w:val="24"/>
                <w:szCs w:val="24"/>
              </w:rPr>
              <w:t>开户账号</w:t>
            </w:r>
          </w:p>
        </w:tc>
        <w:tc>
          <w:tcPr>
            <w:tcW w:w="2262" w:type="dxa"/>
            <w:tcBorders>
              <w:top w:val="single" w:color="auto" w:sz="4" w:space="0"/>
              <w:left w:val="nil"/>
              <w:bottom w:val="single" w:color="auto" w:sz="4" w:space="0"/>
              <w:right w:val="single" w:color="auto" w:sz="8" w:space="0"/>
            </w:tcBorders>
            <w:noWrap w:val="0"/>
            <w:vAlign w:val="center"/>
          </w:tcPr>
          <w:p w14:paraId="1D4FE4C8">
            <w:pPr>
              <w:spacing w:line="360" w:lineRule="auto"/>
              <w:ind w:firstLine="160" w:firstLineChars="67"/>
              <w:jc w:val="center"/>
              <w:outlineLvl w:val="9"/>
              <w:rPr>
                <w:rFonts w:hint="eastAsia"/>
                <w:color w:val="000000"/>
                <w:sz w:val="24"/>
                <w:szCs w:val="24"/>
              </w:rPr>
            </w:pPr>
          </w:p>
        </w:tc>
      </w:tr>
      <w:tr w14:paraId="312DE7E9">
        <w:tblPrEx>
          <w:tblCellMar>
            <w:top w:w="0" w:type="dxa"/>
            <w:left w:w="108" w:type="dxa"/>
            <w:bottom w:w="0" w:type="dxa"/>
            <w:right w:w="108" w:type="dxa"/>
          </w:tblCellMar>
        </w:tblPrEx>
        <w:trPr>
          <w:trHeight w:val="343" w:hRule="atLeast"/>
          <w:jc w:val="center"/>
        </w:trPr>
        <w:tc>
          <w:tcPr>
            <w:tcW w:w="2463" w:type="dxa"/>
            <w:tcBorders>
              <w:top w:val="single" w:color="auto" w:sz="4" w:space="0"/>
              <w:left w:val="single" w:color="auto" w:sz="8" w:space="0"/>
              <w:bottom w:val="nil"/>
              <w:right w:val="nil"/>
            </w:tcBorders>
            <w:noWrap w:val="0"/>
            <w:vAlign w:val="center"/>
          </w:tcPr>
          <w:p w14:paraId="24D44CAB">
            <w:pPr>
              <w:spacing w:line="360" w:lineRule="auto"/>
              <w:ind w:firstLine="160" w:firstLineChars="67"/>
              <w:jc w:val="center"/>
              <w:outlineLvl w:val="9"/>
              <w:rPr>
                <w:rFonts w:hint="eastAsia"/>
                <w:color w:val="000000"/>
                <w:sz w:val="24"/>
                <w:szCs w:val="24"/>
              </w:rPr>
            </w:pPr>
            <w:r>
              <w:rPr>
                <w:rFonts w:hint="eastAsia"/>
                <w:color w:val="000000"/>
                <w:sz w:val="24"/>
                <w:szCs w:val="24"/>
              </w:rPr>
              <w:t>资质名称、等级</w:t>
            </w:r>
          </w:p>
          <w:p w14:paraId="37BF0219">
            <w:pPr>
              <w:spacing w:line="360" w:lineRule="auto"/>
              <w:ind w:firstLine="160" w:firstLineChars="67"/>
              <w:jc w:val="center"/>
              <w:outlineLvl w:val="9"/>
              <w:rPr>
                <w:rFonts w:hint="eastAsia"/>
                <w:color w:val="000000"/>
                <w:sz w:val="24"/>
                <w:szCs w:val="24"/>
              </w:rPr>
            </w:pPr>
            <w:r>
              <w:rPr>
                <w:rFonts w:hint="eastAsia"/>
                <w:color w:val="000000"/>
                <w:sz w:val="24"/>
                <w:szCs w:val="24"/>
              </w:rPr>
              <w:t>专业、范围</w:t>
            </w:r>
          </w:p>
        </w:tc>
        <w:tc>
          <w:tcPr>
            <w:tcW w:w="7218" w:type="dxa"/>
            <w:gridSpan w:val="4"/>
            <w:tcBorders>
              <w:top w:val="single" w:color="auto" w:sz="4" w:space="0"/>
              <w:left w:val="single" w:color="auto" w:sz="4" w:space="0"/>
              <w:bottom w:val="single" w:color="auto" w:sz="4" w:space="0"/>
              <w:right w:val="single" w:color="auto" w:sz="8" w:space="0"/>
            </w:tcBorders>
            <w:noWrap w:val="0"/>
            <w:vAlign w:val="center"/>
          </w:tcPr>
          <w:p w14:paraId="744330AC">
            <w:pPr>
              <w:spacing w:line="360" w:lineRule="auto"/>
              <w:ind w:firstLine="160" w:firstLineChars="67"/>
              <w:jc w:val="center"/>
              <w:outlineLvl w:val="9"/>
              <w:rPr>
                <w:rFonts w:hint="eastAsia"/>
                <w:color w:val="000000"/>
                <w:sz w:val="24"/>
                <w:szCs w:val="24"/>
              </w:rPr>
            </w:pPr>
          </w:p>
        </w:tc>
      </w:tr>
      <w:tr w14:paraId="61EBF435">
        <w:tblPrEx>
          <w:tblCellMar>
            <w:top w:w="0" w:type="dxa"/>
            <w:left w:w="108" w:type="dxa"/>
            <w:bottom w:w="0" w:type="dxa"/>
            <w:right w:w="108" w:type="dxa"/>
          </w:tblCellMar>
        </w:tblPrEx>
        <w:trPr>
          <w:cantSplit/>
          <w:trHeight w:val="76" w:hRule="atLeast"/>
          <w:jc w:val="center"/>
        </w:trPr>
        <w:tc>
          <w:tcPr>
            <w:tcW w:w="2463" w:type="dxa"/>
            <w:tcBorders>
              <w:top w:val="single" w:color="auto" w:sz="4" w:space="0"/>
              <w:left w:val="single" w:color="auto" w:sz="8" w:space="0"/>
              <w:bottom w:val="single" w:color="auto" w:sz="4" w:space="0"/>
              <w:right w:val="nil"/>
            </w:tcBorders>
            <w:noWrap w:val="0"/>
            <w:vAlign w:val="center"/>
          </w:tcPr>
          <w:p w14:paraId="0A4BF360">
            <w:pPr>
              <w:spacing w:line="360" w:lineRule="auto"/>
              <w:ind w:firstLine="160" w:firstLineChars="67"/>
              <w:jc w:val="center"/>
              <w:outlineLvl w:val="9"/>
              <w:rPr>
                <w:rFonts w:hint="eastAsia"/>
                <w:color w:val="000000"/>
                <w:sz w:val="24"/>
                <w:szCs w:val="24"/>
              </w:rPr>
            </w:pPr>
            <w:r>
              <w:rPr>
                <w:rFonts w:hint="eastAsia"/>
                <w:color w:val="000000"/>
                <w:sz w:val="24"/>
                <w:szCs w:val="24"/>
              </w:rPr>
              <w:t>员工数量</w:t>
            </w:r>
          </w:p>
        </w:tc>
        <w:tc>
          <w:tcPr>
            <w:tcW w:w="7218" w:type="dxa"/>
            <w:gridSpan w:val="4"/>
            <w:tcBorders>
              <w:top w:val="single" w:color="auto" w:sz="4" w:space="0"/>
              <w:left w:val="single" w:color="auto" w:sz="4" w:space="0"/>
              <w:bottom w:val="single" w:color="auto" w:sz="4" w:space="0"/>
              <w:right w:val="single" w:color="auto" w:sz="8" w:space="0"/>
            </w:tcBorders>
            <w:noWrap w:val="0"/>
            <w:vAlign w:val="center"/>
          </w:tcPr>
          <w:p w14:paraId="09FE7A7B">
            <w:pPr>
              <w:spacing w:line="360" w:lineRule="auto"/>
              <w:ind w:firstLine="160" w:firstLineChars="67"/>
              <w:jc w:val="center"/>
              <w:outlineLvl w:val="9"/>
              <w:rPr>
                <w:rFonts w:hint="eastAsia"/>
                <w:color w:val="000000"/>
                <w:sz w:val="24"/>
                <w:szCs w:val="24"/>
              </w:rPr>
            </w:pPr>
          </w:p>
        </w:tc>
      </w:tr>
      <w:tr w14:paraId="1A5F811D">
        <w:tblPrEx>
          <w:tblCellMar>
            <w:top w:w="0" w:type="dxa"/>
            <w:left w:w="108" w:type="dxa"/>
            <w:bottom w:w="0" w:type="dxa"/>
            <w:right w:w="108" w:type="dxa"/>
          </w:tblCellMar>
        </w:tblPrEx>
        <w:trPr>
          <w:trHeight w:val="506" w:hRule="atLeast"/>
          <w:jc w:val="center"/>
        </w:trPr>
        <w:tc>
          <w:tcPr>
            <w:tcW w:w="2463" w:type="dxa"/>
            <w:tcBorders>
              <w:top w:val="single" w:color="auto" w:sz="4" w:space="0"/>
              <w:left w:val="single" w:color="auto" w:sz="8" w:space="0"/>
              <w:bottom w:val="single" w:color="auto" w:sz="4" w:space="0"/>
              <w:right w:val="single" w:color="auto" w:sz="4" w:space="0"/>
            </w:tcBorders>
            <w:noWrap w:val="0"/>
            <w:vAlign w:val="center"/>
          </w:tcPr>
          <w:p w14:paraId="6738D8F6">
            <w:pPr>
              <w:spacing w:line="360" w:lineRule="auto"/>
              <w:ind w:firstLine="160" w:firstLineChars="67"/>
              <w:jc w:val="center"/>
              <w:outlineLvl w:val="9"/>
              <w:rPr>
                <w:rFonts w:hint="eastAsia"/>
                <w:color w:val="000000"/>
                <w:sz w:val="24"/>
                <w:szCs w:val="24"/>
              </w:rPr>
            </w:pPr>
            <w:r>
              <w:rPr>
                <w:rFonts w:hint="eastAsia"/>
                <w:color w:val="000000"/>
                <w:sz w:val="24"/>
                <w:szCs w:val="24"/>
              </w:rPr>
              <w:t>隶属和/或控股情况</w:t>
            </w:r>
          </w:p>
        </w:tc>
        <w:tc>
          <w:tcPr>
            <w:tcW w:w="7218" w:type="dxa"/>
            <w:gridSpan w:val="4"/>
            <w:tcBorders>
              <w:top w:val="single" w:color="auto" w:sz="4" w:space="0"/>
              <w:left w:val="nil"/>
              <w:bottom w:val="single" w:color="auto" w:sz="4" w:space="0"/>
              <w:right w:val="single" w:color="auto" w:sz="8" w:space="0"/>
            </w:tcBorders>
            <w:noWrap w:val="0"/>
            <w:vAlign w:val="center"/>
          </w:tcPr>
          <w:p w14:paraId="0CEECA53">
            <w:pPr>
              <w:spacing w:line="360" w:lineRule="auto"/>
              <w:ind w:firstLine="160" w:firstLineChars="67"/>
              <w:jc w:val="center"/>
              <w:outlineLvl w:val="9"/>
              <w:rPr>
                <w:rFonts w:hint="eastAsia"/>
                <w:color w:val="000000"/>
                <w:sz w:val="24"/>
                <w:szCs w:val="24"/>
              </w:rPr>
            </w:pPr>
          </w:p>
        </w:tc>
      </w:tr>
      <w:tr w14:paraId="1162FD15">
        <w:tblPrEx>
          <w:tblCellMar>
            <w:top w:w="0" w:type="dxa"/>
            <w:left w:w="108" w:type="dxa"/>
            <w:bottom w:w="0" w:type="dxa"/>
            <w:right w:w="108" w:type="dxa"/>
          </w:tblCellMar>
        </w:tblPrEx>
        <w:trPr>
          <w:trHeight w:val="506" w:hRule="atLeast"/>
          <w:jc w:val="center"/>
        </w:trPr>
        <w:tc>
          <w:tcPr>
            <w:tcW w:w="2463" w:type="dxa"/>
            <w:tcBorders>
              <w:top w:val="single" w:color="auto" w:sz="4" w:space="0"/>
              <w:left w:val="single" w:color="auto" w:sz="8" w:space="0"/>
              <w:bottom w:val="single" w:color="auto" w:sz="4" w:space="0"/>
              <w:right w:val="single" w:color="auto" w:sz="4" w:space="0"/>
            </w:tcBorders>
            <w:noWrap w:val="0"/>
            <w:vAlign w:val="center"/>
          </w:tcPr>
          <w:p w14:paraId="2B1DC8B9">
            <w:pPr>
              <w:spacing w:line="360" w:lineRule="auto"/>
              <w:ind w:firstLine="160" w:firstLineChars="67"/>
              <w:outlineLvl w:val="9"/>
              <w:rPr>
                <w:rFonts w:hint="eastAsia"/>
                <w:color w:val="000000"/>
                <w:sz w:val="24"/>
                <w:szCs w:val="24"/>
              </w:rPr>
            </w:pPr>
            <w:r>
              <w:rPr>
                <w:rFonts w:hint="eastAsia"/>
                <w:color w:val="000000"/>
                <w:sz w:val="24"/>
                <w:szCs w:val="24"/>
              </w:rPr>
              <w:t>依法缴纳税收和社会保障资金</w:t>
            </w:r>
          </w:p>
        </w:tc>
        <w:tc>
          <w:tcPr>
            <w:tcW w:w="3258" w:type="dxa"/>
            <w:gridSpan w:val="2"/>
            <w:tcBorders>
              <w:top w:val="single" w:color="auto" w:sz="4" w:space="0"/>
              <w:left w:val="nil"/>
              <w:bottom w:val="single" w:color="auto" w:sz="4" w:space="0"/>
              <w:right w:val="nil"/>
            </w:tcBorders>
            <w:noWrap w:val="0"/>
            <w:vAlign w:val="center"/>
          </w:tcPr>
          <w:p w14:paraId="0BB64430">
            <w:pPr>
              <w:spacing w:line="360" w:lineRule="auto"/>
              <w:ind w:firstLine="160" w:firstLineChars="67"/>
              <w:outlineLvl w:val="9"/>
              <w:rPr>
                <w:rFonts w:hint="eastAsia"/>
                <w:color w:val="000000"/>
                <w:sz w:val="24"/>
                <w:szCs w:val="24"/>
              </w:rPr>
            </w:pPr>
            <w:r>
              <w:rPr>
                <w:rFonts w:hint="eastAsia"/>
                <w:color w:val="000000"/>
                <w:sz w:val="24"/>
                <w:szCs w:val="24"/>
              </w:rPr>
              <w:t>（依法缴纳税收则标明：√未缴纳则标明：×）(无需缴纳的需作说明。）</w:t>
            </w:r>
          </w:p>
        </w:tc>
        <w:tc>
          <w:tcPr>
            <w:tcW w:w="1698" w:type="dxa"/>
            <w:tcBorders>
              <w:top w:val="single" w:color="auto" w:sz="4" w:space="0"/>
              <w:left w:val="single" w:color="auto" w:sz="4" w:space="0"/>
              <w:bottom w:val="single" w:color="auto" w:sz="4" w:space="0"/>
              <w:right w:val="nil"/>
            </w:tcBorders>
            <w:noWrap w:val="0"/>
            <w:vAlign w:val="center"/>
          </w:tcPr>
          <w:p w14:paraId="1A11F822">
            <w:pPr>
              <w:spacing w:line="360" w:lineRule="auto"/>
              <w:ind w:firstLine="160" w:firstLineChars="67"/>
              <w:outlineLvl w:val="9"/>
              <w:rPr>
                <w:rFonts w:hint="eastAsia"/>
                <w:color w:val="000000"/>
                <w:sz w:val="24"/>
                <w:szCs w:val="24"/>
              </w:rPr>
            </w:pPr>
            <w:r>
              <w:rPr>
                <w:rFonts w:hint="eastAsia"/>
                <w:color w:val="000000"/>
                <w:sz w:val="24"/>
                <w:szCs w:val="24"/>
              </w:rPr>
              <w:t>近三年经营活动情况</w:t>
            </w:r>
          </w:p>
        </w:tc>
        <w:tc>
          <w:tcPr>
            <w:tcW w:w="2262" w:type="dxa"/>
            <w:tcBorders>
              <w:top w:val="single" w:color="auto" w:sz="4" w:space="0"/>
              <w:left w:val="single" w:color="auto" w:sz="4" w:space="0"/>
              <w:bottom w:val="single" w:color="auto" w:sz="4" w:space="0"/>
              <w:right w:val="single" w:color="auto" w:sz="8" w:space="0"/>
            </w:tcBorders>
            <w:noWrap w:val="0"/>
            <w:vAlign w:val="center"/>
          </w:tcPr>
          <w:p w14:paraId="6F416F88">
            <w:pPr>
              <w:spacing w:line="360" w:lineRule="auto"/>
              <w:ind w:firstLine="160" w:firstLineChars="67"/>
              <w:outlineLvl w:val="9"/>
              <w:rPr>
                <w:rFonts w:hint="eastAsia"/>
                <w:color w:val="000000"/>
                <w:sz w:val="24"/>
                <w:szCs w:val="24"/>
              </w:rPr>
            </w:pPr>
            <w:r>
              <w:rPr>
                <w:rFonts w:hint="eastAsia"/>
                <w:color w:val="000000"/>
                <w:sz w:val="24"/>
                <w:szCs w:val="24"/>
              </w:rPr>
              <w:t>（无重大违法记录则标明：√有违法记录则标明：×）</w:t>
            </w:r>
          </w:p>
        </w:tc>
      </w:tr>
    </w:tbl>
    <w:p w14:paraId="674B1779">
      <w:pPr>
        <w:spacing w:before="120" w:beforeLines="50" w:line="360" w:lineRule="auto"/>
        <w:ind w:firstLine="160" w:firstLineChars="67"/>
        <w:outlineLvl w:val="9"/>
        <w:rPr>
          <w:rFonts w:hint="eastAsia"/>
          <w:color w:val="000000"/>
          <w:sz w:val="24"/>
          <w:szCs w:val="24"/>
        </w:rPr>
      </w:pPr>
    </w:p>
    <w:p w14:paraId="04B4123C">
      <w:pPr>
        <w:spacing w:before="120" w:beforeLines="50" w:line="360" w:lineRule="auto"/>
        <w:ind w:firstLine="160" w:firstLineChars="67"/>
        <w:outlineLvl w:val="9"/>
        <w:rPr>
          <w:rFonts w:hint="eastAsia"/>
          <w:color w:val="000000"/>
          <w:sz w:val="24"/>
          <w:szCs w:val="24"/>
        </w:rPr>
      </w:pPr>
      <w:r>
        <w:rPr>
          <w:rFonts w:hint="eastAsia"/>
          <w:color w:val="000000"/>
          <w:sz w:val="24"/>
          <w:szCs w:val="24"/>
        </w:rPr>
        <w:t>法定代表人（法人电子签章）：</w:t>
      </w:r>
    </w:p>
    <w:p w14:paraId="342DE9B9">
      <w:pPr>
        <w:spacing w:before="120" w:beforeLines="50" w:line="360" w:lineRule="auto"/>
        <w:ind w:firstLine="160" w:firstLineChars="67"/>
        <w:outlineLvl w:val="9"/>
        <w:rPr>
          <w:rFonts w:hint="eastAsia"/>
          <w:color w:val="000000"/>
          <w:sz w:val="24"/>
          <w:szCs w:val="24"/>
        </w:rPr>
      </w:pPr>
      <w:r>
        <w:rPr>
          <w:rFonts w:hint="eastAsia"/>
          <w:color w:val="000000"/>
          <w:sz w:val="24"/>
          <w:szCs w:val="24"/>
          <w:lang w:eastAsia="zh-CN"/>
        </w:rPr>
        <w:t>响应人</w:t>
      </w:r>
      <w:r>
        <w:rPr>
          <w:rFonts w:hint="eastAsia"/>
          <w:color w:val="000000"/>
          <w:sz w:val="24"/>
          <w:szCs w:val="24"/>
        </w:rPr>
        <w:t>名称（</w:t>
      </w:r>
      <w:r>
        <w:rPr>
          <w:rFonts w:hint="eastAsia"/>
          <w:color w:val="000000"/>
          <w:sz w:val="24"/>
          <w:szCs w:val="24"/>
          <w:lang w:eastAsia="zh-CN"/>
        </w:rPr>
        <w:t>单位电子公章</w:t>
      </w:r>
      <w:r>
        <w:rPr>
          <w:rFonts w:hint="eastAsia"/>
          <w:color w:val="000000"/>
          <w:sz w:val="24"/>
          <w:szCs w:val="24"/>
        </w:rPr>
        <w:t>）：</w:t>
      </w:r>
    </w:p>
    <w:p w14:paraId="6485C527">
      <w:pPr>
        <w:spacing w:before="240" w:beforeLines="100" w:line="360" w:lineRule="auto"/>
        <w:ind w:firstLine="160" w:firstLineChars="67"/>
        <w:outlineLvl w:val="9"/>
        <w:rPr>
          <w:rFonts w:hint="eastAsia"/>
          <w:color w:val="000000"/>
          <w:sz w:val="24"/>
          <w:szCs w:val="24"/>
        </w:rPr>
      </w:pPr>
      <w:r>
        <w:rPr>
          <w:rFonts w:hint="eastAsia"/>
          <w:color w:val="000000"/>
          <w:sz w:val="24"/>
          <w:szCs w:val="24"/>
        </w:rPr>
        <w:t>注：</w:t>
      </w:r>
    </w:p>
    <w:p w14:paraId="1C632879">
      <w:pPr>
        <w:spacing w:line="360" w:lineRule="auto"/>
        <w:ind w:left="528"/>
        <w:outlineLvl w:val="9"/>
        <w:rPr>
          <w:rFonts w:hint="eastAsia"/>
          <w:color w:val="000000"/>
          <w:sz w:val="24"/>
          <w:szCs w:val="24"/>
        </w:rPr>
      </w:pPr>
      <w:r>
        <w:rPr>
          <w:rFonts w:hint="eastAsia"/>
          <w:color w:val="000000"/>
          <w:sz w:val="24"/>
          <w:szCs w:val="24"/>
        </w:rPr>
        <w:t>1.须附</w:t>
      </w:r>
      <w:r>
        <w:rPr>
          <w:rFonts w:hint="eastAsia"/>
          <w:color w:val="000000"/>
          <w:sz w:val="24"/>
          <w:szCs w:val="24"/>
          <w:lang w:eastAsia="zh-CN"/>
        </w:rPr>
        <w:t>响应人</w:t>
      </w:r>
      <w:r>
        <w:rPr>
          <w:rFonts w:hint="eastAsia"/>
          <w:color w:val="000000"/>
          <w:sz w:val="24"/>
          <w:szCs w:val="24"/>
        </w:rPr>
        <w:t>有效的营业执照、开户许可证、资格证明等文件；</w:t>
      </w:r>
    </w:p>
    <w:p w14:paraId="21BB81D5">
      <w:pPr>
        <w:spacing w:line="360" w:lineRule="auto"/>
        <w:ind w:left="528"/>
        <w:outlineLvl w:val="9"/>
        <w:rPr>
          <w:rFonts w:hint="eastAsia"/>
          <w:color w:val="000000"/>
          <w:sz w:val="24"/>
          <w:szCs w:val="24"/>
        </w:rPr>
      </w:pPr>
      <w:r>
        <w:rPr>
          <w:rFonts w:hint="eastAsia"/>
          <w:color w:val="000000"/>
          <w:sz w:val="24"/>
          <w:szCs w:val="24"/>
        </w:rPr>
        <w:t>2.根据磋商办法认为需要提供的其他证明文件。</w:t>
      </w:r>
    </w:p>
    <w:p w14:paraId="06956268">
      <w:pPr>
        <w:pStyle w:val="4"/>
        <w:outlineLvl w:val="9"/>
        <w:rPr>
          <w:rFonts w:hint="eastAsia"/>
          <w:color w:val="000000"/>
          <w:sz w:val="24"/>
          <w:szCs w:val="24"/>
        </w:rPr>
      </w:pPr>
      <w:bookmarkStart w:id="616" w:name="_Toc321903860"/>
      <w:bookmarkEnd w:id="616"/>
      <w:bookmarkStart w:id="617" w:name="_Toc32453"/>
      <w:bookmarkEnd w:id="617"/>
      <w:bookmarkStart w:id="618" w:name="_Toc336682671"/>
      <w:bookmarkEnd w:id="618"/>
      <w:bookmarkStart w:id="619" w:name="_Toc363656423"/>
      <w:bookmarkEnd w:id="619"/>
      <w:bookmarkStart w:id="620" w:name="_Toc321901446"/>
      <w:bookmarkEnd w:id="620"/>
      <w:bookmarkStart w:id="621" w:name="_Toc321831167"/>
      <w:bookmarkEnd w:id="621"/>
      <w:bookmarkStart w:id="622" w:name="_Toc386440119"/>
      <w:bookmarkEnd w:id="622"/>
      <w:bookmarkStart w:id="623" w:name="_Toc378636728"/>
      <w:bookmarkEnd w:id="623"/>
    </w:p>
    <w:p w14:paraId="59C591E0">
      <w:pPr>
        <w:pStyle w:val="11"/>
        <w:outlineLvl w:val="9"/>
        <w:rPr>
          <w:rFonts w:hint="eastAsia"/>
          <w:color w:val="000000"/>
          <w:sz w:val="24"/>
          <w:szCs w:val="24"/>
        </w:rPr>
      </w:pPr>
    </w:p>
    <w:p w14:paraId="59A1A9E4">
      <w:pPr>
        <w:pStyle w:val="11"/>
        <w:outlineLvl w:val="9"/>
        <w:rPr>
          <w:rFonts w:hint="eastAsia"/>
          <w:color w:val="000000"/>
          <w:sz w:val="24"/>
          <w:szCs w:val="24"/>
        </w:rPr>
      </w:pPr>
    </w:p>
    <w:p w14:paraId="4C624FD2">
      <w:pPr>
        <w:pStyle w:val="9"/>
        <w:spacing w:before="120" w:beforeLines="50" w:after="120" w:afterLines="50" w:line="360" w:lineRule="auto"/>
        <w:ind w:firstLine="161" w:firstLineChars="67"/>
        <w:outlineLvl w:val="9"/>
        <w:rPr>
          <w:rFonts w:hint="eastAsia" w:ascii="宋体" w:hAnsi="宋体"/>
          <w:color w:val="000000"/>
          <w:kern w:val="2"/>
          <w:sz w:val="24"/>
          <w:szCs w:val="24"/>
          <w:lang w:val="en-US" w:eastAsia="zh-CN"/>
        </w:rPr>
      </w:pPr>
      <w:bookmarkStart w:id="624" w:name="_Toc15701"/>
      <w:bookmarkStart w:id="625" w:name="_Toc9080"/>
    </w:p>
    <w:p w14:paraId="40BAF356">
      <w:pPr>
        <w:pStyle w:val="9"/>
        <w:spacing w:before="120" w:beforeLines="50" w:after="120" w:afterLines="50" w:line="360" w:lineRule="auto"/>
        <w:ind w:firstLine="161" w:firstLineChars="67"/>
        <w:outlineLvl w:val="9"/>
        <w:rPr>
          <w:rFonts w:hint="eastAsia" w:ascii="宋体" w:hAnsi="宋体"/>
          <w:color w:val="000000"/>
          <w:kern w:val="2"/>
          <w:sz w:val="24"/>
          <w:szCs w:val="24"/>
        </w:rPr>
      </w:pPr>
      <w:r>
        <w:rPr>
          <w:rFonts w:hint="eastAsia" w:ascii="宋体" w:hAnsi="宋体"/>
          <w:color w:val="000000"/>
          <w:kern w:val="2"/>
          <w:sz w:val="24"/>
          <w:szCs w:val="24"/>
          <w:lang w:val="en-US" w:eastAsia="zh-CN"/>
        </w:rPr>
        <w:t>7</w:t>
      </w:r>
      <w:r>
        <w:rPr>
          <w:rFonts w:hint="eastAsia" w:ascii="宋体" w:hAnsi="宋体"/>
          <w:color w:val="000000"/>
          <w:kern w:val="2"/>
          <w:sz w:val="24"/>
          <w:szCs w:val="24"/>
        </w:rPr>
        <w:t>-2</w:t>
      </w:r>
      <w:r>
        <w:rPr>
          <w:rFonts w:hint="eastAsia" w:ascii="宋体" w:hAnsi="宋体"/>
          <w:color w:val="000000"/>
          <w:kern w:val="2"/>
          <w:sz w:val="24"/>
          <w:szCs w:val="24"/>
          <w:lang w:val="en-US" w:eastAsia="zh-CN"/>
        </w:rPr>
        <w:t xml:space="preserve"> </w:t>
      </w:r>
      <w:r>
        <w:rPr>
          <w:rFonts w:hint="eastAsia" w:ascii="宋体" w:hAnsi="宋体"/>
          <w:color w:val="000000"/>
          <w:kern w:val="2"/>
          <w:sz w:val="24"/>
          <w:szCs w:val="24"/>
        </w:rPr>
        <w:t>服务承诺书</w:t>
      </w:r>
      <w:bookmarkEnd w:id="624"/>
      <w:bookmarkEnd w:id="625"/>
    </w:p>
    <w:p w14:paraId="5800912F">
      <w:pPr>
        <w:spacing w:line="360" w:lineRule="auto"/>
        <w:ind w:firstLine="161" w:firstLineChars="67"/>
        <w:textAlignment w:val="bottom"/>
        <w:outlineLvl w:val="9"/>
        <w:rPr>
          <w:rFonts w:hint="eastAsia"/>
          <w:b/>
          <w:bCs/>
          <w:color w:val="000000"/>
          <w:kern w:val="28"/>
          <w:sz w:val="24"/>
          <w:szCs w:val="24"/>
        </w:rPr>
      </w:pPr>
      <w:r>
        <w:rPr>
          <w:rFonts w:hint="eastAsia"/>
          <w:b/>
          <w:bCs/>
          <w:color w:val="000000"/>
          <w:kern w:val="28"/>
          <w:sz w:val="24"/>
          <w:szCs w:val="24"/>
        </w:rPr>
        <w:t xml:space="preserve"> </w:t>
      </w:r>
    </w:p>
    <w:tbl>
      <w:tblPr>
        <w:tblStyle w:val="14"/>
        <w:tblW w:w="0" w:type="auto"/>
        <w:jc w:val="center"/>
        <w:tblLayout w:type="fixed"/>
        <w:tblCellMar>
          <w:top w:w="0" w:type="dxa"/>
          <w:left w:w="0" w:type="dxa"/>
          <w:bottom w:w="0" w:type="dxa"/>
          <w:right w:w="0" w:type="dxa"/>
        </w:tblCellMar>
      </w:tblPr>
      <w:tblGrid>
        <w:gridCol w:w="9195"/>
      </w:tblGrid>
      <w:tr w14:paraId="7E2CB2B7">
        <w:tblPrEx>
          <w:tblCellMar>
            <w:top w:w="0" w:type="dxa"/>
            <w:left w:w="0" w:type="dxa"/>
            <w:bottom w:w="0" w:type="dxa"/>
            <w:right w:w="0" w:type="dxa"/>
          </w:tblCellMar>
        </w:tblPrEx>
        <w:trPr>
          <w:trHeight w:val="10370" w:hRule="atLeast"/>
          <w:jc w:val="center"/>
        </w:trPr>
        <w:tc>
          <w:tcPr>
            <w:tcW w:w="9195" w:type="dxa"/>
            <w:tcBorders>
              <w:top w:val="single" w:color="000000" w:sz="4" w:space="0"/>
              <w:left w:val="single" w:color="000000" w:sz="4" w:space="0"/>
              <w:bottom w:val="single" w:color="000000" w:sz="4" w:space="0"/>
              <w:right w:val="single" w:color="000000" w:sz="4" w:space="0"/>
            </w:tcBorders>
            <w:noWrap w:val="0"/>
            <w:vAlign w:val="top"/>
          </w:tcPr>
          <w:p w14:paraId="45CAA09D">
            <w:pPr>
              <w:spacing w:line="360" w:lineRule="auto"/>
              <w:ind w:firstLine="160" w:firstLineChars="67"/>
              <w:outlineLvl w:val="9"/>
              <w:rPr>
                <w:rFonts w:hint="eastAsia"/>
                <w:color w:val="000000"/>
                <w:sz w:val="24"/>
                <w:szCs w:val="24"/>
              </w:rPr>
            </w:pPr>
          </w:p>
          <w:p w14:paraId="04E5F28F">
            <w:pPr>
              <w:pStyle w:val="4"/>
              <w:outlineLvl w:val="9"/>
              <w:rPr>
                <w:rFonts w:hint="eastAsia"/>
                <w:color w:val="000000"/>
                <w:sz w:val="24"/>
                <w:szCs w:val="24"/>
              </w:rPr>
            </w:pPr>
          </w:p>
          <w:p w14:paraId="1736ABAE">
            <w:pPr>
              <w:pStyle w:val="4"/>
              <w:outlineLvl w:val="9"/>
              <w:rPr>
                <w:rFonts w:hint="eastAsia"/>
                <w:color w:val="000000"/>
                <w:sz w:val="24"/>
                <w:szCs w:val="24"/>
              </w:rPr>
            </w:pPr>
          </w:p>
          <w:p w14:paraId="7D492931">
            <w:pPr>
              <w:pStyle w:val="4"/>
              <w:outlineLvl w:val="9"/>
              <w:rPr>
                <w:rFonts w:hint="eastAsia"/>
                <w:color w:val="000000"/>
                <w:sz w:val="24"/>
                <w:szCs w:val="24"/>
              </w:rPr>
            </w:pPr>
          </w:p>
          <w:p w14:paraId="3A41E0A3">
            <w:pPr>
              <w:pStyle w:val="4"/>
              <w:outlineLvl w:val="9"/>
              <w:rPr>
                <w:rFonts w:hint="eastAsia"/>
                <w:color w:val="000000"/>
                <w:sz w:val="24"/>
                <w:szCs w:val="24"/>
              </w:rPr>
            </w:pPr>
          </w:p>
          <w:p w14:paraId="220CCAE1">
            <w:pPr>
              <w:pStyle w:val="4"/>
              <w:outlineLvl w:val="9"/>
              <w:rPr>
                <w:rFonts w:hint="eastAsia"/>
                <w:color w:val="000000"/>
                <w:sz w:val="24"/>
                <w:szCs w:val="24"/>
              </w:rPr>
            </w:pPr>
          </w:p>
          <w:p w14:paraId="75A69B2A">
            <w:pPr>
              <w:pStyle w:val="4"/>
              <w:outlineLvl w:val="9"/>
              <w:rPr>
                <w:rFonts w:hint="eastAsia"/>
                <w:color w:val="000000"/>
                <w:sz w:val="24"/>
                <w:szCs w:val="24"/>
              </w:rPr>
            </w:pPr>
          </w:p>
          <w:p w14:paraId="607899C1">
            <w:pPr>
              <w:pStyle w:val="4"/>
              <w:outlineLvl w:val="9"/>
              <w:rPr>
                <w:rFonts w:hint="eastAsia"/>
                <w:color w:val="000000"/>
                <w:sz w:val="24"/>
                <w:szCs w:val="24"/>
              </w:rPr>
            </w:pPr>
          </w:p>
          <w:p w14:paraId="63E3751A">
            <w:pPr>
              <w:pStyle w:val="4"/>
              <w:outlineLvl w:val="9"/>
              <w:rPr>
                <w:rFonts w:hint="eastAsia"/>
                <w:color w:val="000000"/>
                <w:sz w:val="24"/>
                <w:szCs w:val="24"/>
              </w:rPr>
            </w:pPr>
          </w:p>
          <w:p w14:paraId="179EC56E">
            <w:pPr>
              <w:pStyle w:val="4"/>
              <w:outlineLvl w:val="9"/>
              <w:rPr>
                <w:rFonts w:hint="eastAsia"/>
                <w:color w:val="000000"/>
                <w:sz w:val="24"/>
                <w:szCs w:val="24"/>
              </w:rPr>
            </w:pPr>
          </w:p>
          <w:p w14:paraId="5A65CE8D">
            <w:pPr>
              <w:pStyle w:val="4"/>
              <w:outlineLvl w:val="9"/>
              <w:rPr>
                <w:rFonts w:hint="eastAsia"/>
                <w:color w:val="000000"/>
                <w:sz w:val="24"/>
                <w:szCs w:val="24"/>
              </w:rPr>
            </w:pPr>
          </w:p>
          <w:p w14:paraId="5AB853C1">
            <w:pPr>
              <w:pStyle w:val="4"/>
              <w:outlineLvl w:val="9"/>
              <w:rPr>
                <w:rFonts w:hint="eastAsia"/>
                <w:color w:val="000000"/>
                <w:sz w:val="24"/>
                <w:szCs w:val="24"/>
              </w:rPr>
            </w:pPr>
          </w:p>
          <w:p w14:paraId="40BF099D">
            <w:pPr>
              <w:pStyle w:val="4"/>
              <w:outlineLvl w:val="9"/>
              <w:rPr>
                <w:rFonts w:hint="eastAsia"/>
                <w:color w:val="000000"/>
                <w:sz w:val="24"/>
                <w:szCs w:val="24"/>
              </w:rPr>
            </w:pPr>
          </w:p>
          <w:p w14:paraId="70527DE3">
            <w:pPr>
              <w:pStyle w:val="4"/>
              <w:outlineLvl w:val="9"/>
              <w:rPr>
                <w:rFonts w:hint="eastAsia"/>
                <w:color w:val="000000"/>
                <w:sz w:val="24"/>
                <w:szCs w:val="24"/>
              </w:rPr>
            </w:pPr>
          </w:p>
          <w:p w14:paraId="6BA3EFE2">
            <w:pPr>
              <w:pStyle w:val="4"/>
              <w:outlineLvl w:val="9"/>
              <w:rPr>
                <w:rFonts w:hint="eastAsia"/>
                <w:color w:val="000000"/>
                <w:sz w:val="24"/>
                <w:szCs w:val="24"/>
              </w:rPr>
            </w:pPr>
          </w:p>
          <w:p w14:paraId="12A531F1">
            <w:pPr>
              <w:pStyle w:val="4"/>
              <w:outlineLvl w:val="9"/>
              <w:rPr>
                <w:rFonts w:hint="eastAsia"/>
                <w:color w:val="000000"/>
                <w:sz w:val="24"/>
                <w:szCs w:val="24"/>
              </w:rPr>
            </w:pPr>
          </w:p>
          <w:p w14:paraId="1F86B9AE">
            <w:pPr>
              <w:pStyle w:val="4"/>
              <w:outlineLvl w:val="9"/>
              <w:rPr>
                <w:rFonts w:hint="eastAsia"/>
                <w:color w:val="000000"/>
                <w:sz w:val="24"/>
                <w:szCs w:val="24"/>
              </w:rPr>
            </w:pPr>
          </w:p>
          <w:p w14:paraId="51E6AC37">
            <w:pPr>
              <w:pStyle w:val="4"/>
              <w:outlineLvl w:val="9"/>
              <w:rPr>
                <w:rFonts w:hint="eastAsia"/>
                <w:color w:val="000000"/>
                <w:sz w:val="24"/>
                <w:szCs w:val="24"/>
              </w:rPr>
            </w:pPr>
          </w:p>
          <w:p w14:paraId="3B9AF2D3">
            <w:pPr>
              <w:spacing w:line="360" w:lineRule="auto"/>
              <w:ind w:firstLine="160" w:firstLineChars="67"/>
              <w:outlineLvl w:val="9"/>
              <w:rPr>
                <w:rFonts w:hint="eastAsia"/>
                <w:color w:val="000000"/>
                <w:sz w:val="24"/>
                <w:szCs w:val="24"/>
              </w:rPr>
            </w:pPr>
          </w:p>
          <w:p w14:paraId="4DA6042C">
            <w:pPr>
              <w:outlineLvl w:val="9"/>
              <w:rPr>
                <w:rFonts w:hint="eastAsia"/>
                <w:sz w:val="24"/>
                <w:szCs w:val="24"/>
              </w:rPr>
            </w:pPr>
            <w:r>
              <w:rPr>
                <w:rFonts w:hint="eastAsia"/>
                <w:sz w:val="24"/>
                <w:szCs w:val="24"/>
                <w:lang w:eastAsia="zh-CN"/>
              </w:rPr>
              <w:t>响应人</w:t>
            </w:r>
            <w:r>
              <w:rPr>
                <w:rFonts w:hint="eastAsia"/>
                <w:sz w:val="24"/>
                <w:szCs w:val="24"/>
              </w:rPr>
              <w:t>名称(</w:t>
            </w:r>
            <w:r>
              <w:rPr>
                <w:rFonts w:hint="eastAsia"/>
                <w:sz w:val="24"/>
                <w:szCs w:val="24"/>
                <w:lang w:eastAsia="zh-CN"/>
              </w:rPr>
              <w:t>单位电子公章</w:t>
            </w:r>
            <w:r>
              <w:rPr>
                <w:rFonts w:hint="eastAsia"/>
                <w:sz w:val="24"/>
                <w:szCs w:val="24"/>
              </w:rPr>
              <w:t>)：_______________</w:t>
            </w:r>
          </w:p>
          <w:p w14:paraId="395AC458">
            <w:pPr>
              <w:outlineLvl w:val="9"/>
              <w:rPr>
                <w:rFonts w:hint="eastAsia"/>
                <w:sz w:val="24"/>
                <w:szCs w:val="24"/>
              </w:rPr>
            </w:pPr>
            <w:bookmarkStart w:id="626" w:name="_Toc23476"/>
            <w:r>
              <w:rPr>
                <w:rFonts w:hint="eastAsia"/>
                <w:sz w:val="24"/>
                <w:szCs w:val="24"/>
              </w:rPr>
              <w:t>法定代表人（法人电子签章）</w:t>
            </w:r>
            <w:bookmarkEnd w:id="626"/>
            <w:r>
              <w:rPr>
                <w:rFonts w:hint="eastAsia"/>
                <w:sz w:val="24"/>
                <w:szCs w:val="24"/>
              </w:rPr>
              <w:t>：_________</w:t>
            </w:r>
          </w:p>
          <w:p w14:paraId="3574B78E">
            <w:pPr>
              <w:outlineLvl w:val="9"/>
              <w:rPr>
                <w:rFonts w:hint="eastAsia"/>
                <w:sz w:val="24"/>
                <w:szCs w:val="24"/>
              </w:rPr>
            </w:pPr>
          </w:p>
          <w:p w14:paraId="685532DE">
            <w:pPr>
              <w:outlineLvl w:val="9"/>
              <w:rPr>
                <w:rFonts w:hint="eastAsia"/>
                <w:sz w:val="24"/>
                <w:szCs w:val="24"/>
              </w:rPr>
            </w:pPr>
            <w:bookmarkStart w:id="627" w:name="_Toc363656422"/>
            <w:r>
              <w:rPr>
                <w:rFonts w:hint="eastAsia"/>
                <w:sz w:val="24"/>
                <w:szCs w:val="24"/>
              </w:rPr>
              <w:t>年  月  日</w:t>
            </w:r>
            <w:bookmarkEnd w:id="627"/>
          </w:p>
          <w:p w14:paraId="1047D330">
            <w:pPr>
              <w:adjustRightInd w:val="0"/>
              <w:spacing w:line="360" w:lineRule="auto"/>
              <w:ind w:firstLine="174" w:firstLineChars="67"/>
              <w:outlineLvl w:val="9"/>
              <w:rPr>
                <w:rFonts w:hint="eastAsia"/>
                <w:color w:val="000000"/>
                <w:spacing w:val="10"/>
                <w:sz w:val="24"/>
                <w:szCs w:val="24"/>
              </w:rPr>
            </w:pPr>
          </w:p>
          <w:p w14:paraId="35A03FFD">
            <w:pPr>
              <w:spacing w:line="360" w:lineRule="auto"/>
              <w:textAlignment w:val="bottom"/>
              <w:outlineLvl w:val="9"/>
              <w:rPr>
                <w:rFonts w:hint="eastAsia"/>
                <w:color w:val="000000"/>
                <w:sz w:val="24"/>
                <w:szCs w:val="24"/>
              </w:rPr>
            </w:pPr>
          </w:p>
        </w:tc>
      </w:tr>
    </w:tbl>
    <w:p w14:paraId="69527AEB">
      <w:pPr>
        <w:outlineLvl w:val="9"/>
        <w:rPr>
          <w:rFonts w:hint="eastAsia"/>
          <w:color w:val="000000"/>
          <w:sz w:val="24"/>
          <w:szCs w:val="24"/>
        </w:rPr>
      </w:pPr>
      <w:r>
        <w:rPr>
          <w:rFonts w:hint="eastAsia"/>
          <w:color w:val="000000"/>
          <w:sz w:val="24"/>
          <w:szCs w:val="24"/>
        </w:rPr>
        <w:t xml:space="preserve">   </w:t>
      </w:r>
    </w:p>
    <w:p w14:paraId="61D0D60B">
      <w:pPr>
        <w:outlineLvl w:val="9"/>
        <w:rPr>
          <w:rFonts w:hint="eastAsia"/>
          <w:sz w:val="24"/>
          <w:szCs w:val="24"/>
        </w:rPr>
      </w:pPr>
      <w:r>
        <w:rPr>
          <w:rFonts w:hint="eastAsia"/>
          <w:sz w:val="24"/>
          <w:szCs w:val="24"/>
        </w:rPr>
        <w:br w:type="page"/>
      </w:r>
    </w:p>
    <w:p w14:paraId="0B2347C9">
      <w:pPr>
        <w:snapToGrid w:val="0"/>
        <w:spacing w:line="360" w:lineRule="auto"/>
        <w:jc w:val="center"/>
        <w:outlineLvl w:val="9"/>
        <w:rPr>
          <w:rFonts w:hint="eastAsia"/>
          <w:b/>
          <w:bCs/>
          <w:color w:val="000000"/>
          <w:kern w:val="2"/>
          <w:sz w:val="24"/>
          <w:szCs w:val="24"/>
        </w:rPr>
      </w:pPr>
      <w:bookmarkStart w:id="628" w:name="_Toc12392"/>
      <w:bookmarkStart w:id="629" w:name="_Toc7511"/>
      <w:r>
        <w:rPr>
          <w:rFonts w:hint="eastAsia"/>
          <w:b/>
          <w:bCs/>
          <w:color w:val="000000"/>
          <w:kern w:val="2"/>
          <w:sz w:val="24"/>
          <w:szCs w:val="24"/>
          <w:lang w:val="en-US" w:eastAsia="zh-CN"/>
        </w:rPr>
        <w:t>7</w:t>
      </w:r>
      <w:r>
        <w:rPr>
          <w:rFonts w:hint="eastAsia"/>
          <w:b/>
          <w:bCs/>
          <w:color w:val="000000"/>
          <w:kern w:val="2"/>
          <w:sz w:val="24"/>
          <w:szCs w:val="24"/>
        </w:rPr>
        <w:t>-3</w:t>
      </w:r>
      <w:r>
        <w:rPr>
          <w:rFonts w:hint="eastAsia"/>
          <w:b/>
          <w:bCs/>
          <w:color w:val="000000"/>
          <w:kern w:val="2"/>
          <w:sz w:val="24"/>
          <w:szCs w:val="24"/>
          <w:lang w:val="en-US" w:eastAsia="zh-CN"/>
        </w:rPr>
        <w:t xml:space="preserve"> </w:t>
      </w:r>
      <w:r>
        <w:rPr>
          <w:rFonts w:hint="eastAsia"/>
          <w:b/>
          <w:bCs/>
          <w:color w:val="000000"/>
          <w:kern w:val="2"/>
          <w:sz w:val="24"/>
          <w:szCs w:val="24"/>
        </w:rPr>
        <w:t>无商业贿赂及无不正当竞争行为的承诺书</w:t>
      </w:r>
      <w:bookmarkEnd w:id="628"/>
      <w:bookmarkEnd w:id="629"/>
    </w:p>
    <w:p w14:paraId="2CDE907F">
      <w:pPr>
        <w:spacing w:line="360" w:lineRule="auto"/>
        <w:ind w:firstLine="160" w:firstLineChars="67"/>
        <w:jc w:val="center"/>
        <w:outlineLvl w:val="9"/>
        <w:rPr>
          <w:rFonts w:hint="eastAsia"/>
          <w:b/>
          <w:bCs/>
          <w:color w:val="000000"/>
          <w:sz w:val="24"/>
          <w:szCs w:val="24"/>
        </w:rPr>
      </w:pPr>
      <w:r>
        <w:rPr>
          <w:rFonts w:hint="eastAsia"/>
          <w:color w:val="000000"/>
          <w:sz w:val="24"/>
          <w:szCs w:val="24"/>
        </w:rPr>
        <w:t xml:space="preserve"> </w:t>
      </w:r>
      <w:r>
        <w:rPr>
          <w:rFonts w:hint="eastAsia"/>
          <w:b/>
          <w:bCs/>
          <w:color w:val="000000"/>
          <w:sz w:val="24"/>
          <w:szCs w:val="24"/>
        </w:rPr>
        <w:t>（格式自拟）</w:t>
      </w:r>
    </w:p>
    <w:p w14:paraId="28420BE5">
      <w:pPr>
        <w:snapToGrid w:val="0"/>
        <w:spacing w:line="360" w:lineRule="auto"/>
        <w:ind w:left="440" w:leftChars="200" w:firstLine="160" w:firstLineChars="67"/>
        <w:outlineLvl w:val="9"/>
        <w:rPr>
          <w:rFonts w:hint="eastAsia"/>
          <w:color w:val="000000"/>
          <w:sz w:val="24"/>
          <w:szCs w:val="24"/>
        </w:rPr>
      </w:pPr>
    </w:p>
    <w:p w14:paraId="582538EC">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0463691F">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0C18CBE8">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107975D3">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32CC7008">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7B902323">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24C2F9C6">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755262CA">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2291A831">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6E2F3343">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503BDE92">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646F628E">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36CE7427">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294CC400">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7F38830F">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06D39D4C">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39E44E90">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2FC1951A">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4E446706">
      <w:pPr>
        <w:snapToGrid w:val="0"/>
        <w:spacing w:line="360" w:lineRule="auto"/>
        <w:ind w:left="440" w:leftChars="200" w:firstLine="160" w:firstLineChars="67"/>
        <w:outlineLvl w:val="9"/>
        <w:rPr>
          <w:rFonts w:hint="eastAsia"/>
          <w:color w:val="000000"/>
          <w:sz w:val="24"/>
          <w:szCs w:val="24"/>
        </w:rPr>
      </w:pPr>
    </w:p>
    <w:p w14:paraId="51BF308F">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14AD2BFB">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3E2C1D96">
      <w:pPr>
        <w:snapToGrid w:val="0"/>
        <w:spacing w:line="360" w:lineRule="auto"/>
        <w:ind w:left="440" w:leftChars="200" w:firstLine="160" w:firstLineChars="67"/>
        <w:outlineLvl w:val="9"/>
        <w:rPr>
          <w:rFonts w:hint="eastAsia"/>
          <w:b/>
          <w:bCs/>
          <w:color w:val="000000"/>
          <w:sz w:val="24"/>
          <w:szCs w:val="24"/>
        </w:rPr>
      </w:pPr>
      <w:r>
        <w:rPr>
          <w:rFonts w:hint="eastAsia"/>
          <w:color w:val="000000"/>
          <w:sz w:val="24"/>
          <w:szCs w:val="24"/>
        </w:rPr>
        <w:t xml:space="preserve"> </w:t>
      </w:r>
      <w:r>
        <w:rPr>
          <w:rFonts w:hint="eastAsia"/>
          <w:b/>
          <w:bCs/>
          <w:color w:val="000000"/>
          <w:sz w:val="24"/>
          <w:szCs w:val="24"/>
        </w:rPr>
        <w:t xml:space="preserve"> </w:t>
      </w:r>
    </w:p>
    <w:p w14:paraId="78AA0850">
      <w:pPr>
        <w:pStyle w:val="12"/>
        <w:outlineLvl w:val="9"/>
        <w:rPr>
          <w:rFonts w:hint="eastAsia"/>
        </w:rPr>
      </w:pPr>
    </w:p>
    <w:p w14:paraId="445C69B7">
      <w:pPr>
        <w:spacing w:line="360" w:lineRule="auto"/>
        <w:jc w:val="center"/>
        <w:outlineLvl w:val="9"/>
        <w:rPr>
          <w:rFonts w:hint="eastAsia"/>
          <w:b/>
          <w:bCs/>
          <w:color w:val="000000"/>
          <w:sz w:val="24"/>
          <w:szCs w:val="24"/>
          <w:lang w:val="en-US" w:eastAsia="zh-CN"/>
        </w:rPr>
      </w:pPr>
      <w:bookmarkStart w:id="630" w:name="_Toc10772"/>
      <w:bookmarkStart w:id="631" w:name="_Toc13018"/>
    </w:p>
    <w:p w14:paraId="64C5699A">
      <w:pPr>
        <w:spacing w:line="360" w:lineRule="auto"/>
        <w:jc w:val="center"/>
        <w:outlineLvl w:val="9"/>
        <w:rPr>
          <w:rFonts w:hint="eastAsia"/>
          <w:b/>
          <w:bCs/>
          <w:color w:val="000000"/>
          <w:sz w:val="24"/>
          <w:szCs w:val="24"/>
        </w:rPr>
      </w:pPr>
      <w:r>
        <w:rPr>
          <w:rFonts w:hint="eastAsia"/>
          <w:b/>
          <w:bCs/>
          <w:color w:val="000000"/>
          <w:sz w:val="24"/>
          <w:szCs w:val="24"/>
          <w:lang w:val="en-US" w:eastAsia="zh-CN"/>
        </w:rPr>
        <w:t>7</w:t>
      </w:r>
      <w:r>
        <w:rPr>
          <w:rFonts w:hint="eastAsia"/>
          <w:b/>
          <w:bCs/>
          <w:color w:val="000000"/>
          <w:sz w:val="24"/>
          <w:szCs w:val="24"/>
        </w:rPr>
        <w:t>-4 信用信息查询证明</w:t>
      </w:r>
      <w:bookmarkEnd w:id="630"/>
      <w:bookmarkEnd w:id="631"/>
    </w:p>
    <w:p w14:paraId="42F94175">
      <w:pPr>
        <w:spacing w:line="360" w:lineRule="auto"/>
        <w:ind w:firstLine="480" w:firstLineChars="200"/>
        <w:outlineLvl w:val="9"/>
        <w:rPr>
          <w:rFonts w:hint="eastAsia"/>
          <w:color w:val="000000"/>
          <w:sz w:val="24"/>
          <w:szCs w:val="24"/>
        </w:rPr>
      </w:pPr>
    </w:p>
    <w:p w14:paraId="6A916825">
      <w:pPr>
        <w:snapToGrid w:val="0"/>
        <w:spacing w:line="360" w:lineRule="auto"/>
        <w:jc w:val="center"/>
        <w:outlineLvl w:val="9"/>
        <w:rPr>
          <w:rFonts w:hint="eastAsia"/>
          <w:b/>
          <w:bCs/>
          <w:color w:val="000000"/>
          <w:sz w:val="24"/>
          <w:szCs w:val="24"/>
        </w:rPr>
      </w:pPr>
      <w:r>
        <w:rPr>
          <w:rFonts w:hint="eastAsia"/>
          <w:b/>
          <w:bCs/>
          <w:color w:val="000000"/>
          <w:sz w:val="24"/>
          <w:szCs w:val="24"/>
        </w:rPr>
        <w:t xml:space="preserve"> </w:t>
      </w:r>
    </w:p>
    <w:p w14:paraId="0880020F">
      <w:pPr>
        <w:snapToGrid w:val="0"/>
        <w:spacing w:line="360" w:lineRule="auto"/>
        <w:jc w:val="center"/>
        <w:outlineLvl w:val="9"/>
        <w:rPr>
          <w:rFonts w:hint="eastAsia"/>
          <w:b/>
          <w:bCs/>
          <w:color w:val="000000"/>
          <w:sz w:val="24"/>
          <w:szCs w:val="24"/>
        </w:rPr>
      </w:pPr>
      <w:r>
        <w:rPr>
          <w:rFonts w:hint="eastAsia"/>
          <w:b/>
          <w:bCs/>
          <w:color w:val="000000"/>
          <w:sz w:val="24"/>
          <w:szCs w:val="24"/>
        </w:rPr>
        <w:t xml:space="preserve"> </w:t>
      </w:r>
    </w:p>
    <w:p w14:paraId="68321F0C">
      <w:pPr>
        <w:snapToGrid w:val="0"/>
        <w:spacing w:line="360" w:lineRule="auto"/>
        <w:jc w:val="center"/>
        <w:outlineLvl w:val="9"/>
        <w:rPr>
          <w:rFonts w:hint="eastAsia"/>
          <w:b/>
          <w:bCs/>
          <w:color w:val="000000"/>
          <w:sz w:val="24"/>
          <w:szCs w:val="24"/>
        </w:rPr>
      </w:pPr>
      <w:r>
        <w:rPr>
          <w:rFonts w:hint="eastAsia"/>
          <w:b/>
          <w:bCs/>
          <w:color w:val="000000"/>
          <w:sz w:val="24"/>
          <w:szCs w:val="24"/>
        </w:rPr>
        <w:t xml:space="preserve"> </w:t>
      </w:r>
    </w:p>
    <w:p w14:paraId="5B73C9C7">
      <w:pPr>
        <w:snapToGrid w:val="0"/>
        <w:spacing w:line="360" w:lineRule="auto"/>
        <w:jc w:val="center"/>
        <w:outlineLvl w:val="9"/>
        <w:rPr>
          <w:rFonts w:hint="eastAsia"/>
          <w:b/>
          <w:bCs/>
          <w:color w:val="000000"/>
          <w:sz w:val="24"/>
          <w:szCs w:val="24"/>
        </w:rPr>
      </w:pPr>
      <w:r>
        <w:rPr>
          <w:rFonts w:hint="eastAsia"/>
          <w:b/>
          <w:bCs/>
          <w:color w:val="000000"/>
          <w:sz w:val="24"/>
          <w:szCs w:val="24"/>
        </w:rPr>
        <w:t xml:space="preserve"> </w:t>
      </w:r>
    </w:p>
    <w:p w14:paraId="1178879D">
      <w:pPr>
        <w:snapToGrid w:val="0"/>
        <w:spacing w:line="360" w:lineRule="auto"/>
        <w:jc w:val="center"/>
        <w:outlineLvl w:val="9"/>
        <w:rPr>
          <w:rFonts w:hint="eastAsia"/>
          <w:b/>
          <w:bCs/>
          <w:color w:val="000000"/>
          <w:sz w:val="24"/>
          <w:szCs w:val="24"/>
        </w:rPr>
      </w:pPr>
      <w:r>
        <w:rPr>
          <w:rFonts w:hint="eastAsia"/>
          <w:b/>
          <w:bCs/>
          <w:color w:val="000000"/>
          <w:sz w:val="24"/>
          <w:szCs w:val="24"/>
        </w:rPr>
        <w:t xml:space="preserve"> </w:t>
      </w:r>
    </w:p>
    <w:p w14:paraId="19934C1D">
      <w:pPr>
        <w:snapToGrid w:val="0"/>
        <w:spacing w:line="360" w:lineRule="auto"/>
        <w:jc w:val="center"/>
        <w:outlineLvl w:val="9"/>
        <w:rPr>
          <w:rFonts w:hint="eastAsia"/>
          <w:b/>
          <w:bCs/>
          <w:color w:val="000000"/>
          <w:sz w:val="24"/>
          <w:szCs w:val="24"/>
        </w:rPr>
      </w:pPr>
      <w:r>
        <w:rPr>
          <w:rFonts w:hint="eastAsia"/>
          <w:b/>
          <w:bCs/>
          <w:color w:val="000000"/>
          <w:sz w:val="24"/>
          <w:szCs w:val="24"/>
        </w:rPr>
        <w:t xml:space="preserve"> </w:t>
      </w:r>
    </w:p>
    <w:p w14:paraId="583A1F92">
      <w:pPr>
        <w:snapToGrid w:val="0"/>
        <w:spacing w:line="360" w:lineRule="auto"/>
        <w:jc w:val="center"/>
        <w:outlineLvl w:val="9"/>
        <w:rPr>
          <w:rFonts w:hint="eastAsia"/>
          <w:b/>
          <w:bCs/>
          <w:color w:val="000000"/>
          <w:sz w:val="24"/>
          <w:szCs w:val="24"/>
        </w:rPr>
      </w:pPr>
      <w:r>
        <w:rPr>
          <w:rFonts w:hint="eastAsia"/>
          <w:b/>
          <w:bCs/>
          <w:color w:val="000000"/>
          <w:sz w:val="24"/>
          <w:szCs w:val="24"/>
        </w:rPr>
        <w:t xml:space="preserve"> </w:t>
      </w:r>
    </w:p>
    <w:p w14:paraId="17D5DDAE">
      <w:pPr>
        <w:snapToGrid w:val="0"/>
        <w:spacing w:line="360" w:lineRule="auto"/>
        <w:jc w:val="center"/>
        <w:outlineLvl w:val="9"/>
        <w:rPr>
          <w:rFonts w:hint="eastAsia"/>
          <w:b/>
          <w:bCs/>
          <w:color w:val="000000"/>
          <w:sz w:val="24"/>
          <w:szCs w:val="24"/>
        </w:rPr>
      </w:pPr>
      <w:r>
        <w:rPr>
          <w:rFonts w:hint="eastAsia"/>
          <w:b/>
          <w:bCs/>
          <w:color w:val="000000"/>
          <w:sz w:val="24"/>
          <w:szCs w:val="24"/>
        </w:rPr>
        <w:t xml:space="preserve"> </w:t>
      </w:r>
    </w:p>
    <w:p w14:paraId="35DD31D0">
      <w:pPr>
        <w:snapToGrid w:val="0"/>
        <w:spacing w:line="360" w:lineRule="auto"/>
        <w:jc w:val="center"/>
        <w:outlineLvl w:val="9"/>
        <w:rPr>
          <w:rFonts w:hint="eastAsia"/>
          <w:b/>
          <w:bCs/>
          <w:color w:val="000000"/>
          <w:sz w:val="24"/>
          <w:szCs w:val="24"/>
        </w:rPr>
      </w:pPr>
    </w:p>
    <w:p w14:paraId="0603CC54">
      <w:pPr>
        <w:snapToGrid w:val="0"/>
        <w:spacing w:line="360" w:lineRule="auto"/>
        <w:jc w:val="center"/>
        <w:outlineLvl w:val="9"/>
        <w:rPr>
          <w:rFonts w:hint="eastAsia"/>
          <w:b/>
          <w:bCs/>
          <w:color w:val="000000"/>
          <w:sz w:val="24"/>
          <w:szCs w:val="24"/>
        </w:rPr>
      </w:pPr>
    </w:p>
    <w:p w14:paraId="3C0058FB">
      <w:pPr>
        <w:snapToGrid w:val="0"/>
        <w:spacing w:line="360" w:lineRule="auto"/>
        <w:jc w:val="center"/>
        <w:outlineLvl w:val="9"/>
        <w:rPr>
          <w:rFonts w:hint="eastAsia"/>
          <w:b/>
          <w:bCs/>
          <w:color w:val="000000"/>
          <w:sz w:val="24"/>
          <w:szCs w:val="24"/>
        </w:rPr>
      </w:pPr>
    </w:p>
    <w:p w14:paraId="40C8AAEE">
      <w:pPr>
        <w:snapToGrid w:val="0"/>
        <w:spacing w:line="360" w:lineRule="auto"/>
        <w:jc w:val="center"/>
        <w:outlineLvl w:val="9"/>
        <w:rPr>
          <w:rFonts w:hint="eastAsia"/>
          <w:b/>
          <w:bCs/>
          <w:color w:val="000000"/>
          <w:sz w:val="24"/>
          <w:szCs w:val="24"/>
        </w:rPr>
      </w:pPr>
    </w:p>
    <w:p w14:paraId="77A25818">
      <w:pPr>
        <w:snapToGrid w:val="0"/>
        <w:spacing w:line="360" w:lineRule="auto"/>
        <w:jc w:val="center"/>
        <w:outlineLvl w:val="9"/>
        <w:rPr>
          <w:rFonts w:hint="eastAsia"/>
          <w:b/>
          <w:bCs/>
          <w:color w:val="000000"/>
          <w:sz w:val="24"/>
          <w:szCs w:val="24"/>
        </w:rPr>
      </w:pPr>
    </w:p>
    <w:p w14:paraId="470B0BC8">
      <w:pPr>
        <w:snapToGrid w:val="0"/>
        <w:spacing w:line="360" w:lineRule="auto"/>
        <w:jc w:val="center"/>
        <w:outlineLvl w:val="9"/>
        <w:rPr>
          <w:rFonts w:hint="eastAsia"/>
          <w:b/>
          <w:bCs/>
          <w:color w:val="000000"/>
          <w:sz w:val="24"/>
          <w:szCs w:val="24"/>
        </w:rPr>
      </w:pPr>
      <w:r>
        <w:rPr>
          <w:rFonts w:hint="eastAsia"/>
          <w:b/>
          <w:bCs/>
          <w:color w:val="000000"/>
          <w:sz w:val="24"/>
          <w:szCs w:val="24"/>
        </w:rPr>
        <w:t xml:space="preserve"> </w:t>
      </w:r>
    </w:p>
    <w:p w14:paraId="01A3231F">
      <w:pPr>
        <w:snapToGrid w:val="0"/>
        <w:spacing w:line="360" w:lineRule="auto"/>
        <w:jc w:val="center"/>
        <w:outlineLvl w:val="9"/>
        <w:rPr>
          <w:rFonts w:hint="eastAsia"/>
          <w:b/>
          <w:bCs/>
          <w:color w:val="000000"/>
          <w:sz w:val="24"/>
          <w:szCs w:val="24"/>
        </w:rPr>
      </w:pPr>
      <w:r>
        <w:rPr>
          <w:rFonts w:hint="eastAsia"/>
          <w:b/>
          <w:bCs/>
          <w:color w:val="000000"/>
          <w:sz w:val="24"/>
          <w:szCs w:val="24"/>
        </w:rPr>
        <w:t xml:space="preserve"> </w:t>
      </w:r>
    </w:p>
    <w:p w14:paraId="7AF92174">
      <w:pPr>
        <w:snapToGrid w:val="0"/>
        <w:spacing w:line="360" w:lineRule="auto"/>
        <w:jc w:val="center"/>
        <w:outlineLvl w:val="9"/>
        <w:rPr>
          <w:rFonts w:hint="eastAsia"/>
          <w:b/>
          <w:bCs/>
          <w:color w:val="000000"/>
          <w:sz w:val="24"/>
          <w:szCs w:val="24"/>
        </w:rPr>
      </w:pPr>
      <w:r>
        <w:rPr>
          <w:rFonts w:hint="eastAsia"/>
          <w:b/>
          <w:bCs/>
          <w:color w:val="000000"/>
          <w:sz w:val="24"/>
          <w:szCs w:val="24"/>
        </w:rPr>
        <w:t xml:space="preserve"> </w:t>
      </w:r>
    </w:p>
    <w:p w14:paraId="5AB439DA">
      <w:pPr>
        <w:snapToGrid w:val="0"/>
        <w:spacing w:line="360" w:lineRule="auto"/>
        <w:jc w:val="both"/>
        <w:outlineLvl w:val="9"/>
        <w:rPr>
          <w:rFonts w:hint="eastAsia"/>
          <w:b/>
          <w:bCs/>
          <w:color w:val="000000"/>
          <w:sz w:val="24"/>
          <w:szCs w:val="24"/>
        </w:rPr>
      </w:pPr>
    </w:p>
    <w:p w14:paraId="31AA5E5A">
      <w:pPr>
        <w:snapToGrid w:val="0"/>
        <w:spacing w:line="360" w:lineRule="auto"/>
        <w:jc w:val="center"/>
        <w:outlineLvl w:val="9"/>
        <w:rPr>
          <w:rFonts w:hint="eastAsia"/>
          <w:b/>
          <w:bCs/>
          <w:color w:val="000000"/>
          <w:sz w:val="24"/>
          <w:szCs w:val="24"/>
        </w:rPr>
      </w:pPr>
      <w:r>
        <w:rPr>
          <w:rFonts w:hint="eastAsia"/>
          <w:b/>
          <w:bCs/>
          <w:color w:val="000000"/>
          <w:sz w:val="24"/>
          <w:szCs w:val="24"/>
        </w:rPr>
        <w:br w:type="page"/>
      </w:r>
      <w:bookmarkStart w:id="632" w:name="_Toc2485"/>
      <w:bookmarkStart w:id="633" w:name="_Toc21947"/>
      <w:r>
        <w:rPr>
          <w:rFonts w:hint="eastAsia"/>
          <w:b/>
          <w:bCs/>
          <w:color w:val="000000"/>
          <w:sz w:val="24"/>
          <w:szCs w:val="24"/>
          <w:lang w:val="en-US" w:eastAsia="zh-CN"/>
        </w:rPr>
        <w:t>7</w:t>
      </w:r>
      <w:r>
        <w:rPr>
          <w:rFonts w:hint="eastAsia"/>
          <w:b/>
          <w:bCs/>
          <w:color w:val="000000"/>
          <w:sz w:val="24"/>
          <w:szCs w:val="24"/>
        </w:rPr>
        <w:t>-5</w:t>
      </w:r>
      <w:r>
        <w:rPr>
          <w:rFonts w:hint="eastAsia"/>
          <w:b/>
          <w:bCs/>
          <w:color w:val="000000"/>
          <w:sz w:val="24"/>
          <w:szCs w:val="24"/>
          <w:lang w:val="en-US" w:eastAsia="zh-CN"/>
        </w:rPr>
        <w:t xml:space="preserve"> </w:t>
      </w:r>
      <w:r>
        <w:rPr>
          <w:rFonts w:hint="eastAsia"/>
          <w:b/>
          <w:bCs/>
          <w:color w:val="000000"/>
          <w:sz w:val="24"/>
          <w:szCs w:val="24"/>
        </w:rPr>
        <w:t>享受政府采购政策的证明材料</w:t>
      </w:r>
      <w:bookmarkEnd w:id="632"/>
      <w:bookmarkEnd w:id="633"/>
    </w:p>
    <w:p w14:paraId="3375F2BC">
      <w:pPr>
        <w:keepNext/>
        <w:keepLines/>
        <w:autoSpaceDE/>
        <w:autoSpaceDN/>
        <w:spacing w:before="280" w:after="290" w:line="377" w:lineRule="auto"/>
        <w:jc w:val="center"/>
        <w:outlineLvl w:val="9"/>
        <w:rPr>
          <w:rFonts w:hint="eastAsia"/>
          <w:b/>
          <w:bCs/>
          <w:color w:val="000000"/>
          <w:kern w:val="2"/>
          <w:sz w:val="24"/>
          <w:szCs w:val="24"/>
        </w:rPr>
      </w:pPr>
      <w:bookmarkStart w:id="634" w:name="_Toc23134"/>
      <w:bookmarkStart w:id="635" w:name="_Toc64995450"/>
      <w:r>
        <w:rPr>
          <w:rFonts w:hint="eastAsia"/>
          <w:b/>
          <w:bCs/>
          <w:color w:val="000000"/>
          <w:kern w:val="2"/>
          <w:sz w:val="24"/>
          <w:szCs w:val="24"/>
        </w:rPr>
        <w:t>1、中小企业声明函（工程、服务）</w:t>
      </w:r>
      <w:bookmarkEnd w:id="634"/>
      <w:bookmarkEnd w:id="635"/>
    </w:p>
    <w:p w14:paraId="14170A88">
      <w:pPr>
        <w:spacing w:before="226" w:line="400" w:lineRule="exact"/>
        <w:ind w:right="561" w:rightChars="255" w:firstLine="518" w:firstLineChars="216"/>
        <w:jc w:val="both"/>
        <w:outlineLvl w:val="9"/>
        <w:rPr>
          <w:rFonts w:hint="eastAsia"/>
          <w:color w:val="000000"/>
          <w:kern w:val="2"/>
          <w:sz w:val="24"/>
          <w:szCs w:val="24"/>
          <w:lang w:val="en-US" w:bidi="ar-SA"/>
        </w:rPr>
      </w:pPr>
      <w:r>
        <w:rPr>
          <w:rFonts w:hint="eastAsia"/>
          <w:color w:val="000000"/>
          <w:kern w:val="2"/>
          <w:sz w:val="24"/>
          <w:szCs w:val="24"/>
          <w:lang w:val="en-US" w:bidi="ar-SA"/>
        </w:rPr>
        <w:t>本公司（ 联合体） 郑重声明， 根据《政府采购促进中小企业发展管理办法》（ 财库﹝2020﹞46 号）的规定，本公司（联合体）参加</w:t>
      </w:r>
      <w:r>
        <w:rPr>
          <w:rFonts w:hint="eastAsia"/>
          <w:color w:val="000000"/>
          <w:kern w:val="2"/>
          <w:sz w:val="24"/>
          <w:szCs w:val="24"/>
          <w:u w:val="single"/>
          <w:lang w:val="en-US" w:bidi="ar-SA"/>
        </w:rPr>
        <w:t xml:space="preserve">  （单位名称）  </w:t>
      </w:r>
      <w:r>
        <w:rPr>
          <w:rFonts w:hint="eastAsia"/>
          <w:color w:val="000000"/>
          <w:kern w:val="2"/>
          <w:sz w:val="24"/>
          <w:szCs w:val="24"/>
          <w:lang w:val="en-US" w:bidi="ar-SA"/>
        </w:rPr>
        <w:t>的</w:t>
      </w:r>
      <w:r>
        <w:rPr>
          <w:rFonts w:hint="eastAsia"/>
          <w:color w:val="000000"/>
          <w:kern w:val="2"/>
          <w:sz w:val="24"/>
          <w:szCs w:val="24"/>
          <w:u w:val="single"/>
          <w:lang w:val="en-US" w:bidi="ar-SA"/>
        </w:rPr>
        <w:t xml:space="preserve">   （项目名称）   </w:t>
      </w:r>
      <w:r>
        <w:rPr>
          <w:rFonts w:hint="eastAsia"/>
          <w:color w:val="000000"/>
          <w:kern w:val="2"/>
          <w:sz w:val="24"/>
          <w:szCs w:val="24"/>
          <w:lang w:val="en-US" w:bidi="ar-SA"/>
        </w:rPr>
        <w:t>采购活动，工程的施工单位全部为符合政策要求的中小企业（或者：服务全部由符合政策要求的中   小企业承接）。相关企业（</w:t>
      </w:r>
      <w:r>
        <w:rPr>
          <w:rFonts w:hint="eastAsia"/>
          <w:color w:val="000000"/>
          <w:kern w:val="2"/>
          <w:sz w:val="24"/>
          <w:szCs w:val="24"/>
          <w:u w:val="single"/>
          <w:lang w:val="en-US" w:bidi="ar-SA"/>
        </w:rPr>
        <w:t>含联合体中的中小企业、签订分包意向协议的中小企业）</w:t>
      </w:r>
      <w:r>
        <w:rPr>
          <w:rFonts w:hint="eastAsia"/>
          <w:color w:val="000000"/>
          <w:kern w:val="2"/>
          <w:sz w:val="24"/>
          <w:szCs w:val="24"/>
          <w:lang w:val="en-US" w:bidi="ar-SA"/>
        </w:rPr>
        <w:t xml:space="preserve"> 的具体情况如下：</w:t>
      </w:r>
    </w:p>
    <w:p w14:paraId="52FEE672">
      <w:pPr>
        <w:numPr>
          <w:ilvl w:val="0"/>
          <w:numId w:val="0"/>
        </w:numPr>
        <w:tabs>
          <w:tab w:val="left" w:pos="1092"/>
          <w:tab w:val="left" w:pos="1862"/>
          <w:tab w:val="left" w:pos="6076"/>
          <w:tab w:val="left" w:pos="8258"/>
        </w:tabs>
        <w:autoSpaceDE/>
        <w:autoSpaceDN/>
        <w:spacing w:before="116" w:line="400" w:lineRule="exact"/>
        <w:ind w:right="561" w:rightChars="255"/>
        <w:jc w:val="both"/>
        <w:outlineLvl w:val="9"/>
        <w:rPr>
          <w:rFonts w:hint="eastAsia"/>
          <w:color w:val="000000"/>
          <w:kern w:val="2"/>
          <w:sz w:val="24"/>
          <w:szCs w:val="24"/>
          <w:lang w:val="en-US" w:bidi="ar-SA"/>
        </w:rPr>
      </w:pPr>
      <w:r>
        <w:rPr>
          <w:rFonts w:hint="eastAsia"/>
          <w:color w:val="000000"/>
          <w:kern w:val="2"/>
          <w:sz w:val="24"/>
          <w:szCs w:val="24"/>
          <w:u w:val="none"/>
          <w:lang w:val="en-US" w:eastAsia="zh-CN" w:bidi="ar-SA"/>
        </w:rPr>
        <w:t>1.</w:t>
      </w:r>
      <w:r>
        <w:rPr>
          <w:rFonts w:hint="eastAsia"/>
          <w:color w:val="000000"/>
          <w:kern w:val="2"/>
          <w:sz w:val="24"/>
          <w:szCs w:val="24"/>
          <w:u w:val="single"/>
          <w:lang w:val="en-US" w:bidi="ar-SA"/>
        </w:rPr>
        <w:t xml:space="preserve">      （ 标 的 名 称 ） </w:t>
      </w:r>
      <w:r>
        <w:rPr>
          <w:rFonts w:hint="eastAsia"/>
          <w:color w:val="000000"/>
          <w:kern w:val="2"/>
          <w:sz w:val="24"/>
          <w:szCs w:val="24"/>
          <w:lang w:val="en-US" w:bidi="ar-SA"/>
        </w:rPr>
        <w:t>， 属 于</w:t>
      </w:r>
      <w:r>
        <w:rPr>
          <w:rFonts w:hint="eastAsia"/>
          <w:color w:val="000000"/>
          <w:kern w:val="2"/>
          <w:sz w:val="24"/>
          <w:szCs w:val="24"/>
          <w:u w:val="single"/>
          <w:lang w:val="en-US" w:bidi="ar-SA"/>
        </w:rPr>
        <w:t xml:space="preserve"> （ 采 购 文 件 中 明 确 的 所 属 行 业 ）</w:t>
      </w:r>
      <w:r>
        <w:rPr>
          <w:rFonts w:hint="eastAsia"/>
          <w:color w:val="000000"/>
          <w:kern w:val="2"/>
          <w:sz w:val="24"/>
          <w:szCs w:val="24"/>
          <w:lang w:val="en-US" w:bidi="ar-SA"/>
        </w:rPr>
        <w:t xml:space="preserve"> 行 业 ； 承建（承接）企业为</w:t>
      </w:r>
      <w:r>
        <w:rPr>
          <w:rFonts w:hint="eastAsia"/>
          <w:color w:val="000000"/>
          <w:kern w:val="2"/>
          <w:sz w:val="24"/>
          <w:szCs w:val="24"/>
          <w:u w:val="single"/>
          <w:lang w:val="en-US" w:bidi="ar-SA"/>
        </w:rPr>
        <w:t xml:space="preserve"> （企业名称） </w:t>
      </w:r>
      <w:r>
        <w:rPr>
          <w:rFonts w:hint="eastAsia"/>
          <w:color w:val="000000"/>
          <w:kern w:val="2"/>
          <w:sz w:val="24"/>
          <w:szCs w:val="24"/>
          <w:lang w:val="en-US" w:bidi="ar-SA"/>
        </w:rPr>
        <w:t>，从业人员</w:t>
      </w:r>
      <w:r>
        <w:rPr>
          <w:rFonts w:hint="eastAsia"/>
          <w:color w:val="000000"/>
          <w:kern w:val="2"/>
          <w:sz w:val="24"/>
          <w:szCs w:val="24"/>
          <w:u w:val="single"/>
          <w:lang w:val="en-US" w:bidi="ar-SA"/>
        </w:rPr>
        <w:t xml:space="preserve"> </w:t>
      </w:r>
      <w:r>
        <w:rPr>
          <w:rFonts w:hint="eastAsia"/>
          <w:color w:val="000000"/>
          <w:kern w:val="2"/>
          <w:sz w:val="24"/>
          <w:szCs w:val="24"/>
          <w:u w:val="single"/>
          <w:lang w:val="en-US" w:bidi="ar-SA"/>
        </w:rPr>
        <w:tab/>
      </w:r>
      <w:r>
        <w:rPr>
          <w:rFonts w:hint="eastAsia"/>
          <w:color w:val="000000"/>
          <w:kern w:val="2"/>
          <w:sz w:val="24"/>
          <w:szCs w:val="24"/>
          <w:lang w:val="en-US" w:bidi="ar-SA"/>
        </w:rPr>
        <w:t xml:space="preserve">人，营业收入为 </w:t>
      </w:r>
      <w:r>
        <w:rPr>
          <w:rFonts w:hint="eastAsia"/>
          <w:color w:val="000000"/>
          <w:kern w:val="2"/>
          <w:sz w:val="24"/>
          <w:szCs w:val="24"/>
          <w:u w:val="single"/>
          <w:lang w:val="en-US" w:bidi="ar-SA"/>
        </w:rPr>
        <w:tab/>
      </w:r>
      <w:r>
        <w:rPr>
          <w:rFonts w:hint="eastAsia"/>
          <w:color w:val="000000"/>
          <w:kern w:val="2"/>
          <w:sz w:val="24"/>
          <w:szCs w:val="24"/>
          <w:lang w:val="en-US" w:bidi="ar-SA"/>
        </w:rPr>
        <w:t>万元，资产总额为</w:t>
      </w:r>
      <w:r>
        <w:rPr>
          <w:rFonts w:hint="eastAsia"/>
          <w:color w:val="000000"/>
          <w:kern w:val="2"/>
          <w:sz w:val="24"/>
          <w:szCs w:val="24"/>
          <w:u w:val="single"/>
          <w:lang w:val="en-US" w:bidi="ar-SA"/>
        </w:rPr>
        <w:t xml:space="preserve"> </w:t>
      </w:r>
      <w:r>
        <w:rPr>
          <w:rFonts w:hint="eastAsia"/>
          <w:color w:val="000000"/>
          <w:kern w:val="2"/>
          <w:sz w:val="24"/>
          <w:szCs w:val="24"/>
          <w:u w:val="single"/>
          <w:lang w:val="en-US" w:bidi="ar-SA"/>
        </w:rPr>
        <w:tab/>
      </w:r>
      <w:r>
        <w:rPr>
          <w:rFonts w:hint="eastAsia"/>
          <w:color w:val="000000"/>
          <w:kern w:val="2"/>
          <w:sz w:val="24"/>
          <w:szCs w:val="24"/>
          <w:lang w:val="en-US" w:bidi="ar-SA"/>
        </w:rPr>
        <w:t>万元，属于</w:t>
      </w:r>
      <w:r>
        <w:rPr>
          <w:rFonts w:hint="eastAsia"/>
          <w:color w:val="000000"/>
          <w:kern w:val="2"/>
          <w:sz w:val="24"/>
          <w:szCs w:val="24"/>
          <w:u w:val="single"/>
          <w:lang w:val="en-US" w:bidi="ar-SA"/>
        </w:rPr>
        <w:t xml:space="preserve"> （中型企业、小型企业、微型企业）</w:t>
      </w:r>
      <w:r>
        <w:rPr>
          <w:rFonts w:hint="eastAsia"/>
          <w:color w:val="000000"/>
          <w:kern w:val="2"/>
          <w:sz w:val="24"/>
          <w:szCs w:val="24"/>
          <w:lang w:val="en-US" w:bidi="ar-SA"/>
        </w:rPr>
        <w:t xml:space="preserve"> ；</w:t>
      </w:r>
    </w:p>
    <w:p w14:paraId="09252706">
      <w:pPr>
        <w:numPr>
          <w:ilvl w:val="0"/>
          <w:numId w:val="0"/>
        </w:numPr>
        <w:tabs>
          <w:tab w:val="left" w:pos="979"/>
          <w:tab w:val="left" w:pos="1646"/>
          <w:tab w:val="left" w:pos="2294"/>
          <w:tab w:val="left" w:pos="6076"/>
          <w:tab w:val="left" w:pos="8699"/>
        </w:tabs>
        <w:autoSpaceDE/>
        <w:autoSpaceDN/>
        <w:spacing w:line="400" w:lineRule="exact"/>
        <w:ind w:right="561" w:rightChars="255"/>
        <w:jc w:val="both"/>
        <w:outlineLvl w:val="9"/>
        <w:rPr>
          <w:rFonts w:hint="eastAsia"/>
          <w:color w:val="000000"/>
          <w:kern w:val="2"/>
          <w:sz w:val="24"/>
          <w:szCs w:val="24"/>
          <w:lang w:val="en-US" w:bidi="ar-SA"/>
        </w:rPr>
      </w:pPr>
      <w:r>
        <w:rPr>
          <w:rFonts w:hint="eastAsia"/>
          <w:color w:val="000000"/>
          <w:kern w:val="2"/>
          <w:sz w:val="24"/>
          <w:szCs w:val="24"/>
          <w:u w:val="none"/>
          <w:lang w:val="en-US" w:eastAsia="zh-CN" w:bidi="ar-SA"/>
        </w:rPr>
        <w:t>2.</w:t>
      </w:r>
      <w:r>
        <w:rPr>
          <w:rFonts w:hint="eastAsia"/>
          <w:color w:val="000000"/>
          <w:kern w:val="2"/>
          <w:sz w:val="24"/>
          <w:szCs w:val="24"/>
          <w:u w:val="single"/>
          <w:lang w:val="en-US" w:bidi="ar-SA"/>
        </w:rPr>
        <w:t xml:space="preserve"> </w:t>
      </w:r>
      <w:r>
        <w:rPr>
          <w:rFonts w:hint="eastAsia"/>
          <w:color w:val="000000"/>
          <w:kern w:val="2"/>
          <w:sz w:val="24"/>
          <w:szCs w:val="24"/>
          <w:u w:val="single"/>
          <w:lang w:val="en-US" w:bidi="ar-SA"/>
        </w:rPr>
        <w:tab/>
      </w:r>
      <w:r>
        <w:rPr>
          <w:rFonts w:hint="eastAsia"/>
          <w:color w:val="000000"/>
          <w:kern w:val="2"/>
          <w:sz w:val="24"/>
          <w:szCs w:val="24"/>
          <w:u w:val="single"/>
          <w:lang w:val="en-US" w:bidi="ar-SA"/>
        </w:rPr>
        <w:t xml:space="preserve">（ 标 的 名 称 ） </w:t>
      </w:r>
      <w:r>
        <w:rPr>
          <w:rFonts w:hint="eastAsia"/>
          <w:color w:val="000000"/>
          <w:kern w:val="2"/>
          <w:sz w:val="24"/>
          <w:szCs w:val="24"/>
          <w:lang w:val="en-US" w:bidi="ar-SA"/>
        </w:rPr>
        <w:t>， 属 于</w:t>
      </w:r>
      <w:r>
        <w:rPr>
          <w:rFonts w:hint="eastAsia"/>
          <w:color w:val="000000"/>
          <w:kern w:val="2"/>
          <w:sz w:val="24"/>
          <w:szCs w:val="24"/>
          <w:u w:val="single"/>
          <w:lang w:val="en-US" w:bidi="ar-SA"/>
        </w:rPr>
        <w:t xml:space="preserve"> （ 采 购 文 件 中 明 确 的 所 属 行 业 ） </w:t>
      </w:r>
      <w:r>
        <w:rPr>
          <w:rFonts w:hint="eastAsia"/>
          <w:color w:val="000000"/>
          <w:kern w:val="2"/>
          <w:sz w:val="24"/>
          <w:szCs w:val="24"/>
          <w:lang w:val="en-US" w:bidi="ar-SA"/>
        </w:rPr>
        <w:t>行 业 ； 承建（承接）企业为</w:t>
      </w:r>
      <w:r>
        <w:rPr>
          <w:rFonts w:hint="eastAsia"/>
          <w:color w:val="000000"/>
          <w:kern w:val="2"/>
          <w:sz w:val="24"/>
          <w:szCs w:val="24"/>
          <w:u w:val="single"/>
          <w:lang w:val="en-US" w:bidi="ar-SA"/>
        </w:rPr>
        <w:t xml:space="preserve"> （企业名称） </w:t>
      </w:r>
      <w:r>
        <w:rPr>
          <w:rFonts w:hint="eastAsia"/>
          <w:color w:val="000000"/>
          <w:kern w:val="2"/>
          <w:sz w:val="24"/>
          <w:szCs w:val="24"/>
          <w:lang w:val="en-US" w:bidi="ar-SA"/>
        </w:rPr>
        <w:t>，从业人员</w:t>
      </w:r>
      <w:r>
        <w:rPr>
          <w:rFonts w:hint="eastAsia"/>
          <w:color w:val="000000"/>
          <w:kern w:val="2"/>
          <w:sz w:val="24"/>
          <w:szCs w:val="24"/>
          <w:u w:val="single"/>
          <w:lang w:val="en-US" w:bidi="ar-SA"/>
        </w:rPr>
        <w:t xml:space="preserve"> </w:t>
      </w:r>
      <w:r>
        <w:rPr>
          <w:rFonts w:hint="eastAsia"/>
          <w:color w:val="000000"/>
          <w:kern w:val="2"/>
          <w:sz w:val="24"/>
          <w:szCs w:val="24"/>
          <w:u w:val="single"/>
          <w:lang w:val="en-US" w:bidi="ar-SA"/>
        </w:rPr>
        <w:tab/>
      </w:r>
      <w:r>
        <w:rPr>
          <w:rFonts w:hint="eastAsia"/>
          <w:color w:val="000000"/>
          <w:kern w:val="2"/>
          <w:sz w:val="24"/>
          <w:szCs w:val="24"/>
          <w:lang w:val="en-US" w:bidi="ar-SA"/>
        </w:rPr>
        <w:t>人，营业收入为</w:t>
      </w:r>
      <w:r>
        <w:rPr>
          <w:rFonts w:hint="eastAsia"/>
          <w:color w:val="000000"/>
          <w:kern w:val="2"/>
          <w:sz w:val="24"/>
          <w:szCs w:val="24"/>
          <w:u w:val="single"/>
          <w:lang w:val="en-US" w:bidi="ar-SA"/>
        </w:rPr>
        <w:t xml:space="preserve"> </w:t>
      </w:r>
      <w:r>
        <w:rPr>
          <w:rFonts w:hint="eastAsia"/>
          <w:color w:val="000000"/>
          <w:kern w:val="2"/>
          <w:sz w:val="24"/>
          <w:szCs w:val="24"/>
          <w:u w:val="single"/>
          <w:lang w:val="en-US" w:bidi="ar-SA"/>
        </w:rPr>
        <w:tab/>
      </w:r>
      <w:r>
        <w:rPr>
          <w:rFonts w:hint="eastAsia"/>
          <w:color w:val="000000"/>
          <w:kern w:val="2"/>
          <w:sz w:val="24"/>
          <w:szCs w:val="24"/>
          <w:lang w:val="en-US" w:bidi="ar-SA"/>
        </w:rPr>
        <w:t>万元，资产总额为</w:t>
      </w:r>
      <w:r>
        <w:rPr>
          <w:rFonts w:hint="eastAsia"/>
          <w:color w:val="000000"/>
          <w:kern w:val="2"/>
          <w:sz w:val="24"/>
          <w:szCs w:val="24"/>
          <w:u w:val="single"/>
          <w:lang w:val="en-US" w:bidi="ar-SA"/>
        </w:rPr>
        <w:t xml:space="preserve"> </w:t>
      </w:r>
      <w:r>
        <w:rPr>
          <w:rFonts w:hint="eastAsia"/>
          <w:color w:val="000000"/>
          <w:kern w:val="2"/>
          <w:sz w:val="24"/>
          <w:szCs w:val="24"/>
          <w:u w:val="single"/>
          <w:lang w:val="en-US" w:bidi="ar-SA"/>
        </w:rPr>
        <w:tab/>
      </w:r>
      <w:r>
        <w:rPr>
          <w:rFonts w:hint="eastAsia"/>
          <w:color w:val="000000"/>
          <w:kern w:val="2"/>
          <w:sz w:val="24"/>
          <w:szCs w:val="24"/>
          <w:lang w:val="en-US" w:bidi="ar-SA"/>
        </w:rPr>
        <w:t>万元，属于</w:t>
      </w:r>
      <w:r>
        <w:rPr>
          <w:rFonts w:hint="eastAsia"/>
          <w:color w:val="000000"/>
          <w:kern w:val="2"/>
          <w:sz w:val="24"/>
          <w:szCs w:val="24"/>
          <w:u w:val="single"/>
          <w:lang w:val="en-US" w:bidi="ar-SA"/>
        </w:rPr>
        <w:t xml:space="preserve"> （中型企业、小型企业、微型企业） </w:t>
      </w:r>
      <w:r>
        <w:rPr>
          <w:rFonts w:hint="eastAsia"/>
          <w:color w:val="000000"/>
          <w:kern w:val="2"/>
          <w:sz w:val="24"/>
          <w:szCs w:val="24"/>
          <w:lang w:val="en-US" w:bidi="ar-SA"/>
        </w:rPr>
        <w:t>；</w:t>
      </w:r>
    </w:p>
    <w:p w14:paraId="3A658507">
      <w:pPr>
        <w:spacing w:line="400" w:lineRule="exact"/>
        <w:ind w:right="561" w:rightChars="255" w:firstLine="518" w:firstLineChars="216"/>
        <w:outlineLvl w:val="9"/>
        <w:rPr>
          <w:rFonts w:hint="eastAsia"/>
          <w:color w:val="000000"/>
          <w:kern w:val="2"/>
          <w:sz w:val="24"/>
          <w:szCs w:val="24"/>
          <w:lang w:val="en-US" w:bidi="ar-SA"/>
        </w:rPr>
      </w:pPr>
      <w:r>
        <w:rPr>
          <w:rFonts w:hint="eastAsia"/>
          <w:color w:val="000000"/>
          <w:kern w:val="2"/>
          <w:sz w:val="24"/>
          <w:szCs w:val="24"/>
          <w:lang w:val="en-US" w:bidi="ar-SA"/>
        </w:rPr>
        <w:t>……</w:t>
      </w:r>
    </w:p>
    <w:p w14:paraId="3A3ED15D">
      <w:pPr>
        <w:spacing w:line="400" w:lineRule="exact"/>
        <w:ind w:right="561" w:rightChars="255" w:firstLine="518" w:firstLineChars="216"/>
        <w:outlineLvl w:val="9"/>
        <w:rPr>
          <w:rFonts w:hint="eastAsia"/>
          <w:color w:val="000000"/>
          <w:kern w:val="2"/>
          <w:sz w:val="24"/>
          <w:szCs w:val="24"/>
          <w:lang w:val="en-US" w:bidi="ar-SA"/>
        </w:rPr>
      </w:pPr>
      <w:r>
        <w:rPr>
          <w:rFonts w:hint="eastAsia"/>
          <w:color w:val="000000"/>
          <w:kern w:val="2"/>
          <w:sz w:val="24"/>
          <w:szCs w:val="24"/>
          <w:lang w:val="en-US" w:bidi="ar-SA"/>
        </w:rPr>
        <w:t>以上企业，不属于大企业的分支机构，不存在控股股东为大企业的情形，也不存在与大企  业的负责人为同一人的情形。</w:t>
      </w:r>
    </w:p>
    <w:p w14:paraId="2858FD2B">
      <w:pPr>
        <w:spacing w:before="118" w:line="400" w:lineRule="exact"/>
        <w:ind w:right="561" w:rightChars="255" w:firstLine="518" w:firstLineChars="216"/>
        <w:outlineLvl w:val="9"/>
        <w:rPr>
          <w:rFonts w:hint="eastAsia"/>
          <w:color w:val="000000"/>
          <w:kern w:val="2"/>
          <w:sz w:val="24"/>
          <w:szCs w:val="24"/>
          <w:lang w:val="en-US" w:bidi="ar-SA"/>
        </w:rPr>
      </w:pPr>
      <w:r>
        <w:rPr>
          <w:rFonts w:hint="eastAsia"/>
          <w:color w:val="000000"/>
          <w:kern w:val="2"/>
          <w:sz w:val="24"/>
          <w:szCs w:val="24"/>
          <w:lang w:val="en-US" w:bidi="ar-SA"/>
        </w:rPr>
        <w:t>本企业对上述声明内容的真实性负责。如有虚假，将依法承担相应责任。</w:t>
      </w:r>
    </w:p>
    <w:p w14:paraId="1403D18E">
      <w:pPr>
        <w:tabs>
          <w:tab w:val="left" w:pos="6218"/>
          <w:tab w:val="left" w:pos="7058"/>
          <w:tab w:val="left" w:pos="7687"/>
          <w:tab w:val="left" w:pos="8475"/>
        </w:tabs>
        <w:spacing w:before="159" w:line="400" w:lineRule="exact"/>
        <w:ind w:right="1983" w:firstLine="518" w:firstLineChars="216"/>
        <w:outlineLvl w:val="9"/>
        <w:rPr>
          <w:rFonts w:hint="eastAsia"/>
          <w:color w:val="000000"/>
          <w:kern w:val="2"/>
          <w:sz w:val="24"/>
          <w:szCs w:val="24"/>
          <w:lang w:val="en-US" w:bidi="ar-SA"/>
        </w:rPr>
      </w:pPr>
      <w:r>
        <w:rPr>
          <w:rFonts w:hint="eastAsia"/>
          <w:color w:val="000000"/>
          <w:kern w:val="2"/>
          <w:sz w:val="24"/>
          <w:szCs w:val="24"/>
          <w:lang w:val="en-US" w:bidi="ar-SA"/>
        </w:rPr>
        <w:t>企业名称（盖章）：</w:t>
      </w:r>
      <w:r>
        <w:rPr>
          <w:rFonts w:hint="eastAsia"/>
          <w:color w:val="000000"/>
          <w:kern w:val="2"/>
          <w:sz w:val="24"/>
          <w:szCs w:val="24"/>
          <w:lang w:val="en-US" w:bidi="ar-SA"/>
        </w:rPr>
        <w:tab/>
      </w:r>
      <w:r>
        <w:rPr>
          <w:rFonts w:hint="eastAsia"/>
          <w:color w:val="000000"/>
          <w:kern w:val="2"/>
          <w:sz w:val="24"/>
          <w:szCs w:val="24"/>
          <w:lang w:val="en-US" w:bidi="ar-SA"/>
        </w:rPr>
        <w:tab/>
      </w:r>
    </w:p>
    <w:p w14:paraId="146E4CFF">
      <w:pPr>
        <w:tabs>
          <w:tab w:val="left" w:pos="5275"/>
          <w:tab w:val="left" w:pos="7058"/>
          <w:tab w:val="left" w:pos="7687"/>
          <w:tab w:val="left" w:pos="8475"/>
        </w:tabs>
        <w:spacing w:before="159" w:line="400" w:lineRule="exact"/>
        <w:ind w:right="1983" w:firstLine="518" w:firstLineChars="216"/>
        <w:outlineLvl w:val="9"/>
        <w:rPr>
          <w:rFonts w:hint="eastAsia"/>
          <w:color w:val="000000"/>
          <w:kern w:val="2"/>
          <w:sz w:val="24"/>
          <w:szCs w:val="24"/>
          <w:lang w:val="en-US" w:bidi="ar-SA"/>
        </w:rPr>
      </w:pPr>
      <w:r>
        <w:rPr>
          <w:rFonts w:hint="eastAsia"/>
          <w:color w:val="000000"/>
          <w:kern w:val="2"/>
          <w:sz w:val="24"/>
          <w:szCs w:val="24"/>
          <w:lang w:val="en-US" w:bidi="ar-SA"/>
        </w:rPr>
        <w:t>日期：  年  月   日</w:t>
      </w:r>
    </w:p>
    <w:p w14:paraId="79B9E84F">
      <w:pPr>
        <w:spacing w:line="400" w:lineRule="exact"/>
        <w:ind w:firstLine="518" w:firstLineChars="216"/>
        <w:outlineLvl w:val="9"/>
        <w:rPr>
          <w:rFonts w:hint="eastAsia"/>
          <w:color w:val="000000"/>
          <w:kern w:val="2"/>
          <w:sz w:val="24"/>
          <w:szCs w:val="24"/>
          <w:lang w:val="en-US" w:bidi="ar-SA"/>
        </w:rPr>
      </w:pPr>
      <w:r>
        <w:rPr>
          <w:rFonts w:hint="eastAsia"/>
          <w:color w:val="000000"/>
          <w:kern w:val="2"/>
          <w:sz w:val="24"/>
          <w:szCs w:val="24"/>
          <w:lang w:val="en-US" w:bidi="ar-SA"/>
        </w:rPr>
        <w:t>说明：</w:t>
      </w:r>
    </w:p>
    <w:p w14:paraId="02E5023D">
      <w:pPr>
        <w:spacing w:before="139" w:line="400" w:lineRule="exact"/>
        <w:ind w:right="438" w:firstLine="518" w:firstLineChars="216"/>
        <w:outlineLvl w:val="9"/>
        <w:rPr>
          <w:rFonts w:hint="eastAsia"/>
          <w:color w:val="000000"/>
          <w:kern w:val="2"/>
          <w:sz w:val="24"/>
          <w:szCs w:val="24"/>
          <w:lang w:val="en-US" w:bidi="ar-SA"/>
        </w:rPr>
      </w:pPr>
      <w:r>
        <w:rPr>
          <w:rFonts w:hint="eastAsia"/>
          <w:color w:val="000000"/>
          <w:kern w:val="2"/>
          <w:sz w:val="24"/>
          <w:szCs w:val="24"/>
          <w:lang w:val="en-US" w:bidi="ar-SA"/>
        </w:rPr>
        <w:t>1、填写前请认真阅读《财政部、工业和信息化部关于印发《政府采购促进中小企业发展管理办法》的   通知（财库[2020]46号）相关规定。</w:t>
      </w:r>
    </w:p>
    <w:p w14:paraId="3727686E">
      <w:pPr>
        <w:spacing w:line="400" w:lineRule="exact"/>
        <w:ind w:firstLine="518" w:firstLineChars="216"/>
        <w:outlineLvl w:val="9"/>
        <w:rPr>
          <w:rFonts w:hint="eastAsia"/>
          <w:color w:val="000000"/>
          <w:kern w:val="2"/>
          <w:sz w:val="24"/>
          <w:szCs w:val="24"/>
          <w:lang w:val="en-US" w:bidi="ar-SA"/>
        </w:rPr>
      </w:pPr>
      <w:r>
        <w:rPr>
          <w:rFonts w:hint="eastAsia"/>
          <w:color w:val="000000"/>
          <w:kern w:val="2"/>
          <w:sz w:val="24"/>
          <w:szCs w:val="24"/>
          <w:lang w:val="en-US" w:bidi="ar-SA"/>
        </w:rPr>
        <w:t>2、从业人员、营业收入、资产总额填报上一年度数据，无上一年度数据的新成立企业可不填报。</w:t>
      </w:r>
    </w:p>
    <w:p w14:paraId="71F3B670">
      <w:pPr>
        <w:spacing w:before="139" w:line="400" w:lineRule="exact"/>
        <w:ind w:firstLine="518" w:firstLineChars="216"/>
        <w:outlineLvl w:val="9"/>
        <w:rPr>
          <w:rFonts w:hint="eastAsia"/>
          <w:color w:val="000000"/>
          <w:kern w:val="2"/>
          <w:sz w:val="24"/>
          <w:szCs w:val="24"/>
          <w:lang w:val="en-US" w:bidi="ar-SA"/>
        </w:rPr>
        <w:sectPr>
          <w:headerReference r:id="rId9" w:type="default"/>
          <w:footerReference r:id="rId10" w:type="default"/>
          <w:pgSz w:w="12240" w:h="15840"/>
          <w:pgMar w:top="1440" w:right="1080" w:bottom="1440" w:left="1080" w:header="0" w:footer="506" w:gutter="0"/>
          <w:pgNumType w:fmt="decimal"/>
          <w:cols w:space="720" w:num="1"/>
        </w:sectPr>
      </w:pPr>
      <w:r>
        <w:rPr>
          <w:rFonts w:hint="eastAsia"/>
          <w:color w:val="000000"/>
          <w:kern w:val="2"/>
          <w:sz w:val="24"/>
          <w:szCs w:val="24"/>
          <w:lang w:val="en-US" w:bidi="ar-SA"/>
        </w:rPr>
        <w:t>3、未按上述要求提供、填写的，评审时不予以考虑。</w:t>
      </w:r>
    </w:p>
    <w:p w14:paraId="62122E9E">
      <w:pPr>
        <w:keepNext/>
        <w:keepLines/>
        <w:autoSpaceDE/>
        <w:autoSpaceDN/>
        <w:spacing w:before="280" w:after="290" w:line="377" w:lineRule="auto"/>
        <w:jc w:val="center"/>
        <w:outlineLvl w:val="9"/>
        <w:rPr>
          <w:rFonts w:hint="eastAsia"/>
          <w:b/>
          <w:bCs/>
          <w:color w:val="000000"/>
          <w:kern w:val="2"/>
          <w:sz w:val="24"/>
          <w:szCs w:val="24"/>
        </w:rPr>
      </w:pPr>
      <w:bookmarkStart w:id="636" w:name="_Toc64995451"/>
      <w:r>
        <w:rPr>
          <w:rFonts w:hint="eastAsia"/>
          <w:b/>
          <w:bCs/>
          <w:color w:val="000000"/>
          <w:kern w:val="2"/>
          <w:sz w:val="24"/>
          <w:szCs w:val="24"/>
        </w:rPr>
        <w:t>2、残疾人福利性单位声明函</w:t>
      </w:r>
      <w:bookmarkEnd w:id="636"/>
    </w:p>
    <w:p w14:paraId="7053D559">
      <w:pPr>
        <w:spacing w:before="12" w:line="360" w:lineRule="auto"/>
        <w:ind w:firstLine="520" w:firstLineChars="216"/>
        <w:outlineLvl w:val="9"/>
        <w:rPr>
          <w:rFonts w:hint="eastAsia"/>
          <w:b/>
          <w:color w:val="000000"/>
          <w:sz w:val="24"/>
          <w:szCs w:val="24"/>
        </w:rPr>
      </w:pPr>
    </w:p>
    <w:p w14:paraId="669ECC66">
      <w:pPr>
        <w:spacing w:line="360" w:lineRule="auto"/>
        <w:ind w:right="437" w:firstLine="518" w:firstLineChars="216"/>
        <w:outlineLvl w:val="9"/>
        <w:rPr>
          <w:rFonts w:hint="eastAsia"/>
          <w:color w:val="000000"/>
          <w:kern w:val="2"/>
          <w:sz w:val="24"/>
          <w:szCs w:val="24"/>
          <w:lang w:val="en-US" w:bidi="ar-SA"/>
        </w:rPr>
      </w:pPr>
      <w:r>
        <w:rPr>
          <w:rFonts w:hint="eastAsia"/>
          <w:color w:val="000000"/>
          <w:kern w:val="2"/>
          <w:sz w:val="24"/>
          <w:szCs w:val="24"/>
          <w:lang w:val="en-US" w:bidi="ar-SA"/>
        </w:rPr>
        <w:t>本单位郑重声明，根据《财政部 民政部 中国残疾人联合会关于促进残疾人就业政府采购政策的通知》（ 财库〔2017〕141 号） 的规定， 本单位为符合条件的残疾人福利性单位， 且本单位参加</w:t>
      </w:r>
    </w:p>
    <w:p w14:paraId="702137A6">
      <w:pPr>
        <w:tabs>
          <w:tab w:val="left" w:leader="underscore" w:pos="5438"/>
        </w:tabs>
        <w:spacing w:line="360" w:lineRule="auto"/>
        <w:ind w:firstLine="518" w:firstLineChars="216"/>
        <w:outlineLvl w:val="9"/>
        <w:rPr>
          <w:rFonts w:hint="eastAsia"/>
          <w:color w:val="000000"/>
          <w:kern w:val="2"/>
          <w:sz w:val="24"/>
          <w:szCs w:val="24"/>
          <w:lang w:val="en-US" w:bidi="ar-SA"/>
        </w:rPr>
      </w:pPr>
      <w:r>
        <w:rPr>
          <w:rFonts w:hint="eastAsia"/>
          <w:color w:val="000000"/>
          <w:kern w:val="2"/>
          <w:sz w:val="24"/>
          <w:szCs w:val="24"/>
          <w:lang w:val="en-US" w:bidi="ar-SA"/>
        </w:rPr>
        <w:t>__________________单位的</w:t>
      </w:r>
      <w:r>
        <w:rPr>
          <w:rFonts w:hint="eastAsia"/>
          <w:color w:val="000000"/>
          <w:kern w:val="2"/>
          <w:sz w:val="24"/>
          <w:szCs w:val="24"/>
          <w:lang w:val="en-US" w:bidi="ar-SA"/>
        </w:rPr>
        <w:tab/>
      </w:r>
      <w:r>
        <w:rPr>
          <w:rFonts w:hint="eastAsia"/>
          <w:color w:val="000000"/>
          <w:kern w:val="2"/>
          <w:sz w:val="24"/>
          <w:szCs w:val="24"/>
          <w:lang w:val="en-US" w:bidi="ar-SA"/>
        </w:rPr>
        <w:t>项目采购活动提供本单位制造的产品（由本单位</w:t>
      </w:r>
    </w:p>
    <w:p w14:paraId="67A9F72E">
      <w:pPr>
        <w:spacing w:before="139" w:line="360" w:lineRule="auto"/>
        <w:ind w:right="440" w:firstLine="518" w:firstLineChars="216"/>
        <w:outlineLvl w:val="9"/>
        <w:rPr>
          <w:rFonts w:hint="eastAsia"/>
          <w:color w:val="000000"/>
          <w:kern w:val="2"/>
          <w:sz w:val="24"/>
          <w:szCs w:val="24"/>
          <w:lang w:val="en-US" w:bidi="ar-SA"/>
        </w:rPr>
      </w:pPr>
      <w:r>
        <w:rPr>
          <w:rFonts w:hint="eastAsia"/>
          <w:color w:val="000000"/>
          <w:kern w:val="2"/>
          <w:sz w:val="24"/>
          <w:szCs w:val="24"/>
          <w:lang w:val="en-US" w:bidi="ar-SA"/>
        </w:rPr>
        <w:t>承担工程/提供服务），或者提供其他残疾人福利性单位制造的产品（不包括使用非残疾人福利性单位   注册商标的产品）。</w:t>
      </w:r>
    </w:p>
    <w:p w14:paraId="0894AAE7">
      <w:pPr>
        <w:spacing w:line="360" w:lineRule="auto"/>
        <w:ind w:firstLine="518" w:firstLineChars="216"/>
        <w:outlineLvl w:val="9"/>
        <w:rPr>
          <w:rFonts w:hint="eastAsia"/>
          <w:color w:val="000000"/>
          <w:kern w:val="2"/>
          <w:sz w:val="24"/>
          <w:szCs w:val="24"/>
          <w:lang w:val="en-US" w:bidi="ar-SA"/>
        </w:rPr>
      </w:pPr>
      <w:r>
        <w:rPr>
          <w:rFonts w:hint="eastAsia"/>
          <w:color w:val="000000"/>
          <w:kern w:val="2"/>
          <w:sz w:val="24"/>
          <w:szCs w:val="24"/>
          <w:lang w:val="en-US" w:bidi="ar-SA"/>
        </w:rPr>
        <w:t>本单位对上述声明的真实性负责。如有虚假，将依法承担相应责任。</w:t>
      </w:r>
    </w:p>
    <w:p w14:paraId="684EB4B3">
      <w:pPr>
        <w:spacing w:line="360" w:lineRule="auto"/>
        <w:ind w:firstLine="518" w:firstLineChars="216"/>
        <w:outlineLvl w:val="9"/>
        <w:rPr>
          <w:rFonts w:hint="eastAsia"/>
          <w:color w:val="000000"/>
          <w:sz w:val="24"/>
          <w:szCs w:val="24"/>
        </w:rPr>
      </w:pPr>
    </w:p>
    <w:p w14:paraId="6E3A8FDA">
      <w:pPr>
        <w:spacing w:before="11" w:line="360" w:lineRule="auto"/>
        <w:ind w:firstLine="518" w:firstLineChars="216"/>
        <w:outlineLvl w:val="9"/>
        <w:rPr>
          <w:rFonts w:hint="eastAsia"/>
          <w:color w:val="000000"/>
          <w:sz w:val="24"/>
          <w:szCs w:val="24"/>
        </w:rPr>
      </w:pPr>
    </w:p>
    <w:p w14:paraId="54D59B65">
      <w:pPr>
        <w:spacing w:line="360" w:lineRule="auto"/>
        <w:ind w:firstLine="518" w:firstLineChars="216"/>
        <w:outlineLvl w:val="9"/>
        <w:rPr>
          <w:rFonts w:hint="eastAsia"/>
          <w:color w:val="000000"/>
          <w:sz w:val="24"/>
          <w:szCs w:val="24"/>
        </w:rPr>
      </w:pPr>
      <w:r>
        <w:rPr>
          <w:rFonts w:hint="eastAsia"/>
          <w:color w:val="000000"/>
          <w:sz w:val="24"/>
          <w:szCs w:val="24"/>
        </w:rPr>
        <w:t>单位名称（盖章）：__________________</w:t>
      </w:r>
    </w:p>
    <w:p w14:paraId="1FDA3A25">
      <w:pPr>
        <w:tabs>
          <w:tab w:val="left" w:pos="5785"/>
        </w:tabs>
        <w:spacing w:before="139" w:line="360" w:lineRule="auto"/>
        <w:ind w:firstLine="518" w:firstLineChars="216"/>
        <w:outlineLvl w:val="9"/>
        <w:rPr>
          <w:rFonts w:hint="eastAsia"/>
          <w:color w:val="000000"/>
          <w:sz w:val="24"/>
          <w:szCs w:val="24"/>
        </w:rPr>
      </w:pPr>
      <w:r>
        <w:rPr>
          <w:rFonts w:hint="eastAsia"/>
          <w:color w:val="000000"/>
          <w:sz w:val="24"/>
          <w:szCs w:val="24"/>
        </w:rPr>
        <w:t xml:space="preserve">日       </w:t>
      </w:r>
      <w:r>
        <w:rPr>
          <w:rFonts w:hint="eastAsia"/>
          <w:color w:val="000000"/>
          <w:spacing w:val="7"/>
          <w:sz w:val="24"/>
          <w:szCs w:val="24"/>
        </w:rPr>
        <w:t>期</w:t>
      </w:r>
      <w:r>
        <w:rPr>
          <w:rFonts w:hint="eastAsia"/>
          <w:color w:val="000000"/>
          <w:spacing w:val="5"/>
          <w:sz w:val="24"/>
          <w:szCs w:val="24"/>
        </w:rPr>
        <w:t>：__________________</w:t>
      </w:r>
    </w:p>
    <w:p w14:paraId="53E284C2">
      <w:pPr>
        <w:spacing w:line="360" w:lineRule="auto"/>
        <w:ind w:firstLine="518" w:firstLineChars="216"/>
        <w:outlineLvl w:val="9"/>
        <w:rPr>
          <w:rFonts w:hint="eastAsia"/>
          <w:color w:val="000000"/>
          <w:sz w:val="24"/>
          <w:szCs w:val="24"/>
        </w:rPr>
      </w:pPr>
    </w:p>
    <w:p w14:paraId="04B273D9">
      <w:pPr>
        <w:spacing w:line="360" w:lineRule="auto"/>
        <w:ind w:firstLine="518" w:firstLineChars="216"/>
        <w:outlineLvl w:val="9"/>
        <w:rPr>
          <w:rFonts w:hint="eastAsia"/>
          <w:color w:val="000000"/>
          <w:sz w:val="24"/>
          <w:szCs w:val="24"/>
        </w:rPr>
      </w:pPr>
    </w:p>
    <w:p w14:paraId="74E23301">
      <w:pPr>
        <w:spacing w:line="360" w:lineRule="auto"/>
        <w:ind w:firstLine="518" w:firstLineChars="216"/>
        <w:outlineLvl w:val="9"/>
        <w:rPr>
          <w:rFonts w:hint="eastAsia"/>
          <w:color w:val="000000"/>
          <w:sz w:val="24"/>
          <w:szCs w:val="24"/>
        </w:rPr>
      </w:pPr>
    </w:p>
    <w:p w14:paraId="0AAFC8F7">
      <w:pPr>
        <w:spacing w:line="360" w:lineRule="auto"/>
        <w:ind w:firstLine="518" w:firstLineChars="216"/>
        <w:outlineLvl w:val="9"/>
        <w:rPr>
          <w:rFonts w:hint="eastAsia"/>
          <w:color w:val="000000"/>
          <w:sz w:val="24"/>
          <w:szCs w:val="24"/>
        </w:rPr>
      </w:pPr>
    </w:p>
    <w:p w14:paraId="47E8E91E">
      <w:pPr>
        <w:spacing w:before="3" w:line="360" w:lineRule="auto"/>
        <w:ind w:firstLine="518" w:firstLineChars="216"/>
        <w:outlineLvl w:val="9"/>
        <w:rPr>
          <w:rFonts w:hint="eastAsia"/>
          <w:color w:val="000000"/>
          <w:sz w:val="24"/>
          <w:szCs w:val="24"/>
        </w:rPr>
      </w:pPr>
    </w:p>
    <w:p w14:paraId="4D968B55">
      <w:pPr>
        <w:widowControl/>
        <w:autoSpaceDE/>
        <w:autoSpaceDN/>
        <w:ind w:firstLine="520" w:firstLineChars="216"/>
        <w:outlineLvl w:val="9"/>
        <w:rPr>
          <w:rFonts w:hint="eastAsia"/>
          <w:b/>
          <w:bCs/>
          <w:color w:val="000000"/>
          <w:sz w:val="24"/>
          <w:szCs w:val="24"/>
        </w:rPr>
      </w:pPr>
      <w:r>
        <w:rPr>
          <w:rFonts w:hint="eastAsia"/>
          <w:b/>
          <w:bCs/>
          <w:color w:val="000000"/>
          <w:sz w:val="24"/>
          <w:szCs w:val="24"/>
        </w:rPr>
        <w:br w:type="page"/>
      </w:r>
    </w:p>
    <w:p w14:paraId="30963DF5">
      <w:pPr>
        <w:keepNext/>
        <w:keepLines/>
        <w:autoSpaceDE/>
        <w:autoSpaceDN/>
        <w:spacing w:before="280" w:after="290" w:line="377" w:lineRule="auto"/>
        <w:jc w:val="center"/>
        <w:outlineLvl w:val="9"/>
        <w:rPr>
          <w:rFonts w:hint="eastAsia"/>
          <w:b/>
          <w:bCs/>
          <w:color w:val="000000"/>
          <w:kern w:val="2"/>
          <w:sz w:val="24"/>
          <w:szCs w:val="24"/>
        </w:rPr>
      </w:pPr>
      <w:bookmarkStart w:id="637" w:name="_Toc64995452"/>
      <w:bookmarkStart w:id="638" w:name="_Toc32288"/>
      <w:r>
        <w:rPr>
          <w:rFonts w:hint="eastAsia"/>
          <w:b/>
          <w:bCs/>
          <w:color w:val="000000"/>
          <w:kern w:val="2"/>
          <w:sz w:val="24"/>
          <w:szCs w:val="24"/>
        </w:rPr>
        <w:t>3、监狱企业证明文件</w:t>
      </w:r>
      <w:bookmarkEnd w:id="637"/>
      <w:bookmarkEnd w:id="638"/>
    </w:p>
    <w:p w14:paraId="596A95C4">
      <w:pPr>
        <w:spacing w:line="360" w:lineRule="auto"/>
        <w:ind w:right="437" w:firstLine="518" w:firstLineChars="216"/>
        <w:outlineLvl w:val="9"/>
        <w:rPr>
          <w:rFonts w:hint="eastAsia"/>
          <w:color w:val="000000"/>
          <w:kern w:val="2"/>
          <w:sz w:val="24"/>
          <w:szCs w:val="24"/>
          <w:lang w:val="en-US" w:bidi="ar-SA"/>
        </w:rPr>
      </w:pPr>
    </w:p>
    <w:p w14:paraId="15F1DCF8">
      <w:pPr>
        <w:spacing w:line="360" w:lineRule="auto"/>
        <w:ind w:right="437" w:firstLine="518" w:firstLineChars="216"/>
        <w:outlineLvl w:val="9"/>
        <w:rPr>
          <w:rFonts w:hint="eastAsia"/>
          <w:color w:val="000000"/>
          <w:kern w:val="2"/>
          <w:sz w:val="24"/>
          <w:szCs w:val="24"/>
          <w:lang w:val="en-US" w:bidi="ar-SA"/>
        </w:rPr>
      </w:pPr>
      <w:r>
        <w:rPr>
          <w:rFonts w:hint="eastAsia"/>
          <w:color w:val="000000"/>
          <w:kern w:val="2"/>
          <w:sz w:val="24"/>
          <w:szCs w:val="24"/>
          <w:lang w:val="en-US" w:bidi="ar-SA"/>
        </w:rPr>
        <w:t>省级以上监狱管理局、戒毒管理局（含新疆生产建设兵团）出具的属于监狱企业的证明文件。</w:t>
      </w:r>
    </w:p>
    <w:p w14:paraId="385891F4">
      <w:pPr>
        <w:spacing w:line="360" w:lineRule="auto"/>
        <w:ind w:right="437" w:firstLine="518" w:firstLineChars="216"/>
        <w:outlineLvl w:val="9"/>
        <w:rPr>
          <w:rFonts w:hint="eastAsia"/>
          <w:color w:val="000000"/>
          <w:kern w:val="2"/>
          <w:sz w:val="24"/>
          <w:szCs w:val="24"/>
          <w:lang w:val="en-US" w:bidi="ar-SA"/>
        </w:rPr>
      </w:pPr>
    </w:p>
    <w:p w14:paraId="11CEA70F">
      <w:pPr>
        <w:spacing w:line="360" w:lineRule="auto"/>
        <w:ind w:firstLine="518" w:firstLineChars="216"/>
        <w:outlineLvl w:val="9"/>
        <w:rPr>
          <w:rFonts w:hint="eastAsia"/>
          <w:color w:val="000000"/>
          <w:sz w:val="24"/>
          <w:szCs w:val="24"/>
        </w:rPr>
      </w:pPr>
    </w:p>
    <w:p w14:paraId="51BA9FF8">
      <w:pPr>
        <w:spacing w:line="360" w:lineRule="auto"/>
        <w:ind w:firstLine="518" w:firstLineChars="216"/>
        <w:outlineLvl w:val="9"/>
        <w:rPr>
          <w:rFonts w:hint="eastAsia"/>
          <w:color w:val="000000"/>
          <w:sz w:val="24"/>
          <w:szCs w:val="24"/>
        </w:rPr>
      </w:pPr>
    </w:p>
    <w:p w14:paraId="45A89235">
      <w:pPr>
        <w:spacing w:line="360" w:lineRule="auto"/>
        <w:ind w:firstLine="518" w:firstLineChars="216"/>
        <w:outlineLvl w:val="9"/>
        <w:rPr>
          <w:rFonts w:hint="eastAsia"/>
          <w:color w:val="000000"/>
          <w:sz w:val="24"/>
          <w:szCs w:val="24"/>
        </w:rPr>
      </w:pPr>
    </w:p>
    <w:p w14:paraId="571B5435">
      <w:pPr>
        <w:spacing w:before="7" w:line="360" w:lineRule="auto"/>
        <w:ind w:firstLine="518" w:firstLineChars="216"/>
        <w:outlineLvl w:val="9"/>
        <w:rPr>
          <w:rFonts w:hint="eastAsia"/>
          <w:color w:val="000000"/>
          <w:sz w:val="24"/>
          <w:szCs w:val="24"/>
        </w:rPr>
      </w:pPr>
    </w:p>
    <w:p w14:paraId="1A4D8C0F">
      <w:pPr>
        <w:keepNext/>
        <w:keepLines/>
        <w:autoSpaceDE/>
        <w:autoSpaceDN/>
        <w:spacing w:before="280" w:after="290" w:line="377" w:lineRule="auto"/>
        <w:jc w:val="center"/>
        <w:outlineLvl w:val="9"/>
        <w:rPr>
          <w:rFonts w:hint="eastAsia"/>
          <w:b/>
          <w:bCs/>
          <w:color w:val="000000"/>
          <w:kern w:val="2"/>
          <w:sz w:val="24"/>
          <w:szCs w:val="24"/>
        </w:rPr>
      </w:pPr>
      <w:bookmarkStart w:id="639" w:name="_Toc25740"/>
      <w:bookmarkStart w:id="640" w:name="_Toc64995453"/>
      <w:r>
        <w:rPr>
          <w:rFonts w:hint="eastAsia"/>
          <w:b/>
          <w:bCs/>
          <w:color w:val="000000"/>
          <w:kern w:val="2"/>
          <w:sz w:val="24"/>
          <w:szCs w:val="24"/>
        </w:rPr>
        <w:t>4、节能环保产品证明文件</w:t>
      </w:r>
      <w:bookmarkEnd w:id="639"/>
      <w:bookmarkEnd w:id="640"/>
    </w:p>
    <w:p w14:paraId="6ADAC353">
      <w:pPr>
        <w:spacing w:line="360" w:lineRule="auto"/>
        <w:ind w:right="437" w:firstLine="518" w:firstLineChars="216"/>
        <w:outlineLvl w:val="9"/>
        <w:rPr>
          <w:rFonts w:hint="eastAsia"/>
          <w:color w:val="000000"/>
          <w:kern w:val="2"/>
          <w:sz w:val="24"/>
          <w:szCs w:val="24"/>
          <w:lang w:val="en-US" w:bidi="ar-SA"/>
        </w:rPr>
      </w:pPr>
    </w:p>
    <w:p w14:paraId="4CFE869E">
      <w:pPr>
        <w:spacing w:line="360" w:lineRule="auto"/>
        <w:ind w:right="437" w:firstLine="518" w:firstLineChars="216"/>
        <w:outlineLvl w:val="9"/>
        <w:rPr>
          <w:rFonts w:hint="eastAsia"/>
          <w:color w:val="000000"/>
          <w:kern w:val="2"/>
          <w:sz w:val="24"/>
          <w:szCs w:val="24"/>
          <w:lang w:val="en-US" w:bidi="ar-SA"/>
        </w:rPr>
      </w:pPr>
    </w:p>
    <w:p w14:paraId="7A4AC67E">
      <w:pPr>
        <w:spacing w:line="360" w:lineRule="auto"/>
        <w:ind w:right="437" w:firstLine="518" w:firstLineChars="216"/>
        <w:outlineLvl w:val="9"/>
        <w:rPr>
          <w:rFonts w:hint="eastAsia"/>
          <w:color w:val="000000"/>
          <w:kern w:val="2"/>
          <w:sz w:val="24"/>
          <w:szCs w:val="24"/>
          <w:lang w:val="en-US" w:bidi="ar-SA"/>
        </w:rPr>
      </w:pPr>
      <w:r>
        <w:rPr>
          <w:rFonts w:hint="eastAsia"/>
          <w:color w:val="000000"/>
          <w:kern w:val="2"/>
          <w:sz w:val="24"/>
          <w:szCs w:val="24"/>
          <w:lang w:val="en-US" w:bidi="ar-SA"/>
        </w:rPr>
        <w:t>国家确定的认证机构出具的、处于有效期之内的节能产品、环境标志产品认证证书</w:t>
      </w:r>
    </w:p>
    <w:p w14:paraId="61D18282">
      <w:pPr>
        <w:autoSpaceDE/>
        <w:autoSpaceDN/>
        <w:jc w:val="both"/>
        <w:outlineLvl w:val="9"/>
        <w:rPr>
          <w:rFonts w:hint="eastAsia"/>
          <w:kern w:val="2"/>
          <w:sz w:val="24"/>
          <w:szCs w:val="24"/>
          <w:lang w:val="en-US" w:bidi="ar-SA"/>
        </w:rPr>
      </w:pPr>
    </w:p>
    <w:p w14:paraId="48706D53">
      <w:pPr>
        <w:outlineLvl w:val="9"/>
        <w:rPr>
          <w:rFonts w:hint="eastAsia"/>
          <w:sz w:val="24"/>
          <w:szCs w:val="24"/>
          <w:lang w:val="en-US"/>
        </w:rPr>
      </w:pPr>
    </w:p>
    <w:p w14:paraId="2C48D773">
      <w:pPr>
        <w:outlineLvl w:val="9"/>
        <w:rPr>
          <w:rFonts w:hint="eastAsia"/>
          <w:sz w:val="24"/>
          <w:szCs w:val="24"/>
        </w:rPr>
      </w:pPr>
    </w:p>
    <w:p w14:paraId="304BF261">
      <w:pPr>
        <w:outlineLvl w:val="9"/>
        <w:rPr>
          <w:rFonts w:hint="eastAsia"/>
          <w:sz w:val="24"/>
          <w:szCs w:val="24"/>
        </w:rPr>
      </w:pPr>
      <w:r>
        <w:rPr>
          <w:rFonts w:hint="eastAsia"/>
          <w:sz w:val="24"/>
          <w:szCs w:val="24"/>
        </w:rPr>
        <w:br w:type="page"/>
      </w:r>
    </w:p>
    <w:p w14:paraId="74732DEE">
      <w:pPr>
        <w:snapToGrid w:val="0"/>
        <w:spacing w:line="360" w:lineRule="auto"/>
        <w:jc w:val="center"/>
        <w:outlineLvl w:val="9"/>
        <w:rPr>
          <w:rFonts w:hint="eastAsia"/>
          <w:color w:val="000000"/>
          <w:sz w:val="24"/>
          <w:szCs w:val="24"/>
        </w:rPr>
      </w:pPr>
      <w:bookmarkStart w:id="641" w:name="_Toc18464"/>
      <w:bookmarkStart w:id="642" w:name="_Toc22274"/>
      <w:bookmarkStart w:id="643" w:name="_Toc24212"/>
      <w:bookmarkStart w:id="644" w:name="_Toc17305"/>
      <w:bookmarkStart w:id="645" w:name="_Toc14141"/>
      <w:bookmarkStart w:id="646" w:name="_Toc19176"/>
      <w:r>
        <w:rPr>
          <w:rFonts w:hint="eastAsia"/>
          <w:b/>
          <w:bCs/>
          <w:color w:val="000000"/>
          <w:sz w:val="24"/>
          <w:szCs w:val="24"/>
          <w:lang w:val="en-US" w:eastAsia="zh-CN"/>
        </w:rPr>
        <w:t>7-</w:t>
      </w:r>
      <w:r>
        <w:rPr>
          <w:rFonts w:hint="eastAsia"/>
          <w:b/>
          <w:bCs/>
          <w:color w:val="000000"/>
          <w:sz w:val="24"/>
          <w:szCs w:val="24"/>
        </w:rPr>
        <w:t>6其他证明材料</w:t>
      </w:r>
      <w:bookmarkEnd w:id="641"/>
      <w:bookmarkEnd w:id="642"/>
      <w:bookmarkEnd w:id="643"/>
      <w:bookmarkEnd w:id="644"/>
      <w:bookmarkEnd w:id="645"/>
      <w:bookmarkEnd w:id="646"/>
    </w:p>
    <w:p w14:paraId="45083908">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37DC0CFD">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339C693A">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0C2B9BAD">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0663AFEA">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4F7AE4B6">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10BF4833">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1ADD4987">
      <w:pPr>
        <w:snapToGrid w:val="0"/>
        <w:spacing w:line="360" w:lineRule="auto"/>
        <w:ind w:left="440" w:leftChars="200" w:firstLine="160" w:firstLineChars="67"/>
        <w:outlineLvl w:val="9"/>
        <w:rPr>
          <w:rFonts w:hint="eastAsia"/>
          <w:color w:val="000000"/>
          <w:sz w:val="24"/>
          <w:szCs w:val="24"/>
        </w:rPr>
      </w:pPr>
      <w:r>
        <w:rPr>
          <w:rFonts w:hint="eastAsia"/>
          <w:color w:val="000000"/>
          <w:sz w:val="24"/>
          <w:szCs w:val="24"/>
        </w:rPr>
        <w:t xml:space="preserve"> </w:t>
      </w:r>
    </w:p>
    <w:p w14:paraId="52396187">
      <w:pPr>
        <w:snapToGrid w:val="0"/>
        <w:spacing w:line="360" w:lineRule="auto"/>
        <w:outlineLvl w:val="9"/>
        <w:rPr>
          <w:rFonts w:hint="eastAsia"/>
          <w:color w:val="000000"/>
          <w:sz w:val="24"/>
          <w:szCs w:val="24"/>
        </w:rPr>
      </w:pPr>
      <w:r>
        <w:rPr>
          <w:rFonts w:hint="eastAsia"/>
          <w:color w:val="000000"/>
          <w:sz w:val="24"/>
          <w:szCs w:val="24"/>
        </w:rPr>
        <w:t xml:space="preserve">  </w:t>
      </w:r>
    </w:p>
    <w:p w14:paraId="4CE159D3">
      <w:pPr>
        <w:spacing w:line="360" w:lineRule="auto"/>
        <w:outlineLvl w:val="9"/>
        <w:rPr>
          <w:rFonts w:hint="eastAsia"/>
          <w:color w:val="000000"/>
          <w:sz w:val="24"/>
          <w:szCs w:val="24"/>
        </w:rPr>
      </w:pPr>
      <w:r>
        <w:rPr>
          <w:rFonts w:hint="eastAsia"/>
          <w:color w:val="000000"/>
          <w:sz w:val="24"/>
          <w:szCs w:val="24"/>
        </w:rPr>
        <w:t xml:space="preserve"> </w:t>
      </w:r>
    </w:p>
    <w:p w14:paraId="06DBD010">
      <w:pPr>
        <w:spacing w:line="360" w:lineRule="auto"/>
        <w:outlineLvl w:val="9"/>
        <w:rPr>
          <w:rFonts w:hint="eastAsia"/>
          <w:color w:val="000000"/>
          <w:sz w:val="24"/>
          <w:szCs w:val="24"/>
        </w:rPr>
      </w:pPr>
    </w:p>
    <w:p w14:paraId="7B71EB99">
      <w:pPr>
        <w:outlineLvl w:val="9"/>
        <w:rPr>
          <w:rFonts w:hint="eastAsia"/>
          <w:color w:val="000000"/>
          <w:sz w:val="24"/>
          <w:szCs w:val="24"/>
        </w:rPr>
      </w:pPr>
    </w:p>
    <w:p w14:paraId="093A43FC">
      <w:pPr>
        <w:outlineLvl w:val="9"/>
        <w:rPr>
          <w:rFonts w:hint="eastAsia"/>
          <w:color w:val="000000"/>
          <w:sz w:val="24"/>
          <w:szCs w:val="24"/>
        </w:rPr>
      </w:pPr>
    </w:p>
    <w:p w14:paraId="6CDC6072">
      <w:pPr>
        <w:outlineLvl w:val="9"/>
        <w:rPr>
          <w:rFonts w:hint="eastAsia"/>
          <w:sz w:val="24"/>
          <w:szCs w:val="24"/>
        </w:rPr>
      </w:pPr>
    </w:p>
    <w:p w14:paraId="1D5EAC9A">
      <w:pPr>
        <w:outlineLvl w:val="9"/>
      </w:pPr>
    </w:p>
    <w:sectPr>
      <w:headerReference r:id="rId11" w:type="default"/>
      <w:footerReference r:id="rId12" w:type="default"/>
      <w:pgSz w:w="11910" w:h="16840"/>
      <w:pgMar w:top="1440" w:right="1080" w:bottom="1440" w:left="1080" w:header="0" w:footer="99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D0B5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B88B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BFF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22706">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A22706">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DFF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7E95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B17E95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45F5B">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3E858">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7F3E858">
                    <w:pPr>
                      <w:pStyle w:val="6"/>
                    </w:pPr>
                    <w:r>
                      <w:fldChar w:fldCharType="begin"/>
                    </w:r>
                    <w:r>
                      <w:instrText xml:space="preserve"> PAGE  \* MERGEFORMAT </w:instrText>
                    </w:r>
                    <w:r>
                      <w:fldChar w:fldCharType="separate"/>
                    </w:r>
                    <w:r>
                      <w:t>31</w:t>
                    </w:r>
                    <w:r>
                      <w:fldChar w:fldCharType="end"/>
                    </w:r>
                  </w:p>
                </w:txbxContent>
              </v:textbox>
            </v:shape>
          </w:pict>
        </mc:Fallback>
      </mc:AlternateContent>
    </w:r>
  </w:p>
  <w:p w14:paraId="1538F9AE">
    <w:pPr>
      <w:pStyle w:val="4"/>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6EAC">
    <w:pPr>
      <w:pStyle w:val="4"/>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5DCC8">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85DCC8">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1F322">
    <w:pPr>
      <w:pBdr>
        <w:bottom w:val="none" w:color="auto" w:sz="0" w:space="1"/>
      </w:pBdr>
      <w:rPr>
        <w:i/>
        <w:sz w:val="18"/>
        <w:szCs w:val="18"/>
      </w:rPr>
    </w:pPr>
    <w:r>
      <w:rPr>
        <w: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843F1">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EDD62">
    <w:pPr>
      <w:pBdr>
        <w:bottom w:val="none" w:color="auto" w:sz="0" w:space="1"/>
      </w:pBdr>
      <w:rPr>
        <w:i/>
        <w:sz w:val="18"/>
        <w:szCs w:val="18"/>
      </w:rPr>
    </w:pPr>
    <w:r>
      <w:rPr>
        <w:i/>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C12CC">
    <w:pPr>
      <w:pBdr>
        <w:bottom w:val="none" w:color="auto" w:sz="0" w:space="1"/>
      </w:pBdr>
      <w:rPr>
        <w:i/>
        <w:sz w:val="18"/>
        <w:szCs w:val="18"/>
      </w:rPr>
    </w:pPr>
    <w:r>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4501C"/>
    <w:multiLevelType w:val="multilevel"/>
    <w:tmpl w:val="2AD4501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YmZjZTI4ZTVjOWFhYjFiYzEzNmI5ZTNhODYxZjYifQ=="/>
  </w:docVars>
  <w:rsids>
    <w:rsidRoot w:val="6395218B"/>
    <w:rsid w:val="01830099"/>
    <w:rsid w:val="05A23D1B"/>
    <w:rsid w:val="05C82C12"/>
    <w:rsid w:val="06314567"/>
    <w:rsid w:val="07D16002"/>
    <w:rsid w:val="09A74FB0"/>
    <w:rsid w:val="0A5F5B47"/>
    <w:rsid w:val="0D197B03"/>
    <w:rsid w:val="0D9E3213"/>
    <w:rsid w:val="10B22749"/>
    <w:rsid w:val="16A3500D"/>
    <w:rsid w:val="16B31CAA"/>
    <w:rsid w:val="17171557"/>
    <w:rsid w:val="19202945"/>
    <w:rsid w:val="1BF471B2"/>
    <w:rsid w:val="1D807E56"/>
    <w:rsid w:val="1FD642A3"/>
    <w:rsid w:val="21C5052E"/>
    <w:rsid w:val="21F14E3F"/>
    <w:rsid w:val="263E323F"/>
    <w:rsid w:val="26B644F3"/>
    <w:rsid w:val="27181100"/>
    <w:rsid w:val="2B810F20"/>
    <w:rsid w:val="2D502C75"/>
    <w:rsid w:val="2F665C5F"/>
    <w:rsid w:val="3E9B6C6B"/>
    <w:rsid w:val="410C07ED"/>
    <w:rsid w:val="42332E3A"/>
    <w:rsid w:val="439B1B5E"/>
    <w:rsid w:val="46A278A2"/>
    <w:rsid w:val="4A8C1339"/>
    <w:rsid w:val="4CBF5774"/>
    <w:rsid w:val="4FF73DAE"/>
    <w:rsid w:val="51CB6BEB"/>
    <w:rsid w:val="542829D4"/>
    <w:rsid w:val="554A6079"/>
    <w:rsid w:val="57EE3633"/>
    <w:rsid w:val="5BEA4111"/>
    <w:rsid w:val="5F0F7504"/>
    <w:rsid w:val="6045400C"/>
    <w:rsid w:val="62682234"/>
    <w:rsid w:val="6395218B"/>
    <w:rsid w:val="653B778C"/>
    <w:rsid w:val="67F25409"/>
    <w:rsid w:val="689A2A1B"/>
    <w:rsid w:val="69965E1E"/>
    <w:rsid w:val="6A3B3D8A"/>
    <w:rsid w:val="6BD46B1B"/>
    <w:rsid w:val="6D5D0A17"/>
    <w:rsid w:val="6DBB4B45"/>
    <w:rsid w:val="6FA32913"/>
    <w:rsid w:val="71F76FB0"/>
    <w:rsid w:val="76634D94"/>
    <w:rsid w:val="77064F27"/>
    <w:rsid w:val="7BFB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4"/>
    <w:basedOn w:val="1"/>
    <w:next w:val="1"/>
    <w:qFormat/>
    <w:uiPriority w:val="99"/>
    <w:pPr>
      <w:keepNext/>
      <w:keepLines/>
      <w:spacing w:before="280" w:after="290" w:line="376"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99"/>
    <w:rPr>
      <w:rFonts w:ascii="宋体" w:hAnsi="宋体" w:eastAsia="宋体" w:cs="宋体"/>
      <w:sz w:val="24"/>
      <w:szCs w:val="24"/>
      <w:lang w:val="zh-CN" w:eastAsia="zh-CN" w:bidi="zh-CN"/>
    </w:rPr>
  </w:style>
  <w:style w:type="paragraph" w:styleId="5">
    <w:name w:val="Body Text Indent"/>
    <w:basedOn w:val="1"/>
    <w:qFormat/>
    <w:uiPriority w:val="0"/>
    <w:pPr>
      <w:spacing w:after="120"/>
      <w:ind w:left="420" w:leftChars="200"/>
    </w:pPr>
    <w:rPr>
      <w:rFonts w:ascii="宋体"/>
      <w:sz w:val="3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0">
    <w:name w:val="toc 2"/>
    <w:basedOn w:val="1"/>
    <w:next w:val="1"/>
    <w:qFormat/>
    <w:uiPriority w:val="0"/>
    <w:pPr>
      <w:ind w:left="420" w:leftChars="200"/>
    </w:pPr>
  </w:style>
  <w:style w:type="paragraph" w:styleId="11">
    <w:name w:val="Body Text 2"/>
    <w:basedOn w:val="1"/>
    <w:qFormat/>
    <w:uiPriority w:val="0"/>
    <w:pPr>
      <w:spacing w:after="120" w:line="480" w:lineRule="auto"/>
      <w:ind w:firstLine="560" w:firstLineChars="200"/>
    </w:pPr>
    <w:rPr>
      <w:rFonts w:ascii="Calibri" w:hAnsi="Calibri" w:eastAsia="仿宋_GB2312"/>
      <w:kern w:val="0"/>
      <w:sz w:val="28"/>
      <w:szCs w:val="24"/>
    </w:rPr>
  </w:style>
  <w:style w:type="paragraph" w:styleId="12">
    <w:name w:val="Body Text First Indent"/>
    <w:basedOn w:val="4"/>
    <w:next w:val="13"/>
    <w:unhideWhenUsed/>
    <w:qFormat/>
    <w:uiPriority w:val="99"/>
    <w:pPr>
      <w:spacing w:beforeAutospacing="1" w:after="38" w:line="360" w:lineRule="auto"/>
      <w:jc w:val="left"/>
    </w:pPr>
    <w:rPr>
      <w:rFonts w:ascii="Calibri" w:hAnsi="Calibri" w:eastAsia="宋体"/>
      <w:szCs w:val="24"/>
    </w:rPr>
  </w:style>
  <w:style w:type="paragraph" w:styleId="13">
    <w:name w:val="Body Text First Indent 2"/>
    <w:basedOn w:val="5"/>
    <w:qFormat/>
    <w:uiPriority w:val="0"/>
    <w:pPr>
      <w:ind w:firstLine="420" w:firstLineChars="200"/>
    </w:pPr>
  </w:style>
  <w:style w:type="character" w:styleId="16">
    <w:name w:val="Hyperlink"/>
    <w:unhideWhenUsed/>
    <w:qFormat/>
    <w:uiPriority w:val="99"/>
    <w:rPr>
      <w:color w:val="0000FF"/>
      <w:u w:val="none"/>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正文1"/>
    <w:qFormat/>
    <w:uiPriority w:val="0"/>
    <w:pPr>
      <w:jc w:val="both"/>
    </w:pPr>
    <w:rPr>
      <w:rFonts w:ascii="Times New Roman" w:hAnsi="Times New Roman" w:eastAsia="宋体" w:cs="Calibri"/>
      <w:kern w:val="2"/>
      <w:sz w:val="21"/>
      <w:szCs w:val="21"/>
      <w:lang w:val="en-US" w:eastAsia="zh-CN" w:bidi="ar-SA"/>
    </w:rPr>
  </w:style>
  <w:style w:type="paragraph" w:customStyle="1" w:styleId="19">
    <w:name w:val="Table Paragraph"/>
    <w:basedOn w:val="1"/>
    <w:qFormat/>
    <w:uiPriority w:val="0"/>
    <w:rPr>
      <w:rFonts w:ascii="宋体" w:hAnsi="宋体" w:eastAsia="宋体" w:cs="宋体"/>
      <w:lang w:val="zh-CN" w:eastAsia="zh-CN" w:bidi="zh-CN"/>
    </w:rPr>
  </w:style>
  <w:style w:type="paragraph" w:customStyle="1" w:styleId="20">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26711</Words>
  <Characters>28535</Characters>
  <Lines>0</Lines>
  <Paragraphs>0</Paragraphs>
  <TotalTime>19</TotalTime>
  <ScaleCrop>false</ScaleCrop>
  <LinksUpToDate>false</LinksUpToDate>
  <CharactersWithSpaces>30041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2025-03-05T02:39:00Z</dcterms:created>
  <dc:creator>小磊子</dc:creator>
  <cp:lastModifiedBy>小磊子</cp:lastModifiedBy>
  <dcterms:modified xsi:type="dcterms:W3CDTF">2025-04-21T09:51:39Z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65602B9C79074397843BDD78BFDCEF36_11</vt:lpwstr>
  </property>
</Properties>
</file>