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FAB0D5">
      <w:pPr>
        <w:pStyle w:val="53"/>
        <w:spacing w:line="360" w:lineRule="auto"/>
        <w:ind w:left="0" w:leftChars="0" w:right="-73" w:rightChars="-26" w:firstLine="0" w:firstLineChars="0"/>
        <w:jc w:val="center"/>
        <w:rPr>
          <w:rFonts w:hint="eastAsia" w:ascii="宋体" w:hAnsi="宋体" w:eastAsia="宋体" w:cs="宋体"/>
          <w:bCs/>
          <w:color w:val="auto"/>
          <w:kern w:val="0"/>
          <w:sz w:val="48"/>
          <w:szCs w:val="48"/>
          <w:highlight w:val="none"/>
          <w:lang w:eastAsia="zh-CN"/>
        </w:rPr>
      </w:pPr>
    </w:p>
    <w:p w14:paraId="6013F4CA">
      <w:pPr>
        <w:pStyle w:val="53"/>
        <w:spacing w:line="360" w:lineRule="auto"/>
        <w:ind w:left="0" w:leftChars="0" w:right="-73" w:rightChars="-26" w:firstLine="0" w:firstLineChars="0"/>
        <w:jc w:val="center"/>
        <w:rPr>
          <w:rFonts w:hint="eastAsia" w:ascii="宋体" w:hAnsi="宋体" w:eastAsia="宋体" w:cs="宋体"/>
          <w:bCs/>
          <w:color w:val="auto"/>
          <w:kern w:val="0"/>
          <w:sz w:val="48"/>
          <w:szCs w:val="48"/>
          <w:highlight w:val="none"/>
          <w:lang w:eastAsia="zh-CN"/>
        </w:rPr>
      </w:pPr>
      <w:r>
        <w:rPr>
          <w:rFonts w:hint="eastAsia" w:ascii="宋体" w:hAnsi="宋体" w:eastAsia="宋体" w:cs="宋体"/>
          <w:bCs/>
          <w:color w:val="auto"/>
          <w:kern w:val="0"/>
          <w:sz w:val="48"/>
          <w:szCs w:val="48"/>
          <w:highlight w:val="none"/>
          <w:lang w:eastAsia="zh-CN"/>
        </w:rPr>
        <w:t>郑州市上街区教育局采购智慧黑板及</w:t>
      </w:r>
    </w:p>
    <w:p w14:paraId="6FD9EFB4">
      <w:pPr>
        <w:pStyle w:val="53"/>
        <w:spacing w:line="360" w:lineRule="auto"/>
        <w:ind w:left="0" w:leftChars="0" w:right="-73" w:rightChars="-26" w:firstLine="0" w:firstLineChars="0"/>
        <w:jc w:val="center"/>
        <w:rPr>
          <w:rFonts w:hint="eastAsia" w:ascii="宋体" w:hAnsi="宋体" w:eastAsia="宋体" w:cs="宋体"/>
          <w:bCs/>
          <w:color w:val="auto"/>
          <w:kern w:val="0"/>
          <w:sz w:val="48"/>
          <w:szCs w:val="48"/>
          <w:highlight w:val="none"/>
          <w:lang w:eastAsia="zh-CN"/>
        </w:rPr>
      </w:pPr>
      <w:r>
        <w:rPr>
          <w:rFonts w:hint="eastAsia" w:ascii="宋体" w:hAnsi="宋体" w:eastAsia="宋体" w:cs="宋体"/>
          <w:bCs/>
          <w:color w:val="auto"/>
          <w:kern w:val="0"/>
          <w:sz w:val="48"/>
          <w:szCs w:val="48"/>
          <w:highlight w:val="none"/>
          <w:lang w:eastAsia="zh-CN"/>
        </w:rPr>
        <w:t>教室护眼灯设备项目</w:t>
      </w:r>
    </w:p>
    <w:p w14:paraId="63894B90">
      <w:pPr>
        <w:pStyle w:val="53"/>
        <w:spacing w:line="360" w:lineRule="auto"/>
        <w:jc w:val="both"/>
        <w:rPr>
          <w:rFonts w:hint="eastAsia" w:ascii="宋体" w:hAnsi="宋体" w:eastAsia="宋体" w:cs="宋体"/>
          <w:color w:val="auto"/>
          <w:kern w:val="0"/>
          <w:sz w:val="24"/>
          <w:szCs w:val="24"/>
          <w:highlight w:val="none"/>
        </w:rPr>
      </w:pPr>
    </w:p>
    <w:p w14:paraId="2397FC07">
      <w:pPr>
        <w:pStyle w:val="24"/>
        <w:rPr>
          <w:rFonts w:hint="eastAsia" w:ascii="宋体" w:hAnsi="宋体" w:eastAsia="宋体" w:cs="宋体"/>
          <w:color w:val="auto"/>
          <w:highlight w:val="none"/>
        </w:rPr>
      </w:pPr>
    </w:p>
    <w:p w14:paraId="0ADED3E0">
      <w:pPr>
        <w:pStyle w:val="24"/>
        <w:rPr>
          <w:rFonts w:hint="eastAsia" w:ascii="宋体" w:hAnsi="宋体" w:eastAsia="宋体" w:cs="宋体"/>
          <w:color w:val="auto"/>
          <w:highlight w:val="none"/>
        </w:rPr>
      </w:pPr>
    </w:p>
    <w:p w14:paraId="158887B4">
      <w:pPr>
        <w:pStyle w:val="24"/>
        <w:rPr>
          <w:rFonts w:hint="eastAsia" w:ascii="宋体" w:hAnsi="宋体" w:eastAsia="宋体" w:cs="宋体"/>
          <w:color w:val="auto"/>
          <w:highlight w:val="none"/>
        </w:rPr>
      </w:pPr>
    </w:p>
    <w:p w14:paraId="5E0DDBCE">
      <w:pPr>
        <w:pStyle w:val="24"/>
        <w:rPr>
          <w:rFonts w:hint="eastAsia" w:ascii="宋体" w:hAnsi="宋体" w:eastAsia="宋体" w:cs="宋体"/>
          <w:color w:val="auto"/>
          <w:kern w:val="0"/>
          <w:sz w:val="28"/>
          <w:highlight w:val="none"/>
        </w:rPr>
      </w:pPr>
    </w:p>
    <w:p w14:paraId="6C7C6A65">
      <w:pPr>
        <w:pStyle w:val="53"/>
        <w:rPr>
          <w:rFonts w:hint="eastAsia" w:ascii="宋体" w:hAnsi="宋体" w:eastAsia="宋体" w:cs="宋体"/>
          <w:color w:val="auto"/>
          <w:highlight w:val="none"/>
        </w:rPr>
      </w:pPr>
    </w:p>
    <w:p w14:paraId="3160A89C">
      <w:pPr>
        <w:pStyle w:val="53"/>
        <w:spacing w:line="360" w:lineRule="auto"/>
        <w:ind w:left="0" w:leftChars="0" w:firstLine="0" w:firstLineChars="0"/>
        <w:jc w:val="center"/>
        <w:rPr>
          <w:rFonts w:hint="eastAsia" w:ascii="宋体" w:hAnsi="宋体" w:eastAsia="宋体" w:cs="宋体"/>
          <w:b w:val="0"/>
          <w:color w:val="auto"/>
          <w:sz w:val="72"/>
          <w:szCs w:val="84"/>
          <w:highlight w:val="none"/>
        </w:rPr>
      </w:pPr>
      <w:r>
        <w:rPr>
          <w:rFonts w:hint="eastAsia" w:ascii="宋体" w:hAnsi="宋体" w:eastAsia="宋体" w:cs="宋体"/>
          <w:b w:val="0"/>
          <w:color w:val="auto"/>
          <w:sz w:val="72"/>
          <w:szCs w:val="84"/>
          <w:highlight w:val="none"/>
        </w:rPr>
        <w:t>竞争性磋商文件</w:t>
      </w:r>
    </w:p>
    <w:p w14:paraId="4BF67711">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w:t>
      </w:r>
    </w:p>
    <w:p w14:paraId="000C7CA2">
      <w:pPr>
        <w:pStyle w:val="53"/>
        <w:rPr>
          <w:rFonts w:hint="eastAsia" w:ascii="宋体" w:hAnsi="宋体" w:eastAsia="宋体" w:cs="宋体"/>
          <w:color w:val="auto"/>
          <w:sz w:val="40"/>
          <w:szCs w:val="52"/>
          <w:highlight w:val="none"/>
        </w:rPr>
      </w:pPr>
    </w:p>
    <w:p w14:paraId="3FD7608F">
      <w:pPr>
        <w:pStyle w:val="24"/>
        <w:ind w:left="0" w:leftChars="0" w:firstLine="0" w:firstLineChars="0"/>
        <w:rPr>
          <w:rFonts w:hint="eastAsia" w:ascii="宋体" w:hAnsi="宋体" w:eastAsia="宋体" w:cs="宋体"/>
          <w:color w:val="auto"/>
          <w:sz w:val="40"/>
          <w:szCs w:val="52"/>
          <w:highlight w:val="none"/>
        </w:rPr>
      </w:pPr>
    </w:p>
    <w:p w14:paraId="0ED70A52">
      <w:pPr>
        <w:pStyle w:val="16"/>
        <w:ind w:left="0" w:leftChars="0" w:firstLine="0" w:firstLineChars="0"/>
        <w:rPr>
          <w:rFonts w:hint="eastAsia" w:ascii="宋体" w:hAnsi="宋体" w:eastAsia="宋体" w:cs="宋体"/>
          <w:b/>
          <w:bCs/>
          <w:color w:val="auto"/>
          <w:sz w:val="28"/>
          <w:szCs w:val="28"/>
          <w:highlight w:val="none"/>
        </w:rPr>
      </w:pPr>
    </w:p>
    <w:p w14:paraId="5D751DAE">
      <w:pPr>
        <w:spacing w:line="360" w:lineRule="auto"/>
        <w:ind w:firstLine="2389" w:firstLineChars="850"/>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项目编号：</w:t>
      </w:r>
      <w:r>
        <w:rPr>
          <w:rFonts w:hint="eastAsia" w:cs="宋体"/>
          <w:b/>
          <w:bCs/>
          <w:color w:val="auto"/>
          <w:sz w:val="28"/>
          <w:szCs w:val="28"/>
          <w:highlight w:val="none"/>
          <w:lang w:val="en-US" w:eastAsia="zh-CN"/>
        </w:rPr>
        <w:t>郑上财-磋商-【2025】-14</w:t>
      </w:r>
    </w:p>
    <w:p w14:paraId="224C7C9B">
      <w:pPr>
        <w:spacing w:line="360" w:lineRule="auto"/>
        <w:ind w:firstLine="2389" w:firstLineChars="850"/>
        <w:rPr>
          <w:rFonts w:hint="eastAsia" w:ascii="宋体" w:hAnsi="宋体" w:eastAsia="宋体" w:cs="宋体"/>
          <w:b/>
          <w:bCs/>
          <w:color w:val="auto"/>
          <w:sz w:val="28"/>
          <w:szCs w:val="28"/>
          <w:highlight w:val="none"/>
        </w:rPr>
      </w:pPr>
      <w:r>
        <w:rPr>
          <w:rFonts w:hint="eastAsia" w:ascii="宋体" w:hAnsi="宋体" w:eastAsia="宋体" w:cs="宋体"/>
          <w:b/>
          <w:color w:val="auto"/>
          <w:sz w:val="28"/>
          <w:szCs w:val="28"/>
          <w:highlight w:val="none"/>
        </w:rPr>
        <w:t>采 购 人：郑州市上街区教育局</w:t>
      </w:r>
    </w:p>
    <w:p w14:paraId="600EEAFF">
      <w:pPr>
        <w:spacing w:line="360" w:lineRule="auto"/>
        <w:ind w:firstLine="2249" w:firstLineChars="800"/>
        <w:jc w:val="both"/>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 xml:space="preserve"> 代理机构：</w:t>
      </w:r>
      <w:r>
        <w:rPr>
          <w:rFonts w:hint="eastAsia" w:ascii="宋体" w:hAnsi="宋体" w:eastAsia="宋体" w:cs="宋体"/>
          <w:b/>
          <w:color w:val="auto"/>
          <w:sz w:val="28"/>
          <w:szCs w:val="28"/>
          <w:highlight w:val="none"/>
          <w:lang w:eastAsia="zh-CN"/>
        </w:rPr>
        <w:t>河南广信项目管理有限公司</w:t>
      </w:r>
    </w:p>
    <w:p w14:paraId="5774D5B4">
      <w:pPr>
        <w:spacing w:line="360" w:lineRule="auto"/>
        <w:ind w:firstLine="2389" w:firstLineChars="85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    期：二〇二</w:t>
      </w:r>
      <w:r>
        <w:rPr>
          <w:rFonts w:hint="eastAsia" w:ascii="宋体" w:hAnsi="宋体" w:eastAsia="宋体" w:cs="宋体"/>
          <w:b/>
          <w:color w:val="auto"/>
          <w:sz w:val="28"/>
          <w:szCs w:val="28"/>
          <w:highlight w:val="none"/>
          <w:lang w:val="en-US" w:eastAsia="zh-CN"/>
        </w:rPr>
        <w:t>五</w:t>
      </w:r>
      <w:r>
        <w:rPr>
          <w:rFonts w:hint="eastAsia" w:ascii="宋体" w:hAnsi="宋体" w:eastAsia="宋体" w:cs="宋体"/>
          <w:b/>
          <w:color w:val="auto"/>
          <w:sz w:val="28"/>
          <w:szCs w:val="28"/>
          <w:highlight w:val="none"/>
        </w:rPr>
        <w:t>年</w:t>
      </w:r>
      <w:r>
        <w:rPr>
          <w:rFonts w:hint="eastAsia" w:cs="宋体"/>
          <w:b/>
          <w:color w:val="auto"/>
          <w:sz w:val="28"/>
          <w:szCs w:val="28"/>
          <w:highlight w:val="none"/>
          <w:lang w:eastAsia="zh-CN"/>
        </w:rPr>
        <w:t>七</w:t>
      </w:r>
      <w:r>
        <w:rPr>
          <w:rFonts w:hint="eastAsia" w:ascii="宋体" w:hAnsi="宋体" w:eastAsia="宋体" w:cs="宋体"/>
          <w:b/>
          <w:color w:val="auto"/>
          <w:sz w:val="28"/>
          <w:szCs w:val="28"/>
          <w:highlight w:val="none"/>
        </w:rPr>
        <w:t>月</w:t>
      </w:r>
    </w:p>
    <w:p w14:paraId="26E41383">
      <w:pPr>
        <w:spacing w:line="360" w:lineRule="auto"/>
        <w:jc w:val="center"/>
        <w:rPr>
          <w:rFonts w:hint="eastAsia" w:ascii="宋体" w:hAnsi="宋体" w:eastAsia="宋体" w:cs="宋体"/>
          <w:b/>
          <w:bCs/>
          <w:color w:val="auto"/>
          <w:sz w:val="30"/>
          <w:szCs w:val="30"/>
          <w:highlight w:val="none"/>
        </w:rPr>
        <w:sectPr>
          <w:headerReference r:id="rId6" w:type="first"/>
          <w:headerReference r:id="rId5" w:type="default"/>
          <w:footerReference r:id="rId7" w:type="default"/>
          <w:pgSz w:w="11907" w:h="16840"/>
          <w:pgMar w:top="1418" w:right="1304" w:bottom="1418" w:left="1418" w:header="851" w:footer="851" w:gutter="0"/>
          <w:cols w:space="720" w:num="1"/>
          <w:titlePg/>
          <w:docGrid w:linePitch="462" w:charSpace="0"/>
        </w:sectPr>
      </w:pPr>
    </w:p>
    <w:p w14:paraId="20F416FA">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目   录</w:t>
      </w:r>
    </w:p>
    <w:p w14:paraId="0F7E90A6">
      <w:pPr>
        <w:pStyle w:val="42"/>
        <w:tabs>
          <w:tab w:val="right" w:leader="dot" w:pos="9460"/>
          <w:tab w:val="clear" w:pos="9060"/>
        </w:tabs>
        <w:rPr>
          <w:rFonts w:hint="eastAsia" w:ascii="宋体" w:hAnsi="宋体" w:eastAsia="宋体" w:cs="宋体"/>
          <w:color w:val="auto"/>
          <w:sz w:val="28"/>
          <w:szCs w:val="28"/>
          <w:highlight w:val="none"/>
        </w:rPr>
      </w:pPr>
      <w:bookmarkStart w:id="0" w:name="_Toc98041600"/>
      <w:r>
        <w:rPr>
          <w:rFonts w:hint="eastAsia" w:ascii="宋体" w:hAnsi="宋体" w:eastAsia="宋体" w:cs="宋体"/>
          <w:bCs/>
          <w:caps w:val="0"/>
          <w:color w:val="auto"/>
          <w:sz w:val="28"/>
          <w:szCs w:val="28"/>
          <w:highlight w:val="none"/>
        </w:rPr>
        <w:fldChar w:fldCharType="begin"/>
      </w:r>
      <w:r>
        <w:rPr>
          <w:rFonts w:hint="eastAsia" w:ascii="宋体" w:hAnsi="宋体" w:eastAsia="宋体" w:cs="宋体"/>
          <w:bCs/>
          <w:caps w:val="0"/>
          <w:color w:val="auto"/>
          <w:sz w:val="28"/>
          <w:szCs w:val="28"/>
          <w:highlight w:val="none"/>
        </w:rPr>
        <w:instrText xml:space="preserve">TOC \o "1-1" \h \u </w:instrText>
      </w:r>
      <w:r>
        <w:rPr>
          <w:rFonts w:hint="eastAsia" w:ascii="宋体" w:hAnsi="宋体" w:eastAsia="宋体" w:cs="宋体"/>
          <w:bCs/>
          <w:caps w:val="0"/>
          <w:color w:val="auto"/>
          <w:sz w:val="28"/>
          <w:szCs w:val="28"/>
          <w:highlight w:val="none"/>
        </w:rPr>
        <w:fldChar w:fldCharType="separate"/>
      </w:r>
      <w:r>
        <w:rPr>
          <w:rFonts w:hint="eastAsia" w:ascii="宋体" w:hAnsi="宋体" w:eastAsia="宋体" w:cs="宋体"/>
          <w:bCs/>
          <w:caps w:val="0"/>
          <w:color w:val="auto"/>
          <w:sz w:val="28"/>
          <w:szCs w:val="28"/>
          <w:highlight w:val="none"/>
        </w:rPr>
        <w:fldChar w:fldCharType="begin"/>
      </w:r>
      <w:r>
        <w:rPr>
          <w:rFonts w:hint="eastAsia" w:ascii="宋体" w:hAnsi="宋体" w:eastAsia="宋体" w:cs="宋体"/>
          <w:bCs/>
          <w:caps w:val="0"/>
          <w:color w:val="auto"/>
          <w:sz w:val="28"/>
          <w:szCs w:val="28"/>
          <w:highlight w:val="none"/>
        </w:rPr>
        <w:instrText xml:space="preserve"> HYPERLINK \l _Toc13314 </w:instrText>
      </w:r>
      <w:r>
        <w:rPr>
          <w:rFonts w:hint="eastAsia" w:ascii="宋体" w:hAnsi="宋体" w:eastAsia="宋体" w:cs="宋体"/>
          <w:bCs/>
          <w:caps w:val="0"/>
          <w:color w:val="auto"/>
          <w:sz w:val="28"/>
          <w:szCs w:val="28"/>
          <w:highlight w:val="none"/>
        </w:rPr>
        <w:fldChar w:fldCharType="separate"/>
      </w:r>
      <w:r>
        <w:rPr>
          <w:rFonts w:hint="eastAsia" w:ascii="宋体" w:hAnsi="宋体" w:eastAsia="宋体" w:cs="宋体"/>
          <w:bCs/>
          <w:color w:val="auto"/>
          <w:sz w:val="28"/>
          <w:szCs w:val="28"/>
          <w:highlight w:val="none"/>
        </w:rPr>
        <w:t>第一章  竞争性磋商公告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_Toc13314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rPr>
        <w:fldChar w:fldCharType="end"/>
      </w:r>
      <w:r>
        <w:rPr>
          <w:rFonts w:hint="eastAsia" w:ascii="宋体" w:hAnsi="宋体" w:eastAsia="宋体" w:cs="宋体"/>
          <w:bCs/>
          <w:caps w:val="0"/>
          <w:color w:val="auto"/>
          <w:sz w:val="28"/>
          <w:szCs w:val="28"/>
          <w:highlight w:val="none"/>
        </w:rPr>
        <w:fldChar w:fldCharType="end"/>
      </w:r>
    </w:p>
    <w:p w14:paraId="148E8B4B">
      <w:pPr>
        <w:pStyle w:val="42"/>
        <w:tabs>
          <w:tab w:val="right" w:leader="dot" w:pos="9460"/>
          <w:tab w:val="clear" w:pos="9060"/>
        </w:tabs>
        <w:rPr>
          <w:rFonts w:hint="eastAsia" w:ascii="宋体" w:hAnsi="宋体" w:eastAsia="宋体" w:cs="宋体"/>
          <w:color w:val="auto"/>
          <w:sz w:val="28"/>
          <w:szCs w:val="28"/>
          <w:highlight w:val="none"/>
        </w:rPr>
      </w:pPr>
      <w:r>
        <w:rPr>
          <w:rFonts w:hint="eastAsia" w:ascii="宋体" w:hAnsi="宋体" w:eastAsia="宋体" w:cs="宋体"/>
          <w:bCs/>
          <w:caps w:val="0"/>
          <w:color w:val="auto"/>
          <w:sz w:val="28"/>
          <w:szCs w:val="28"/>
          <w:highlight w:val="none"/>
        </w:rPr>
        <w:fldChar w:fldCharType="begin"/>
      </w:r>
      <w:r>
        <w:rPr>
          <w:rFonts w:hint="eastAsia" w:ascii="宋体" w:hAnsi="宋体" w:eastAsia="宋体" w:cs="宋体"/>
          <w:bCs/>
          <w:caps w:val="0"/>
          <w:color w:val="auto"/>
          <w:sz w:val="28"/>
          <w:szCs w:val="28"/>
          <w:highlight w:val="none"/>
        </w:rPr>
        <w:instrText xml:space="preserve"> HYPERLINK \l _Toc1495 </w:instrText>
      </w:r>
      <w:r>
        <w:rPr>
          <w:rFonts w:hint="eastAsia" w:ascii="宋体" w:hAnsi="宋体" w:eastAsia="宋体" w:cs="宋体"/>
          <w:bCs/>
          <w:caps w:val="0"/>
          <w:color w:val="auto"/>
          <w:sz w:val="28"/>
          <w:szCs w:val="28"/>
          <w:highlight w:val="none"/>
        </w:rPr>
        <w:fldChar w:fldCharType="separate"/>
      </w:r>
      <w:r>
        <w:rPr>
          <w:rFonts w:hint="eastAsia" w:ascii="宋体" w:hAnsi="宋体" w:eastAsia="宋体" w:cs="宋体"/>
          <w:color w:val="auto"/>
          <w:sz w:val="28"/>
          <w:szCs w:val="28"/>
          <w:highlight w:val="none"/>
        </w:rPr>
        <w:t xml:space="preserve">第二章  </w:t>
      </w:r>
      <w:r>
        <w:rPr>
          <w:rFonts w:hint="eastAsia" w:ascii="宋体" w:hAnsi="宋体" w:eastAsia="宋体" w:cs="宋体"/>
          <w:bCs/>
          <w:color w:val="auto"/>
          <w:sz w:val="28"/>
          <w:szCs w:val="28"/>
          <w:highlight w:val="none"/>
        </w:rPr>
        <w:t>供应商须知</w:t>
      </w:r>
      <w:r>
        <w:rPr>
          <w:rFonts w:hint="eastAsia" w:cs="宋体"/>
          <w:bCs/>
          <w:color w:val="auto"/>
          <w:sz w:val="28"/>
          <w:szCs w:val="28"/>
          <w:highlight w:val="none"/>
          <w:lang w:val="en-US" w:eastAsia="zh-CN"/>
        </w:rPr>
        <w:t>前附表</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lang w:val="en-US" w:eastAsia="zh-CN"/>
        </w:rPr>
        <w:t>5</w:t>
      </w:r>
      <w:r>
        <w:rPr>
          <w:rFonts w:hint="eastAsia" w:ascii="宋体" w:hAnsi="宋体" w:eastAsia="宋体" w:cs="宋体"/>
          <w:bCs/>
          <w:caps w:val="0"/>
          <w:color w:val="auto"/>
          <w:sz w:val="28"/>
          <w:szCs w:val="28"/>
          <w:highlight w:val="none"/>
        </w:rPr>
        <w:fldChar w:fldCharType="end"/>
      </w:r>
    </w:p>
    <w:p w14:paraId="3887EBA9">
      <w:pPr>
        <w:pStyle w:val="42"/>
        <w:tabs>
          <w:tab w:val="right" w:leader="dot" w:pos="9460"/>
          <w:tab w:val="clear" w:pos="9060"/>
        </w:tabs>
        <w:rPr>
          <w:rFonts w:hint="eastAsia" w:ascii="宋体" w:hAnsi="宋体" w:eastAsia="宋体" w:cs="宋体"/>
          <w:color w:val="auto"/>
          <w:sz w:val="28"/>
          <w:szCs w:val="28"/>
          <w:highlight w:val="none"/>
        </w:rPr>
      </w:pPr>
      <w:r>
        <w:rPr>
          <w:rFonts w:hint="eastAsia" w:ascii="宋体" w:hAnsi="宋体" w:eastAsia="宋体" w:cs="宋体"/>
          <w:bCs/>
          <w:caps w:val="0"/>
          <w:color w:val="auto"/>
          <w:sz w:val="28"/>
          <w:szCs w:val="28"/>
          <w:highlight w:val="none"/>
        </w:rPr>
        <w:fldChar w:fldCharType="begin"/>
      </w:r>
      <w:r>
        <w:rPr>
          <w:rFonts w:hint="eastAsia" w:ascii="宋体" w:hAnsi="宋体" w:eastAsia="宋体" w:cs="宋体"/>
          <w:bCs/>
          <w:caps w:val="0"/>
          <w:color w:val="auto"/>
          <w:sz w:val="28"/>
          <w:szCs w:val="28"/>
          <w:highlight w:val="none"/>
        </w:rPr>
        <w:instrText xml:space="preserve"> HYPERLINK \l _Toc9415 </w:instrText>
      </w:r>
      <w:r>
        <w:rPr>
          <w:rFonts w:hint="eastAsia" w:ascii="宋体" w:hAnsi="宋体" w:eastAsia="宋体" w:cs="宋体"/>
          <w:bCs/>
          <w:caps w:val="0"/>
          <w:color w:val="auto"/>
          <w:sz w:val="28"/>
          <w:szCs w:val="28"/>
          <w:highlight w:val="none"/>
        </w:rPr>
        <w:fldChar w:fldCharType="separate"/>
      </w:r>
      <w:r>
        <w:rPr>
          <w:rFonts w:hint="eastAsia" w:ascii="宋体" w:hAnsi="宋体" w:eastAsia="宋体" w:cs="宋体"/>
          <w:bCs/>
          <w:color w:val="auto"/>
          <w:sz w:val="28"/>
          <w:szCs w:val="28"/>
          <w:highlight w:val="none"/>
        </w:rPr>
        <w:t xml:space="preserve">第三章  </w:t>
      </w:r>
      <w:r>
        <w:rPr>
          <w:rFonts w:hint="eastAsia" w:ascii="宋体" w:hAnsi="宋体" w:eastAsia="宋体" w:cs="宋体"/>
          <w:color w:val="auto"/>
          <w:sz w:val="28"/>
          <w:szCs w:val="28"/>
          <w:highlight w:val="none"/>
        </w:rPr>
        <w:t>采购人需求及技术要求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_Toc9415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w:t>
      </w:r>
      <w:r>
        <w:rPr>
          <w:rFonts w:hint="eastAsia" w:ascii="宋体" w:hAnsi="宋体" w:eastAsia="宋体" w:cs="宋体"/>
          <w:color w:val="auto"/>
          <w:sz w:val="28"/>
          <w:szCs w:val="28"/>
          <w:highlight w:val="none"/>
        </w:rPr>
        <w:fldChar w:fldCharType="end"/>
      </w:r>
      <w:r>
        <w:rPr>
          <w:rFonts w:hint="eastAsia" w:ascii="宋体" w:hAnsi="宋体" w:eastAsia="宋体" w:cs="宋体"/>
          <w:bCs/>
          <w:caps w:val="0"/>
          <w:color w:val="auto"/>
          <w:sz w:val="28"/>
          <w:szCs w:val="28"/>
          <w:highlight w:val="none"/>
        </w:rPr>
        <w:fldChar w:fldCharType="end"/>
      </w:r>
    </w:p>
    <w:p w14:paraId="603FC6B9">
      <w:pPr>
        <w:pStyle w:val="42"/>
        <w:tabs>
          <w:tab w:val="right" w:leader="dot" w:pos="9460"/>
          <w:tab w:val="clear" w:pos="9060"/>
        </w:tabs>
        <w:rPr>
          <w:rFonts w:hint="eastAsia" w:ascii="宋体" w:hAnsi="宋体" w:eastAsia="宋体" w:cs="宋体"/>
          <w:color w:val="auto"/>
          <w:sz w:val="28"/>
          <w:szCs w:val="28"/>
          <w:highlight w:val="none"/>
        </w:rPr>
      </w:pPr>
      <w:r>
        <w:rPr>
          <w:rFonts w:hint="eastAsia" w:ascii="宋体" w:hAnsi="宋体" w:eastAsia="宋体" w:cs="宋体"/>
          <w:bCs/>
          <w:caps w:val="0"/>
          <w:color w:val="auto"/>
          <w:sz w:val="28"/>
          <w:szCs w:val="28"/>
          <w:highlight w:val="none"/>
        </w:rPr>
        <w:fldChar w:fldCharType="begin"/>
      </w:r>
      <w:r>
        <w:rPr>
          <w:rFonts w:hint="eastAsia" w:ascii="宋体" w:hAnsi="宋体" w:eastAsia="宋体" w:cs="宋体"/>
          <w:bCs/>
          <w:caps w:val="0"/>
          <w:color w:val="auto"/>
          <w:sz w:val="28"/>
          <w:szCs w:val="28"/>
          <w:highlight w:val="none"/>
        </w:rPr>
        <w:instrText xml:space="preserve"> HYPERLINK \l _Toc349 </w:instrText>
      </w:r>
      <w:r>
        <w:rPr>
          <w:rFonts w:hint="eastAsia" w:ascii="宋体" w:hAnsi="宋体" w:eastAsia="宋体" w:cs="宋体"/>
          <w:bCs/>
          <w:caps w:val="0"/>
          <w:color w:val="auto"/>
          <w:sz w:val="28"/>
          <w:szCs w:val="28"/>
          <w:highlight w:val="none"/>
        </w:rPr>
        <w:fldChar w:fldCharType="separate"/>
      </w:r>
      <w:r>
        <w:rPr>
          <w:rFonts w:hint="eastAsia" w:ascii="宋体" w:hAnsi="宋体" w:eastAsia="宋体" w:cs="宋体"/>
          <w:bCs/>
          <w:color w:val="auto"/>
          <w:sz w:val="28"/>
          <w:szCs w:val="28"/>
          <w:highlight w:val="none"/>
        </w:rPr>
        <w:t>第四章  合同协议书（格式）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_Toc349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33</w:t>
      </w:r>
      <w:r>
        <w:rPr>
          <w:rFonts w:hint="eastAsia" w:ascii="宋体" w:hAnsi="宋体" w:eastAsia="宋体" w:cs="宋体"/>
          <w:color w:val="auto"/>
          <w:sz w:val="28"/>
          <w:szCs w:val="28"/>
          <w:highlight w:val="none"/>
        </w:rPr>
        <w:fldChar w:fldCharType="end"/>
      </w:r>
      <w:r>
        <w:rPr>
          <w:rFonts w:hint="eastAsia" w:ascii="宋体" w:hAnsi="宋体" w:eastAsia="宋体" w:cs="宋体"/>
          <w:bCs/>
          <w:caps w:val="0"/>
          <w:color w:val="auto"/>
          <w:sz w:val="28"/>
          <w:szCs w:val="28"/>
          <w:highlight w:val="none"/>
        </w:rPr>
        <w:fldChar w:fldCharType="end"/>
      </w:r>
    </w:p>
    <w:p w14:paraId="66A71999">
      <w:pPr>
        <w:pStyle w:val="42"/>
        <w:tabs>
          <w:tab w:val="right" w:leader="dot" w:pos="9460"/>
          <w:tab w:val="clear" w:pos="9060"/>
        </w:tabs>
        <w:rPr>
          <w:rFonts w:hint="eastAsia" w:ascii="宋体" w:hAnsi="宋体" w:eastAsia="宋体" w:cs="宋体"/>
          <w:color w:val="auto"/>
          <w:sz w:val="28"/>
          <w:szCs w:val="28"/>
          <w:highlight w:val="none"/>
        </w:rPr>
      </w:pPr>
      <w:r>
        <w:rPr>
          <w:rFonts w:hint="eastAsia" w:ascii="宋体" w:hAnsi="宋体" w:eastAsia="宋体" w:cs="宋体"/>
          <w:bCs/>
          <w:caps w:val="0"/>
          <w:color w:val="auto"/>
          <w:sz w:val="28"/>
          <w:szCs w:val="28"/>
          <w:highlight w:val="none"/>
        </w:rPr>
        <w:fldChar w:fldCharType="begin"/>
      </w:r>
      <w:r>
        <w:rPr>
          <w:rFonts w:hint="eastAsia" w:ascii="宋体" w:hAnsi="宋体" w:eastAsia="宋体" w:cs="宋体"/>
          <w:bCs/>
          <w:caps w:val="0"/>
          <w:color w:val="auto"/>
          <w:sz w:val="28"/>
          <w:szCs w:val="28"/>
          <w:highlight w:val="none"/>
        </w:rPr>
        <w:instrText xml:space="preserve"> HYPERLINK \l _Toc7002 </w:instrText>
      </w:r>
      <w:r>
        <w:rPr>
          <w:rFonts w:hint="eastAsia" w:ascii="宋体" w:hAnsi="宋体" w:eastAsia="宋体" w:cs="宋体"/>
          <w:bCs/>
          <w:caps w:val="0"/>
          <w:color w:val="auto"/>
          <w:sz w:val="28"/>
          <w:szCs w:val="28"/>
          <w:highlight w:val="none"/>
        </w:rPr>
        <w:fldChar w:fldCharType="separate"/>
      </w:r>
      <w:r>
        <w:rPr>
          <w:rFonts w:hint="eastAsia" w:ascii="宋体" w:hAnsi="宋体" w:eastAsia="宋体" w:cs="宋体"/>
          <w:bCs/>
          <w:color w:val="auto"/>
          <w:sz w:val="28"/>
          <w:szCs w:val="28"/>
          <w:highlight w:val="none"/>
        </w:rPr>
        <w:t>第五章  响应文件部分格式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_Toc7002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64</w:t>
      </w:r>
      <w:r>
        <w:rPr>
          <w:rFonts w:hint="eastAsia" w:ascii="宋体" w:hAnsi="宋体" w:eastAsia="宋体" w:cs="宋体"/>
          <w:color w:val="auto"/>
          <w:sz w:val="28"/>
          <w:szCs w:val="28"/>
          <w:highlight w:val="none"/>
        </w:rPr>
        <w:fldChar w:fldCharType="end"/>
      </w:r>
      <w:r>
        <w:rPr>
          <w:rFonts w:hint="eastAsia" w:ascii="宋体" w:hAnsi="宋体" w:eastAsia="宋体" w:cs="宋体"/>
          <w:bCs/>
          <w:caps w:val="0"/>
          <w:color w:val="auto"/>
          <w:sz w:val="28"/>
          <w:szCs w:val="28"/>
          <w:highlight w:val="none"/>
        </w:rPr>
        <w:fldChar w:fldCharType="end"/>
      </w:r>
    </w:p>
    <w:p w14:paraId="6282AB63">
      <w:pPr>
        <w:tabs>
          <w:tab w:val="right" w:pos="7560"/>
        </w:tabs>
        <w:spacing w:line="480" w:lineRule="auto"/>
        <w:jc w:val="left"/>
        <w:rPr>
          <w:rFonts w:hint="eastAsia" w:ascii="宋体" w:hAnsi="宋体" w:eastAsia="宋体" w:cs="宋体"/>
          <w:bCs/>
          <w:caps/>
          <w:color w:val="auto"/>
          <w:sz w:val="28"/>
          <w:szCs w:val="28"/>
          <w:highlight w:val="none"/>
        </w:rPr>
      </w:pPr>
      <w:r>
        <w:rPr>
          <w:rFonts w:hint="eastAsia" w:ascii="宋体" w:hAnsi="宋体" w:eastAsia="宋体" w:cs="宋体"/>
          <w:bCs/>
          <w:caps/>
          <w:color w:val="auto"/>
          <w:sz w:val="28"/>
          <w:szCs w:val="28"/>
          <w:highlight w:val="none"/>
        </w:rPr>
        <w:fldChar w:fldCharType="end"/>
      </w:r>
    </w:p>
    <w:p w14:paraId="04F9529C">
      <w:pPr>
        <w:tabs>
          <w:tab w:val="right" w:pos="7560"/>
        </w:tabs>
        <w:spacing w:line="360" w:lineRule="auto"/>
        <w:jc w:val="center"/>
        <w:outlineLvl w:val="0"/>
        <w:rPr>
          <w:rFonts w:hint="eastAsia" w:ascii="宋体" w:hAnsi="宋体" w:eastAsia="宋体" w:cs="宋体"/>
          <w:b/>
          <w:bCs/>
          <w:color w:val="auto"/>
          <w:sz w:val="28"/>
          <w:szCs w:val="28"/>
          <w:highlight w:val="none"/>
        </w:rPr>
        <w:sectPr>
          <w:headerReference r:id="rId8" w:type="first"/>
          <w:footerReference r:id="rId10" w:type="first"/>
          <w:footerReference r:id="rId9" w:type="default"/>
          <w:pgSz w:w="11907" w:h="16840"/>
          <w:pgMar w:top="1418" w:right="1304" w:bottom="1418" w:left="1418" w:header="851" w:footer="1191" w:gutter="0"/>
          <w:pgNumType w:fmt="decimal" w:start="1"/>
          <w:cols w:space="720" w:num="1"/>
          <w:titlePg/>
          <w:docGrid w:linePitch="462" w:charSpace="0"/>
        </w:sectPr>
      </w:pPr>
      <w:bookmarkStart w:id="1" w:name="_Toc449115768"/>
      <w:bookmarkStart w:id="2" w:name="_Toc24668"/>
      <w:bookmarkStart w:id="3" w:name="_Toc13314"/>
      <w:bookmarkStart w:id="4" w:name="_Toc6487306"/>
    </w:p>
    <w:p w14:paraId="0E180678">
      <w:pPr>
        <w:tabs>
          <w:tab w:val="right" w:pos="7560"/>
        </w:tabs>
        <w:spacing w:line="360" w:lineRule="auto"/>
        <w:ind w:left="0" w:leftChars="0" w:firstLine="0" w:firstLineChars="0"/>
        <w:jc w:val="center"/>
        <w:outlineLvl w:val="0"/>
        <w:rPr>
          <w:rFonts w:hint="eastAsia" w:ascii="宋体" w:hAnsi="宋体" w:eastAsia="宋体" w:cs="宋体"/>
          <w:b/>
          <w:bCs/>
          <w:color w:val="auto"/>
          <w:sz w:val="28"/>
          <w:szCs w:val="28"/>
          <w:highlight w:val="none"/>
        </w:rPr>
      </w:pPr>
      <w:bookmarkStart w:id="5" w:name="OLE_LINK15"/>
      <w:r>
        <w:rPr>
          <w:rFonts w:hint="eastAsia" w:ascii="宋体" w:hAnsi="宋体" w:eastAsia="宋体" w:cs="宋体"/>
          <w:b/>
          <w:bCs/>
          <w:color w:val="auto"/>
          <w:sz w:val="28"/>
          <w:szCs w:val="28"/>
          <w:highlight w:val="none"/>
        </w:rPr>
        <w:t>第一章  竞争性磋商公告</w:t>
      </w:r>
      <w:bookmarkEnd w:id="1"/>
      <w:bookmarkEnd w:id="2"/>
      <w:bookmarkEnd w:id="3"/>
      <w:bookmarkEnd w:id="4"/>
    </w:p>
    <w:p w14:paraId="0E07571A">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4D6C2F88">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cs="宋体"/>
          <w:color w:val="auto"/>
          <w:sz w:val="24"/>
          <w:szCs w:val="24"/>
          <w:highlight w:val="none"/>
          <w:lang w:eastAsia="zh-CN"/>
        </w:rPr>
        <w:t>郑州市上街区教育局采购智慧黑板及教室护眼灯设备项目</w:t>
      </w:r>
      <w:r>
        <w:rPr>
          <w:rFonts w:hint="eastAsia" w:ascii="宋体" w:hAnsi="宋体" w:eastAsia="宋体" w:cs="宋体"/>
          <w:color w:val="auto"/>
          <w:sz w:val="24"/>
          <w:szCs w:val="24"/>
          <w:highlight w:val="none"/>
        </w:rPr>
        <w:t>的潜在供应商应在“郑州市公共资源交易中心网站（https://zzggzy.zhengzhou.gov.cn）”获取磋商文件，并于202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cs="宋体"/>
          <w:color w:val="auto"/>
          <w:sz w:val="24"/>
          <w:szCs w:val="24"/>
          <w:highlight w:val="none"/>
          <w:lang w:val="en-US" w:eastAsia="zh-CN"/>
        </w:rPr>
        <w:t>07</w:t>
      </w:r>
      <w:r>
        <w:rPr>
          <w:rFonts w:hint="eastAsia" w:ascii="宋体" w:hAnsi="宋体" w:eastAsia="宋体" w:cs="宋体"/>
          <w:color w:val="auto"/>
          <w:sz w:val="24"/>
          <w:szCs w:val="24"/>
          <w:highlight w:val="none"/>
          <w:lang w:val="en-US" w:eastAsia="zh-CN"/>
        </w:rPr>
        <w:t>月</w:t>
      </w:r>
      <w:r>
        <w:rPr>
          <w:rFonts w:hint="eastAsia" w:cs="宋体"/>
          <w:color w:val="auto"/>
          <w:sz w:val="24"/>
          <w:szCs w:val="24"/>
          <w:highlight w:val="none"/>
          <w:lang w:val="en-US" w:eastAsia="zh-CN"/>
        </w:rPr>
        <w:t>23</w:t>
      </w:r>
      <w:r>
        <w:rPr>
          <w:rFonts w:hint="eastAsia" w:ascii="宋体" w:hAnsi="宋体" w:eastAsia="宋体" w:cs="宋体"/>
          <w:color w:val="auto"/>
          <w:sz w:val="24"/>
          <w:szCs w:val="24"/>
          <w:highlight w:val="none"/>
          <w:lang w:val="en-US" w:eastAsia="zh-CN"/>
        </w:rPr>
        <w:t>日</w:t>
      </w:r>
      <w:r>
        <w:rPr>
          <w:rFonts w:hint="eastAsia" w:cs="宋体"/>
          <w:color w:val="auto"/>
          <w:sz w:val="24"/>
          <w:szCs w:val="24"/>
          <w:highlight w:val="none"/>
          <w:lang w:val="en-US" w:eastAsia="zh-CN"/>
        </w:rPr>
        <w:t>09</w:t>
      </w:r>
      <w:r>
        <w:rPr>
          <w:rFonts w:hint="eastAsia" w:ascii="宋体" w:hAnsi="宋体" w:eastAsia="宋体" w:cs="宋体"/>
          <w:color w:val="auto"/>
          <w:sz w:val="24"/>
          <w:szCs w:val="24"/>
          <w:highlight w:val="none"/>
        </w:rPr>
        <w:t>时</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0分（北京时间）前递交响应文件。</w:t>
      </w:r>
    </w:p>
    <w:p w14:paraId="7899B765">
      <w:pPr>
        <w:widowControl/>
        <w:spacing w:line="360" w:lineRule="auto"/>
        <w:ind w:left="0" w:leftChars="0" w:firstLine="0" w:firstLineChars="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一、项目基本情况</w:t>
      </w:r>
    </w:p>
    <w:p w14:paraId="272C115D">
      <w:pPr>
        <w:widowControl/>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1、项目编号：</w:t>
      </w:r>
      <w:r>
        <w:rPr>
          <w:rFonts w:hint="eastAsia" w:ascii="宋体" w:hAnsi="宋体" w:eastAsia="宋体" w:cs="宋体"/>
          <w:color w:val="auto"/>
          <w:sz w:val="24"/>
          <w:szCs w:val="24"/>
          <w:highlight w:val="none"/>
          <w:lang w:val="en-US" w:eastAsia="zh-CN"/>
        </w:rPr>
        <w:t>郑上财-磋商-【2025】-14</w:t>
      </w:r>
    </w:p>
    <w:p w14:paraId="2557EE58">
      <w:pPr>
        <w:widowControl/>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2、项目名称：</w:t>
      </w:r>
      <w:r>
        <w:rPr>
          <w:rFonts w:hint="eastAsia" w:cs="宋体"/>
          <w:color w:val="auto"/>
          <w:sz w:val="24"/>
          <w:szCs w:val="24"/>
          <w:highlight w:val="none"/>
          <w:lang w:eastAsia="zh-CN"/>
        </w:rPr>
        <w:t>郑州市上街区教育局采购智慧黑板及教室护眼灯设备项目</w:t>
      </w:r>
    </w:p>
    <w:p w14:paraId="6EEB98B4">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3、采购方式：竞争性磋商</w:t>
      </w:r>
    </w:p>
    <w:p w14:paraId="44E65D57">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4、预算金额：</w:t>
      </w:r>
      <w:r>
        <w:rPr>
          <w:rFonts w:hint="eastAsia" w:cs="宋体"/>
          <w:color w:val="auto"/>
          <w:sz w:val="24"/>
          <w:szCs w:val="24"/>
          <w:highlight w:val="none"/>
          <w:lang w:val="en-US" w:eastAsia="zh-CN"/>
        </w:rPr>
        <w:t>1300000</w:t>
      </w:r>
      <w:r>
        <w:rPr>
          <w:rFonts w:hint="eastAsia" w:ascii="宋体" w:hAnsi="宋体" w:eastAsia="宋体" w:cs="宋体"/>
          <w:color w:val="auto"/>
          <w:sz w:val="24"/>
          <w:szCs w:val="24"/>
          <w:highlight w:val="none"/>
        </w:rPr>
        <w:t>.00元</w:t>
      </w:r>
    </w:p>
    <w:p w14:paraId="7EC3B900">
      <w:pPr>
        <w:widowControl/>
        <w:spacing w:line="360" w:lineRule="auto"/>
        <w:ind w:firstLine="960" w:firstLineChars="4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r>
        <w:rPr>
          <w:rFonts w:hint="eastAsia" w:cs="宋体"/>
          <w:color w:val="auto"/>
          <w:sz w:val="24"/>
          <w:szCs w:val="24"/>
          <w:highlight w:val="none"/>
          <w:lang w:val="en-US" w:eastAsia="zh-CN"/>
        </w:rPr>
        <w:t>1300000</w:t>
      </w:r>
      <w:r>
        <w:rPr>
          <w:rFonts w:hint="eastAsia" w:ascii="宋体" w:hAnsi="宋体" w:eastAsia="宋体" w:cs="宋体"/>
          <w:color w:val="auto"/>
          <w:sz w:val="24"/>
          <w:szCs w:val="24"/>
          <w:highlight w:val="none"/>
        </w:rPr>
        <w:t>.00元</w:t>
      </w:r>
    </w:p>
    <w:tbl>
      <w:tblPr>
        <w:tblStyle w:val="62"/>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966"/>
        <w:gridCol w:w="2702"/>
        <w:gridCol w:w="2480"/>
        <w:gridCol w:w="2315"/>
      </w:tblGrid>
      <w:tr w14:paraId="73BA6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861" w:type="dxa"/>
            <w:noWrap w:val="0"/>
            <w:vAlign w:val="top"/>
          </w:tcPr>
          <w:p w14:paraId="13974FE6">
            <w:pPr>
              <w:bidi w:val="0"/>
              <w:ind w:left="0" w:leftChars="0" w:firstLine="0" w:firstLineChars="0"/>
              <w:jc w:val="center"/>
              <w:rPr>
                <w:rFonts w:hint="eastAsia" w:ascii="宋体" w:hAnsi="宋体" w:eastAsia="宋体" w:cs="宋体"/>
                <w:b w:val="0"/>
                <w:bCs w:val="0"/>
                <w:color w:val="auto"/>
                <w:sz w:val="24"/>
                <w:szCs w:val="24"/>
                <w:highlight w:val="none"/>
              </w:rPr>
            </w:pPr>
            <w:r>
              <w:rPr>
                <w:color w:val="auto"/>
                <w:sz w:val="24"/>
                <w:szCs w:val="24"/>
                <w:highlight w:val="none"/>
              </w:rPr>
              <w:t>序号</w:t>
            </w:r>
          </w:p>
        </w:tc>
        <w:tc>
          <w:tcPr>
            <w:tcW w:w="966" w:type="dxa"/>
            <w:noWrap w:val="0"/>
            <w:vAlign w:val="top"/>
          </w:tcPr>
          <w:p w14:paraId="62E29980">
            <w:pPr>
              <w:bidi w:val="0"/>
              <w:ind w:left="0" w:leftChars="0" w:firstLine="0" w:firstLineChars="0"/>
              <w:jc w:val="center"/>
              <w:rPr>
                <w:rFonts w:hint="eastAsia" w:ascii="宋体" w:hAnsi="宋体" w:eastAsia="宋体" w:cs="宋体"/>
                <w:b w:val="0"/>
                <w:bCs w:val="0"/>
                <w:color w:val="auto"/>
                <w:sz w:val="24"/>
                <w:szCs w:val="24"/>
                <w:highlight w:val="none"/>
              </w:rPr>
            </w:pPr>
            <w:r>
              <w:rPr>
                <w:color w:val="auto"/>
                <w:sz w:val="24"/>
                <w:szCs w:val="24"/>
                <w:highlight w:val="none"/>
              </w:rPr>
              <w:t>包号</w:t>
            </w:r>
          </w:p>
        </w:tc>
        <w:tc>
          <w:tcPr>
            <w:tcW w:w="2702" w:type="dxa"/>
            <w:noWrap w:val="0"/>
            <w:vAlign w:val="top"/>
          </w:tcPr>
          <w:p w14:paraId="2011D19D">
            <w:pPr>
              <w:bidi w:val="0"/>
              <w:ind w:left="0" w:leftChars="0" w:firstLine="0" w:firstLineChars="0"/>
              <w:jc w:val="center"/>
              <w:rPr>
                <w:rFonts w:hint="eastAsia" w:ascii="宋体" w:hAnsi="宋体" w:eastAsia="宋体" w:cs="宋体"/>
                <w:b w:val="0"/>
                <w:bCs w:val="0"/>
                <w:color w:val="auto"/>
                <w:sz w:val="24"/>
                <w:szCs w:val="24"/>
                <w:highlight w:val="none"/>
              </w:rPr>
            </w:pPr>
            <w:r>
              <w:rPr>
                <w:color w:val="auto"/>
                <w:sz w:val="24"/>
                <w:szCs w:val="24"/>
                <w:highlight w:val="none"/>
              </w:rPr>
              <w:t>包名称</w:t>
            </w:r>
          </w:p>
        </w:tc>
        <w:tc>
          <w:tcPr>
            <w:tcW w:w="2480" w:type="dxa"/>
            <w:noWrap w:val="0"/>
            <w:vAlign w:val="top"/>
          </w:tcPr>
          <w:p w14:paraId="476C3188">
            <w:pPr>
              <w:bidi w:val="0"/>
              <w:ind w:left="0" w:leftChars="0" w:firstLine="0" w:firstLineChars="0"/>
              <w:jc w:val="center"/>
              <w:rPr>
                <w:rFonts w:hint="eastAsia" w:ascii="宋体" w:hAnsi="宋体" w:eastAsia="宋体" w:cs="宋体"/>
                <w:b w:val="0"/>
                <w:bCs w:val="0"/>
                <w:color w:val="auto"/>
                <w:sz w:val="24"/>
                <w:szCs w:val="24"/>
                <w:highlight w:val="none"/>
              </w:rPr>
            </w:pPr>
            <w:r>
              <w:rPr>
                <w:color w:val="auto"/>
                <w:sz w:val="24"/>
                <w:szCs w:val="24"/>
                <w:highlight w:val="none"/>
              </w:rPr>
              <w:t>包预算（元）</w:t>
            </w:r>
          </w:p>
        </w:tc>
        <w:tc>
          <w:tcPr>
            <w:tcW w:w="2315" w:type="dxa"/>
            <w:noWrap w:val="0"/>
            <w:vAlign w:val="top"/>
          </w:tcPr>
          <w:p w14:paraId="1342C019">
            <w:pPr>
              <w:bidi w:val="0"/>
              <w:ind w:left="0" w:leftChars="0" w:firstLine="0" w:firstLineChars="0"/>
              <w:jc w:val="center"/>
              <w:rPr>
                <w:rFonts w:hint="eastAsia" w:ascii="宋体" w:hAnsi="宋体" w:eastAsia="宋体" w:cs="宋体"/>
                <w:b w:val="0"/>
                <w:bCs w:val="0"/>
                <w:color w:val="auto"/>
                <w:sz w:val="24"/>
                <w:szCs w:val="24"/>
                <w:highlight w:val="none"/>
              </w:rPr>
            </w:pPr>
            <w:r>
              <w:rPr>
                <w:color w:val="auto"/>
                <w:sz w:val="24"/>
                <w:szCs w:val="24"/>
                <w:highlight w:val="none"/>
              </w:rPr>
              <w:t>包最高限价（元）</w:t>
            </w:r>
          </w:p>
        </w:tc>
      </w:tr>
      <w:tr w14:paraId="711EF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861" w:type="dxa"/>
            <w:noWrap w:val="0"/>
            <w:vAlign w:val="top"/>
          </w:tcPr>
          <w:p w14:paraId="706207B4">
            <w:pPr>
              <w:bidi w:val="0"/>
              <w:ind w:left="0" w:leftChars="0" w:firstLine="0" w:firstLineChars="0"/>
              <w:jc w:val="center"/>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1</w:t>
            </w:r>
          </w:p>
        </w:tc>
        <w:tc>
          <w:tcPr>
            <w:tcW w:w="966" w:type="dxa"/>
            <w:noWrap w:val="0"/>
            <w:vAlign w:val="top"/>
          </w:tcPr>
          <w:p w14:paraId="514F426F">
            <w:pPr>
              <w:bidi w:val="0"/>
              <w:ind w:left="0" w:leftChars="0" w:firstLine="0" w:firstLineChars="0"/>
              <w:jc w:val="center"/>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en-US" w:eastAsia="zh-CN"/>
              </w:rPr>
              <w:t>A包</w:t>
            </w:r>
          </w:p>
        </w:tc>
        <w:tc>
          <w:tcPr>
            <w:tcW w:w="2702" w:type="dxa"/>
            <w:noWrap w:val="0"/>
            <w:vAlign w:val="top"/>
          </w:tcPr>
          <w:p w14:paraId="5A884762">
            <w:pPr>
              <w:bidi w:val="0"/>
              <w:ind w:left="0" w:leftChars="0" w:firstLine="0" w:firstLineChars="0"/>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szCs w:val="24"/>
                <w:highlight w:val="none"/>
                <w:lang w:eastAsia="zh-CN"/>
              </w:rPr>
              <w:t>智慧黑板设备</w:t>
            </w:r>
          </w:p>
        </w:tc>
        <w:tc>
          <w:tcPr>
            <w:tcW w:w="2480" w:type="dxa"/>
            <w:noWrap w:val="0"/>
            <w:vAlign w:val="top"/>
          </w:tcPr>
          <w:p w14:paraId="5839A604">
            <w:pPr>
              <w:bidi w:val="0"/>
              <w:ind w:left="0" w:leftChars="0" w:firstLine="0" w:firstLineChars="0"/>
              <w:jc w:val="center"/>
              <w:rPr>
                <w:rFonts w:hint="eastAsia" w:ascii="宋体" w:hAnsi="宋体" w:eastAsia="宋体" w:cs="宋体"/>
                <w:b w:val="0"/>
                <w:bCs w:val="0"/>
                <w:color w:val="auto"/>
                <w:sz w:val="24"/>
                <w:szCs w:val="24"/>
                <w:highlight w:val="none"/>
                <w:lang w:eastAsia="zh-CN"/>
              </w:rPr>
            </w:pPr>
            <w:r>
              <w:rPr>
                <w:rFonts w:hint="eastAsia" w:ascii="宋体" w:hAnsi="宋体" w:cs="宋体"/>
                <w:color w:val="auto"/>
                <w:sz w:val="24"/>
                <w:szCs w:val="24"/>
                <w:highlight w:val="none"/>
                <w:lang w:val="en-US" w:eastAsia="zh-CN"/>
              </w:rPr>
              <w:t>900000.00</w:t>
            </w:r>
          </w:p>
        </w:tc>
        <w:tc>
          <w:tcPr>
            <w:tcW w:w="2315" w:type="dxa"/>
            <w:noWrap w:val="0"/>
            <w:vAlign w:val="top"/>
          </w:tcPr>
          <w:p w14:paraId="303A1C9B">
            <w:pPr>
              <w:bidi w:val="0"/>
              <w:ind w:left="0" w:leftChars="0" w:firstLine="0" w:firstLineChars="0"/>
              <w:jc w:val="center"/>
              <w:rPr>
                <w:rFonts w:hint="eastAsia" w:ascii="宋体" w:hAnsi="宋体" w:eastAsia="宋体" w:cs="宋体"/>
                <w:b w:val="0"/>
                <w:bCs w:val="0"/>
                <w:color w:val="auto"/>
                <w:sz w:val="24"/>
                <w:szCs w:val="24"/>
                <w:highlight w:val="none"/>
                <w:lang w:eastAsia="zh-CN"/>
              </w:rPr>
            </w:pPr>
            <w:r>
              <w:rPr>
                <w:rFonts w:hint="eastAsia" w:ascii="宋体" w:hAnsi="宋体" w:cs="宋体"/>
                <w:color w:val="auto"/>
                <w:sz w:val="24"/>
                <w:szCs w:val="24"/>
                <w:highlight w:val="none"/>
                <w:lang w:val="en-US" w:eastAsia="zh-CN"/>
              </w:rPr>
              <w:t>900000.00</w:t>
            </w:r>
          </w:p>
        </w:tc>
      </w:tr>
      <w:tr w14:paraId="09308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861" w:type="dxa"/>
            <w:noWrap w:val="0"/>
            <w:vAlign w:val="top"/>
          </w:tcPr>
          <w:p w14:paraId="4C88AB38">
            <w:pPr>
              <w:bidi w:val="0"/>
              <w:ind w:left="0" w:leftChars="0" w:firstLine="0" w:firstLineChars="0"/>
              <w:jc w:val="center"/>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en-US" w:eastAsia="zh-CN"/>
              </w:rPr>
              <w:t>2</w:t>
            </w:r>
          </w:p>
        </w:tc>
        <w:tc>
          <w:tcPr>
            <w:tcW w:w="966" w:type="dxa"/>
            <w:noWrap w:val="0"/>
            <w:vAlign w:val="top"/>
          </w:tcPr>
          <w:p w14:paraId="434065B3">
            <w:pPr>
              <w:bidi w:val="0"/>
              <w:ind w:left="0" w:leftChars="0" w:firstLine="0" w:firstLineChars="0"/>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szCs w:val="24"/>
                <w:highlight w:val="none"/>
                <w:lang w:val="en-US" w:eastAsia="zh-CN"/>
              </w:rPr>
              <w:t>B包</w:t>
            </w:r>
          </w:p>
        </w:tc>
        <w:tc>
          <w:tcPr>
            <w:tcW w:w="2702" w:type="dxa"/>
            <w:noWrap w:val="0"/>
            <w:vAlign w:val="top"/>
          </w:tcPr>
          <w:p w14:paraId="07B664E8">
            <w:pPr>
              <w:bidi w:val="0"/>
              <w:ind w:left="0" w:leftChars="0" w:firstLine="0" w:firstLineChars="0"/>
              <w:jc w:val="center"/>
              <w:rPr>
                <w:rFonts w:hint="eastAsia" w:cs="宋体"/>
                <w:b w:val="0"/>
                <w:bCs w:val="0"/>
                <w:color w:val="auto"/>
                <w:sz w:val="24"/>
                <w:szCs w:val="24"/>
                <w:highlight w:val="none"/>
                <w:lang w:eastAsia="zh-CN"/>
              </w:rPr>
            </w:pPr>
            <w:r>
              <w:rPr>
                <w:rFonts w:hint="eastAsia" w:ascii="宋体" w:hAnsi="宋体" w:eastAsia="宋体" w:cs="宋体"/>
                <w:color w:val="auto"/>
                <w:sz w:val="24"/>
                <w:szCs w:val="24"/>
                <w:highlight w:val="none"/>
                <w:lang w:eastAsia="zh-CN"/>
              </w:rPr>
              <w:t>教室护眼灯设备</w:t>
            </w:r>
          </w:p>
        </w:tc>
        <w:tc>
          <w:tcPr>
            <w:tcW w:w="2480" w:type="dxa"/>
            <w:noWrap w:val="0"/>
            <w:vAlign w:val="top"/>
          </w:tcPr>
          <w:p w14:paraId="3589784F">
            <w:pPr>
              <w:bidi w:val="0"/>
              <w:ind w:left="0" w:leftChars="0" w:firstLine="0" w:firstLineChars="0"/>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color w:val="auto"/>
                <w:sz w:val="24"/>
                <w:szCs w:val="24"/>
                <w:highlight w:val="none"/>
                <w:lang w:val="en-US" w:eastAsia="zh-CN"/>
              </w:rPr>
              <w:t>400000.00</w:t>
            </w:r>
          </w:p>
        </w:tc>
        <w:tc>
          <w:tcPr>
            <w:tcW w:w="2315" w:type="dxa"/>
            <w:noWrap w:val="0"/>
            <w:vAlign w:val="top"/>
          </w:tcPr>
          <w:p w14:paraId="1D0B7CD4">
            <w:pPr>
              <w:bidi w:val="0"/>
              <w:ind w:left="0" w:leftChars="0" w:firstLine="0" w:firstLineChars="0"/>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color w:val="auto"/>
                <w:sz w:val="24"/>
                <w:szCs w:val="24"/>
                <w:highlight w:val="none"/>
                <w:lang w:val="en-US" w:eastAsia="zh-CN"/>
              </w:rPr>
              <w:t>400000.00</w:t>
            </w:r>
          </w:p>
        </w:tc>
      </w:tr>
    </w:tbl>
    <w:p w14:paraId="5D7FD9F7">
      <w:pPr>
        <w:widowControl/>
        <w:numPr>
          <w:ilvl w:val="0"/>
          <w:numId w:val="0"/>
        </w:numPr>
        <w:spacing w:line="360" w:lineRule="auto"/>
        <w:ind w:firstLine="480" w:firstLineChars="200"/>
        <w:jc w:val="left"/>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rPr>
        <w:t>采购需求（包括但不限于标的的名称、数量、简要技术需求或服务要求等）</w:t>
      </w:r>
    </w:p>
    <w:p w14:paraId="1F5B4051">
      <w:pPr>
        <w:widowControl/>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w:t>
      </w:r>
      <w:r>
        <w:rPr>
          <w:rFonts w:hint="eastAsia" w:ascii="宋体" w:hAnsi="宋体" w:eastAsia="宋体" w:cs="宋体"/>
          <w:color w:val="auto"/>
          <w:sz w:val="24"/>
          <w:szCs w:val="24"/>
          <w:highlight w:val="none"/>
        </w:rPr>
        <w:t>采购内容及数量：</w:t>
      </w:r>
      <w:r>
        <w:rPr>
          <w:rFonts w:hint="eastAsia" w:ascii="宋体" w:hAnsi="宋体" w:eastAsia="宋体" w:cs="宋体"/>
          <w:color w:val="auto"/>
          <w:sz w:val="24"/>
          <w:szCs w:val="24"/>
          <w:highlight w:val="none"/>
          <w:lang w:eastAsia="zh-CN"/>
        </w:rPr>
        <w:t>郑州市上街区教育局采购智慧黑板及教室护眼灯设备</w:t>
      </w:r>
      <w:r>
        <w:rPr>
          <w:rFonts w:hint="eastAsia" w:ascii="宋体" w:hAnsi="宋体" w:eastAsia="宋体" w:cs="宋体"/>
          <w:color w:val="auto"/>
          <w:sz w:val="24"/>
          <w:szCs w:val="24"/>
          <w:highlight w:val="none"/>
          <w:lang w:val="en-US" w:eastAsia="zh-CN"/>
        </w:rPr>
        <w:t>购置，其中：</w:t>
      </w:r>
      <w:r>
        <w:rPr>
          <w:rFonts w:hint="eastAsia" w:ascii="宋体" w:hAnsi="宋体" w:eastAsia="宋体" w:cs="宋体"/>
          <w:color w:val="auto"/>
          <w:sz w:val="24"/>
          <w:szCs w:val="24"/>
          <w:highlight w:val="none"/>
        </w:rPr>
        <w:t>智慧黑板采购、安装及</w:t>
      </w:r>
      <w:r>
        <w:rPr>
          <w:rFonts w:hint="eastAsia" w:ascii="宋体" w:hAnsi="宋体" w:eastAsia="宋体" w:cs="宋体"/>
          <w:color w:val="auto"/>
          <w:sz w:val="24"/>
          <w:szCs w:val="24"/>
          <w:highlight w:val="none"/>
          <w:lang w:val="en-US" w:eastAsia="zh-CN"/>
        </w:rPr>
        <w:t>售后</w:t>
      </w:r>
      <w:r>
        <w:rPr>
          <w:rFonts w:hint="eastAsia" w:ascii="宋体" w:hAnsi="宋体" w:eastAsia="宋体" w:cs="宋体"/>
          <w:color w:val="auto"/>
          <w:sz w:val="24"/>
          <w:szCs w:val="24"/>
          <w:highlight w:val="none"/>
        </w:rPr>
        <w:t>服务</w:t>
      </w:r>
      <w:r>
        <w:rPr>
          <w:rFonts w:hint="eastAsia" w:ascii="宋体" w:hAnsi="宋体" w:eastAsia="宋体" w:cs="宋体"/>
          <w:color w:val="auto"/>
          <w:sz w:val="24"/>
          <w:szCs w:val="24"/>
          <w:highlight w:val="none"/>
          <w:lang w:val="en-US" w:eastAsia="zh-CN"/>
        </w:rPr>
        <w:t>共30套，含拆除原有的教学设备30套并安装到指定位置；</w:t>
      </w:r>
      <w:r>
        <w:rPr>
          <w:rFonts w:hint="eastAsia" w:ascii="宋体" w:hAnsi="宋体" w:eastAsia="宋体" w:cs="宋体"/>
          <w:color w:val="auto"/>
          <w:sz w:val="24"/>
          <w:szCs w:val="24"/>
          <w:highlight w:val="none"/>
        </w:rPr>
        <w:t>LED 教室护眼灯、LED 黑板护眼灯、辅材及安装</w:t>
      </w:r>
      <w:r>
        <w:rPr>
          <w:rFonts w:hint="eastAsia" w:ascii="宋体" w:hAnsi="宋体" w:eastAsia="宋体" w:cs="宋体"/>
          <w:color w:val="auto"/>
          <w:sz w:val="24"/>
          <w:szCs w:val="24"/>
          <w:highlight w:val="none"/>
          <w:lang w:val="en-US" w:eastAsia="zh-CN"/>
        </w:rPr>
        <w:t>共40套</w:t>
      </w:r>
      <w:r>
        <w:rPr>
          <w:rFonts w:hint="eastAsia" w:cs="宋体"/>
          <w:color w:val="auto"/>
          <w:sz w:val="24"/>
          <w:szCs w:val="24"/>
          <w:highlight w:val="none"/>
          <w:lang w:val="en-US" w:eastAsia="zh-CN"/>
        </w:rPr>
        <w:t>（9个护眼灯+3个黑板灯为一套）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具体要求详见招标文件第</w:t>
      </w:r>
      <w:r>
        <w:rPr>
          <w:rFonts w:hint="eastAsia" w:cs="宋体"/>
          <w:color w:val="auto"/>
          <w:sz w:val="24"/>
          <w:szCs w:val="24"/>
          <w:highlight w:val="none"/>
          <w:lang w:val="en-US" w:eastAsia="zh-CN"/>
        </w:rPr>
        <w:t>三</w:t>
      </w:r>
      <w:r>
        <w:rPr>
          <w:rFonts w:hint="eastAsia" w:ascii="宋体" w:hAnsi="宋体" w:eastAsia="宋体" w:cs="宋体"/>
          <w:color w:val="auto"/>
          <w:sz w:val="24"/>
          <w:szCs w:val="24"/>
          <w:highlight w:val="none"/>
        </w:rPr>
        <w:t>章</w:t>
      </w:r>
      <w:r>
        <w:rPr>
          <w:rFonts w:hint="eastAsia" w:ascii="宋体" w:hAnsi="宋体" w:eastAsia="宋体" w:cs="宋体"/>
          <w:color w:val="auto"/>
          <w:sz w:val="24"/>
          <w:szCs w:val="24"/>
          <w:highlight w:val="none"/>
          <w:lang w:val="en-US" w:eastAsia="zh-CN"/>
        </w:rPr>
        <w:t>采购人需求及技术要求</w:t>
      </w:r>
      <w:r>
        <w:rPr>
          <w:rFonts w:hint="eastAsia" w:ascii="宋体" w:hAnsi="宋体" w:eastAsia="宋体" w:cs="宋体"/>
          <w:color w:val="auto"/>
          <w:sz w:val="24"/>
          <w:szCs w:val="24"/>
          <w:highlight w:val="none"/>
        </w:rPr>
        <w:t>；</w:t>
      </w:r>
    </w:p>
    <w:p w14:paraId="776B5745">
      <w:pPr>
        <w:pStyle w:val="24"/>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5.2</w:t>
      </w:r>
      <w:r>
        <w:rPr>
          <w:rFonts w:hint="eastAsia" w:ascii="宋体" w:hAnsi="宋体" w:eastAsia="宋体" w:cs="宋体"/>
          <w:color w:val="auto"/>
          <w:sz w:val="24"/>
          <w:szCs w:val="24"/>
          <w:highlight w:val="none"/>
        </w:rPr>
        <w:t>资金来源：财政资金（已落实）；</w:t>
      </w:r>
    </w:p>
    <w:p w14:paraId="771E24F6">
      <w:pPr>
        <w:pStyle w:val="24"/>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5.3</w:t>
      </w:r>
      <w:r>
        <w:rPr>
          <w:rFonts w:hint="eastAsia" w:ascii="宋体" w:hAnsi="宋体" w:eastAsia="宋体" w:cs="宋体"/>
          <w:color w:val="auto"/>
          <w:sz w:val="24"/>
          <w:szCs w:val="24"/>
          <w:highlight w:val="none"/>
        </w:rPr>
        <w:t>交货期：合同签订后30天内交付使用；</w:t>
      </w:r>
    </w:p>
    <w:p w14:paraId="05634F50">
      <w:pPr>
        <w:pStyle w:val="24"/>
        <w:spacing w:after="0"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5.4</w:t>
      </w:r>
      <w:r>
        <w:rPr>
          <w:rFonts w:hint="eastAsia" w:ascii="宋体" w:hAnsi="宋体" w:eastAsia="宋体" w:cs="宋体"/>
          <w:color w:val="auto"/>
          <w:sz w:val="24"/>
          <w:szCs w:val="24"/>
          <w:highlight w:val="none"/>
          <w:lang w:eastAsia="zh-CN"/>
        </w:rPr>
        <w:t>质量要求：合格，符合国家及行业相关规范和标准；</w:t>
      </w:r>
    </w:p>
    <w:p w14:paraId="1B94CC06">
      <w:pPr>
        <w:pStyle w:val="24"/>
        <w:spacing w:after="0" w:line="360" w:lineRule="auto"/>
        <w:rPr>
          <w:rFonts w:hint="eastAsia"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5.5</w:t>
      </w:r>
      <w:r>
        <w:rPr>
          <w:rFonts w:hint="eastAsia" w:ascii="宋体" w:hAnsi="宋体" w:eastAsia="宋体" w:cs="宋体"/>
          <w:color w:val="auto"/>
          <w:sz w:val="24"/>
          <w:szCs w:val="24"/>
          <w:highlight w:val="none"/>
        </w:rPr>
        <w:t>验收标准：按国家行业标准验收</w:t>
      </w:r>
      <w:r>
        <w:rPr>
          <w:rFonts w:hint="eastAsia" w:cs="宋体"/>
          <w:color w:val="auto"/>
          <w:sz w:val="24"/>
          <w:szCs w:val="24"/>
          <w:highlight w:val="none"/>
          <w:lang w:eastAsia="zh-CN"/>
        </w:rPr>
        <w:t>；</w:t>
      </w:r>
    </w:p>
    <w:p w14:paraId="4F951388">
      <w:pPr>
        <w:pStyle w:val="24"/>
        <w:spacing w:after="0" w:line="360" w:lineRule="auto"/>
        <w:rPr>
          <w:rFonts w:hint="eastAsia" w:cs="宋体"/>
          <w:color w:val="auto"/>
          <w:sz w:val="24"/>
          <w:szCs w:val="24"/>
          <w:highlight w:val="none"/>
          <w:lang w:val="en-US" w:eastAsia="zh-CN"/>
        </w:rPr>
      </w:pPr>
      <w:r>
        <w:rPr>
          <w:rFonts w:hint="eastAsia" w:cs="宋体"/>
          <w:color w:val="auto"/>
          <w:sz w:val="24"/>
          <w:szCs w:val="24"/>
          <w:highlight w:val="none"/>
          <w:lang w:val="en-US" w:eastAsia="zh-CN"/>
        </w:rPr>
        <w:t xml:space="preserve">5.6 </w:t>
      </w:r>
      <w:r>
        <w:rPr>
          <w:rFonts w:hint="eastAsia" w:cs="宋体"/>
          <w:color w:val="auto"/>
          <w:sz w:val="24"/>
          <w:szCs w:val="24"/>
          <w:highlight w:val="none"/>
          <w:lang w:eastAsia="zh-CN"/>
        </w:rPr>
        <w:t>交货地点：</w:t>
      </w:r>
      <w:r>
        <w:rPr>
          <w:rFonts w:hint="eastAsia" w:cs="宋体"/>
          <w:color w:val="auto"/>
          <w:sz w:val="24"/>
          <w:szCs w:val="24"/>
          <w:highlight w:val="none"/>
          <w:lang w:val="en-US" w:eastAsia="zh-CN"/>
        </w:rPr>
        <w:t>采购人</w:t>
      </w:r>
      <w:r>
        <w:rPr>
          <w:rFonts w:hint="eastAsia" w:cs="宋体"/>
          <w:color w:val="auto"/>
          <w:sz w:val="24"/>
          <w:szCs w:val="24"/>
          <w:highlight w:val="none"/>
          <w:lang w:val="zh-CN" w:eastAsia="zh-CN"/>
        </w:rPr>
        <w:t>指定地点；</w:t>
      </w:r>
    </w:p>
    <w:p w14:paraId="1A802252">
      <w:pPr>
        <w:pStyle w:val="24"/>
        <w:spacing w:after="0" w:line="360" w:lineRule="auto"/>
        <w:rPr>
          <w:rFonts w:hint="eastAsia" w:cs="宋体"/>
          <w:color w:val="auto"/>
          <w:sz w:val="24"/>
          <w:szCs w:val="24"/>
          <w:highlight w:val="none"/>
          <w:lang w:eastAsia="zh-CN"/>
        </w:rPr>
      </w:pPr>
      <w:r>
        <w:rPr>
          <w:rFonts w:hint="eastAsia" w:cs="宋体"/>
          <w:color w:val="auto"/>
          <w:sz w:val="24"/>
          <w:szCs w:val="24"/>
          <w:highlight w:val="none"/>
          <w:lang w:eastAsia="zh-CN"/>
        </w:rPr>
        <w:t>5.</w:t>
      </w:r>
      <w:r>
        <w:rPr>
          <w:rFonts w:hint="eastAsia" w:cs="宋体"/>
          <w:color w:val="auto"/>
          <w:sz w:val="24"/>
          <w:szCs w:val="24"/>
          <w:highlight w:val="none"/>
          <w:lang w:val="en-US" w:eastAsia="zh-CN"/>
        </w:rPr>
        <w:t>7</w:t>
      </w:r>
      <w:r>
        <w:rPr>
          <w:rFonts w:hint="eastAsia" w:cs="宋体"/>
          <w:color w:val="auto"/>
          <w:sz w:val="24"/>
          <w:szCs w:val="24"/>
          <w:highlight w:val="none"/>
          <w:lang w:eastAsia="zh-CN"/>
        </w:rPr>
        <w:t xml:space="preserve"> 质保期：</w:t>
      </w:r>
      <w:r>
        <w:rPr>
          <w:rFonts w:hint="eastAsia" w:cs="宋体"/>
          <w:color w:val="auto"/>
          <w:sz w:val="24"/>
          <w:szCs w:val="24"/>
          <w:highlight w:val="none"/>
          <w:lang w:val="en-US" w:eastAsia="zh-CN"/>
        </w:rPr>
        <w:t>免费质保3</w:t>
      </w:r>
      <w:r>
        <w:rPr>
          <w:rFonts w:hint="eastAsia" w:cs="宋体"/>
          <w:color w:val="auto"/>
          <w:sz w:val="24"/>
          <w:szCs w:val="24"/>
          <w:highlight w:val="none"/>
          <w:lang w:eastAsia="zh-CN"/>
        </w:rPr>
        <w:t>年；</w:t>
      </w:r>
    </w:p>
    <w:p w14:paraId="75DE6546">
      <w:pPr>
        <w:pStyle w:val="24"/>
        <w:spacing w:after="0"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6、合同履行期限：合同签订后30天内交付使用</w:t>
      </w:r>
      <w:r>
        <w:rPr>
          <w:rFonts w:hint="eastAsia" w:cs="宋体"/>
          <w:color w:val="auto"/>
          <w:sz w:val="24"/>
          <w:szCs w:val="24"/>
          <w:highlight w:val="none"/>
          <w:lang w:val="en-US" w:eastAsia="zh-CN"/>
        </w:rPr>
        <w:t>；</w:t>
      </w:r>
    </w:p>
    <w:p w14:paraId="38638433">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7、本项目是否接受联合体投标：否</w:t>
      </w:r>
    </w:p>
    <w:p w14:paraId="3B731998">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8、是否接受进口产品：否</w:t>
      </w:r>
    </w:p>
    <w:p w14:paraId="582DCB25">
      <w:pPr>
        <w:widowControl/>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9、是否专门面向中小企业：否</w:t>
      </w:r>
    </w:p>
    <w:p w14:paraId="366887FE">
      <w:pPr>
        <w:widowControl/>
        <w:spacing w:line="360" w:lineRule="auto"/>
        <w:ind w:left="0" w:lef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二、申请人资格要求： </w:t>
      </w:r>
    </w:p>
    <w:p w14:paraId="619B1368">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40716778">
      <w:pPr>
        <w:widowControl/>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2、落实政府采购政策满足的资格要求：</w:t>
      </w:r>
      <w:r>
        <w:rPr>
          <w:rFonts w:hint="eastAsia" w:ascii="宋体" w:hAnsi="宋体" w:eastAsia="宋体" w:cs="宋体"/>
          <w:color w:val="auto"/>
          <w:sz w:val="24"/>
          <w:szCs w:val="24"/>
          <w:highlight w:val="none"/>
          <w:lang w:val="en-US" w:eastAsia="zh-CN"/>
        </w:rPr>
        <w:t>无；</w:t>
      </w:r>
    </w:p>
    <w:p w14:paraId="14F95379">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p>
    <w:p w14:paraId="54C1DD25">
      <w:pPr>
        <w:keepNext w:val="0"/>
        <w:keepLines w:val="0"/>
        <w:pageBreakBefore w:val="0"/>
        <w:widowControl/>
        <w:kinsoku/>
        <w:wordWrap/>
        <w:overflowPunct/>
        <w:topLinePunct w:val="0"/>
        <w:autoSpaceDE/>
        <w:autoSpaceDN/>
        <w:bidi w:val="0"/>
        <w:adjustRightInd/>
        <w:snapToGrid/>
        <w:spacing w:line="360" w:lineRule="auto"/>
        <w:ind w:left="560" w:left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（1）具有独立承担民事责任的能力（具有有效的营业执照）；</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（2）有良好的商业信誉和健全的财务会计制度（提供近三年任意一年合格的财务审计报告；若企业成立年份不足一年，则需提供开户行出具的资信证明）；</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（3）具有履行合同所必须的设备和专业技术能力（提供书面承诺书，格式自理）；</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4）具有依法缴纳税收和社会保障资金的良好记录（提供2025年以来连续3个月依法缴纳税收和社会保障资金的证明资料，依法免税或不需要缴纳社会保障资金的投标人，应提供相应文件证明其依法免税或不需要缴纳社会保障资金）；</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（5）参加政府采购活动前三年内，在经营活动中没有重大违法记录（提供书面承诺书，格式自理）；</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（6）法律、行政法规规定的其他条件；</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（7）根据《关于在政府采购活动中查询及使用信用记录有关问题的通知》(财库[2016]125 号) 的规定，对列入失信被执行人、重大税收违法失信主体【查询渠道：“信用中国”网站（www.creditchina.gov.cn）】，政府采购严重违法失信行为记录名单【查询渠道：中国政府采购网（www.ccgp.gov.cn）】的供应商，拒绝参与本项目政府采购活动。投标人需提供投标单位信用记录查询结果网页截图；</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（8）单位负责人为同一人或存在控股、管理关系的不同单位，不得参加同一标段投标，否则相关投标均无效；</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（9）本招标项目不接受联合体投标。</w:t>
      </w:r>
    </w:p>
    <w:p w14:paraId="2699BA96">
      <w:pPr>
        <w:widowControl/>
        <w:spacing w:line="360" w:lineRule="auto"/>
        <w:ind w:left="0" w:lef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三、获取采购文件</w:t>
      </w:r>
    </w:p>
    <w:p w14:paraId="499C1EF5">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1.时间：</w:t>
      </w:r>
      <w:r>
        <w:rPr>
          <w:rFonts w:hint="eastAsia" w:ascii="宋体" w:hAnsi="宋体" w:eastAsia="宋体" w:cs="宋体"/>
          <w:color w:val="auto"/>
          <w:sz w:val="24"/>
          <w:szCs w:val="24"/>
          <w:highlight w:val="none"/>
          <w:lang w:eastAsia="zh-CN"/>
        </w:rPr>
        <w:t>2025</w:t>
      </w:r>
      <w:r>
        <w:rPr>
          <w:rFonts w:hint="eastAsia" w:ascii="宋体" w:hAnsi="宋体" w:eastAsia="宋体" w:cs="宋体"/>
          <w:color w:val="auto"/>
          <w:sz w:val="24"/>
          <w:szCs w:val="24"/>
          <w:highlight w:val="none"/>
        </w:rPr>
        <w:t>年</w:t>
      </w:r>
      <w:r>
        <w:rPr>
          <w:rFonts w:hint="eastAsia" w:cs="宋体"/>
          <w:color w:val="auto"/>
          <w:sz w:val="24"/>
          <w:szCs w:val="24"/>
          <w:highlight w:val="none"/>
          <w:lang w:val="en-US" w:eastAsia="zh-CN"/>
        </w:rPr>
        <w:t>07</w:t>
      </w:r>
      <w:r>
        <w:rPr>
          <w:rFonts w:hint="eastAsia" w:ascii="宋体" w:hAnsi="宋体" w:eastAsia="宋体" w:cs="宋体"/>
          <w:color w:val="auto"/>
          <w:sz w:val="24"/>
          <w:szCs w:val="24"/>
          <w:highlight w:val="none"/>
        </w:rPr>
        <w:t>月</w:t>
      </w:r>
      <w:r>
        <w:rPr>
          <w:rFonts w:hint="eastAsia" w:cs="宋体"/>
          <w:color w:val="auto"/>
          <w:sz w:val="24"/>
          <w:szCs w:val="24"/>
          <w:highlight w:val="none"/>
          <w:lang w:val="en-US" w:eastAsia="zh-CN"/>
        </w:rPr>
        <w:t>10</w:t>
      </w:r>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lang w:eastAsia="zh-CN"/>
        </w:rPr>
        <w:t>2025</w:t>
      </w:r>
      <w:r>
        <w:rPr>
          <w:rFonts w:hint="eastAsia" w:ascii="宋体" w:hAnsi="宋体" w:eastAsia="宋体" w:cs="宋体"/>
          <w:color w:val="auto"/>
          <w:sz w:val="24"/>
          <w:szCs w:val="24"/>
          <w:highlight w:val="none"/>
        </w:rPr>
        <w:t>年</w:t>
      </w:r>
      <w:r>
        <w:rPr>
          <w:rFonts w:hint="eastAsia" w:cs="宋体"/>
          <w:color w:val="auto"/>
          <w:sz w:val="24"/>
          <w:szCs w:val="24"/>
          <w:highlight w:val="none"/>
          <w:lang w:val="en-US" w:eastAsia="zh-CN"/>
        </w:rPr>
        <w:t>07</w:t>
      </w:r>
      <w:r>
        <w:rPr>
          <w:rFonts w:hint="eastAsia" w:ascii="宋体" w:hAnsi="宋体" w:eastAsia="宋体" w:cs="宋体"/>
          <w:color w:val="auto"/>
          <w:sz w:val="24"/>
          <w:szCs w:val="24"/>
          <w:highlight w:val="none"/>
        </w:rPr>
        <w:t>月</w:t>
      </w:r>
      <w:r>
        <w:rPr>
          <w:rFonts w:hint="eastAsia" w:cs="宋体"/>
          <w:color w:val="auto"/>
          <w:sz w:val="24"/>
          <w:szCs w:val="24"/>
          <w:highlight w:val="none"/>
          <w:lang w:val="en-US" w:eastAsia="zh-CN"/>
        </w:rPr>
        <w:t>16</w:t>
      </w:r>
      <w:r>
        <w:rPr>
          <w:rFonts w:hint="eastAsia" w:ascii="宋体" w:hAnsi="宋体" w:eastAsia="宋体" w:cs="宋体"/>
          <w:color w:val="auto"/>
          <w:sz w:val="24"/>
          <w:szCs w:val="24"/>
          <w:highlight w:val="none"/>
        </w:rPr>
        <w:t>日，每天上午00:00至12:00，下午12:00至23:59（北京时间，法定节假日除外。）</w:t>
      </w:r>
    </w:p>
    <w:p w14:paraId="3F86CD73">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2.地点：郑州市公共资源交易中心网站（https://zzggzy.zhengzhou.gov.cn）</w:t>
      </w:r>
    </w:p>
    <w:p w14:paraId="46FBEBBC">
      <w:pPr>
        <w:widowControl/>
        <w:wordWrap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3.方式：供应商凭CA密钥登录“郑州市公共资源交易中心网”点击“交易主体登录”下载所含格式（*.ZZZF）的采购文件及资料。</w:t>
      </w:r>
    </w:p>
    <w:p w14:paraId="285B21AB">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4.售价：0元。</w:t>
      </w:r>
    </w:p>
    <w:p w14:paraId="1CC4D2BF">
      <w:pPr>
        <w:widowControl/>
        <w:spacing w:line="360" w:lineRule="auto"/>
        <w:ind w:left="0" w:lef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四、响应文件提交</w:t>
      </w:r>
    </w:p>
    <w:p w14:paraId="19F11613">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1.截止时间：2025年07月21日09时30分（北京时间）</w:t>
      </w:r>
    </w:p>
    <w:p w14:paraId="67D6097A">
      <w:pPr>
        <w:widowControl/>
        <w:spacing w:line="360" w:lineRule="auto"/>
        <w:ind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2.地点：郑州市公共资源交易中心（https://zzggzy.zhengzhou.gov.cn）电子交易平台；</w:t>
      </w:r>
    </w:p>
    <w:p w14:paraId="11B8B1DD">
      <w:pPr>
        <w:widowControl/>
        <w:spacing w:line="360" w:lineRule="auto"/>
        <w:ind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备注：（1）电子响应文件（.ZZTF格式）须在响应文件提交截止时间前通过“郑州市公共资源交易中心（https://zzggzy.zhengzhou.gov.cn）”电子交易平台加密上传； （2）电子响应文件为“郑州市公共资源交易中心（https://zzggzy.zhengzhou.gov.cn）”网站提供的“投标文件制作工具”软件制作生成的加密版响应文件；（3）各供应商需使用本单位CA锁（制作响应文件时所使用的CA锁）对本单位的加密电子响应文件进行远程不见面方式解密。</w:t>
      </w:r>
    </w:p>
    <w:p w14:paraId="21B7BD9D">
      <w:pPr>
        <w:widowControl/>
        <w:spacing w:line="360" w:lineRule="auto"/>
        <w:ind w:left="0" w:lef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五、响应文件开启</w:t>
      </w:r>
    </w:p>
    <w:p w14:paraId="041AE165">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1.时间：2025年07月21日09时30分（北京时间）</w:t>
      </w:r>
    </w:p>
    <w:p w14:paraId="2CB9FD64">
      <w:pPr>
        <w:widowControl/>
        <w:wordWrap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2.地点：郑州市公共资源交易中心门户网站远程开标大厅（https://zzggzy.zhengzhou.gov.cn/BidOpening/）</w:t>
      </w:r>
    </w:p>
    <w:p w14:paraId="6A4F805E">
      <w:pPr>
        <w:widowControl/>
        <w:spacing w:line="360" w:lineRule="auto"/>
        <w:ind w:left="0" w:lef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六、发布公告的媒介及公告期限</w:t>
      </w:r>
    </w:p>
    <w:p w14:paraId="6ABE0ADC">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本次公告在《河南省政府采购网》《郑州市公共资源交易中心》《上街区政府采购网》上发布。</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公告期限为三个工作日。</w:t>
      </w:r>
    </w:p>
    <w:p w14:paraId="32CE8BEB">
      <w:pPr>
        <w:widowControl/>
        <w:numPr>
          <w:ilvl w:val="0"/>
          <w:numId w:val="0"/>
        </w:numPr>
        <w:spacing w:line="360" w:lineRule="auto"/>
        <w:jc w:val="left"/>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七、</w:t>
      </w:r>
      <w:r>
        <w:rPr>
          <w:rFonts w:hint="eastAsia" w:ascii="宋体" w:hAnsi="宋体" w:eastAsia="宋体" w:cs="宋体"/>
          <w:color w:val="auto"/>
          <w:sz w:val="24"/>
          <w:szCs w:val="24"/>
          <w:highlight w:val="none"/>
        </w:rPr>
        <w:t>其他补充事宜</w:t>
      </w:r>
    </w:p>
    <w:p w14:paraId="55A63F17">
      <w:pPr>
        <w:widowControl/>
        <w:wordWrap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.按照郑州市公共资源交易中心要求，供应商须注册成为郑州市公共资源交易中心网站会员并取得 CA 数字证书后，才能通过公共资源交易平台参与交易活动，尚未办理企业 CA 数字证书的，河南省信息化发展有限公司开通了 CA 数字证书在线办理功能，郑州市公共资源交易中心各交易主体如需办理 CA 数字证书业务的，可通过以下链接：（https://xaca.hnxaca.com:8081/online/ggzyApply/index.shtml）在线办理，点击交易中心登录入口自助绑定。如遇使用问题请拨打客服电话 0371-96596，技术支持咨询电话:0371-67188807,4009980000。</w:t>
      </w:r>
    </w:p>
    <w:p w14:paraId="1A446AF4">
      <w:pPr>
        <w:widowControl/>
        <w:wordWrap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2.本项目执行优先采购节能环保、环境标志性产品、优先采购自主创新产品，扶持不发达地区和少数民族地区，促进中小企业、监狱企业、残疾人福利性单位发展等相关政策。</w:t>
      </w:r>
    </w:p>
    <w:p w14:paraId="28364EC0">
      <w:pPr>
        <w:widowControl/>
        <w:wordWrap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3.本项目采购标的对应的中小企业划分标准所属行业：工业。</w:t>
      </w:r>
    </w:p>
    <w:p w14:paraId="688718E7">
      <w:pPr>
        <w:widowControl/>
        <w:wordWrap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4.代理服务费依据：依据《河南省招标代理服务收费指导意见》（豫招协[2023]002号）文件规定进行计取，</w:t>
      </w:r>
      <w:r>
        <w:rPr>
          <w:rFonts w:hint="eastAsia" w:cs="宋体"/>
          <w:color w:val="auto"/>
          <w:sz w:val="24"/>
          <w:szCs w:val="24"/>
          <w:highlight w:val="none"/>
          <w:lang w:val="en-US" w:eastAsia="zh-CN"/>
        </w:rPr>
        <w:t>由中标单位支付</w:t>
      </w:r>
      <w:r>
        <w:rPr>
          <w:rFonts w:hint="eastAsia" w:ascii="宋体" w:hAnsi="宋体" w:eastAsia="宋体" w:cs="宋体"/>
          <w:color w:val="auto"/>
          <w:sz w:val="24"/>
          <w:szCs w:val="24"/>
          <w:highlight w:val="none"/>
          <w:lang w:val="en-US" w:eastAsia="zh-CN"/>
        </w:rPr>
        <w:t>。</w:t>
      </w:r>
    </w:p>
    <w:p w14:paraId="0C9AA68E">
      <w:pPr>
        <w:widowControl/>
        <w:spacing w:line="360" w:lineRule="auto"/>
        <w:ind w:left="0" w:lef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八、凡对本次招标提出询问，请按照以下方式联系</w:t>
      </w:r>
    </w:p>
    <w:p w14:paraId="7D12DADE">
      <w:pPr>
        <w:widowControl/>
        <w:spacing w:line="360" w:lineRule="auto"/>
        <w:ind w:firstLine="751" w:firstLineChars="31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14:paraId="525C1EC2">
      <w:pPr>
        <w:widowControl/>
        <w:spacing w:line="360" w:lineRule="auto"/>
        <w:ind w:firstLine="751" w:firstLineChars="31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名称：郑州市上街区教育局 </w:t>
      </w:r>
    </w:p>
    <w:p w14:paraId="31732405">
      <w:pPr>
        <w:widowControl/>
        <w:spacing w:line="360" w:lineRule="auto"/>
        <w:ind w:firstLine="751" w:firstLineChars="31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地址：郑州市上街区中心路72号东院 </w:t>
      </w:r>
    </w:p>
    <w:p w14:paraId="78CD95BD">
      <w:pPr>
        <w:widowControl/>
        <w:spacing w:line="360" w:lineRule="auto"/>
        <w:ind w:firstLine="751" w:firstLineChars="31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虎彪</w:t>
      </w:r>
      <w:r>
        <w:rPr>
          <w:rFonts w:hint="eastAsia" w:ascii="宋体" w:hAnsi="宋体" w:eastAsia="宋体" w:cs="宋体"/>
          <w:color w:val="auto"/>
          <w:sz w:val="24"/>
          <w:szCs w:val="24"/>
          <w:highlight w:val="none"/>
        </w:rPr>
        <w:t xml:space="preserve"> </w:t>
      </w:r>
    </w:p>
    <w:p w14:paraId="4C3059AA">
      <w:pPr>
        <w:widowControl/>
        <w:spacing w:line="360" w:lineRule="auto"/>
        <w:ind w:firstLine="751" w:firstLineChars="31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联系方式：0371-68923903</w:t>
      </w:r>
    </w:p>
    <w:p w14:paraId="60AF2697">
      <w:pPr>
        <w:widowControl/>
        <w:spacing w:line="360" w:lineRule="auto"/>
        <w:ind w:firstLine="751" w:firstLineChars="31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p>
    <w:p w14:paraId="65E5038E">
      <w:pPr>
        <w:widowControl/>
        <w:spacing w:line="360" w:lineRule="auto"/>
        <w:ind w:firstLine="751" w:firstLineChars="313"/>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河南广信项目管理有限公司</w:t>
      </w:r>
    </w:p>
    <w:p w14:paraId="4F6C14AD">
      <w:pPr>
        <w:widowControl/>
        <w:spacing w:line="360" w:lineRule="auto"/>
        <w:ind w:firstLine="751" w:firstLineChars="313"/>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郑州市郑东新区博学路277号</w:t>
      </w:r>
      <w:r>
        <w:rPr>
          <w:rFonts w:hint="eastAsia" w:ascii="宋体" w:hAnsi="宋体" w:eastAsia="宋体" w:cs="宋体"/>
          <w:color w:val="auto"/>
          <w:sz w:val="24"/>
          <w:szCs w:val="24"/>
          <w:highlight w:val="none"/>
          <w:lang w:val="zh-CN"/>
        </w:rPr>
        <w:t xml:space="preserve"> </w:t>
      </w:r>
    </w:p>
    <w:p w14:paraId="5EB45650">
      <w:pPr>
        <w:widowControl/>
        <w:spacing w:line="360" w:lineRule="auto"/>
        <w:ind w:firstLine="751" w:firstLineChars="313"/>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王迪</w:t>
      </w:r>
    </w:p>
    <w:p w14:paraId="6EE36CFA">
      <w:pPr>
        <w:widowControl/>
        <w:spacing w:line="360" w:lineRule="auto"/>
        <w:ind w:firstLine="751" w:firstLineChars="313"/>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val="en-US" w:eastAsia="zh-CN"/>
        </w:rPr>
        <w:t>19213863347</w:t>
      </w:r>
    </w:p>
    <w:p w14:paraId="08CDBFDA">
      <w:pPr>
        <w:widowControl/>
        <w:spacing w:line="360" w:lineRule="auto"/>
        <w:ind w:firstLine="751" w:firstLineChars="31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3.项目联系方式</w:t>
      </w:r>
    </w:p>
    <w:bookmarkEnd w:id="5"/>
    <w:p w14:paraId="209D8113">
      <w:pPr>
        <w:widowControl/>
        <w:spacing w:line="360" w:lineRule="auto"/>
        <w:ind w:firstLine="751" w:firstLineChars="313"/>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王迪</w:t>
      </w:r>
    </w:p>
    <w:p w14:paraId="60C76FF9">
      <w:pPr>
        <w:widowControl/>
        <w:spacing w:line="360" w:lineRule="auto"/>
        <w:ind w:firstLine="751" w:firstLineChars="313"/>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val="en-US" w:eastAsia="zh-CN"/>
        </w:rPr>
        <w:t>19213863347</w:t>
      </w:r>
    </w:p>
    <w:p w14:paraId="2AAE0BFD">
      <w:pP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bCs w:val="0"/>
          <w:color w:val="auto"/>
          <w:kern w:val="2"/>
          <w:sz w:val="28"/>
          <w:szCs w:val="28"/>
          <w:highlight w:val="none"/>
        </w:rPr>
        <w:br w:type="page"/>
      </w:r>
    </w:p>
    <w:p w14:paraId="072E0FB6">
      <w:pPr>
        <w:tabs>
          <w:tab w:val="right" w:pos="7560"/>
        </w:tabs>
        <w:spacing w:line="360" w:lineRule="auto"/>
        <w:ind w:left="0" w:leftChars="0" w:firstLine="0" w:firstLineChars="0"/>
        <w:jc w:val="center"/>
        <w:outlineLvl w:val="0"/>
        <w:rPr>
          <w:rFonts w:hint="eastAsia" w:ascii="宋体" w:hAnsi="宋体" w:eastAsia="宋体" w:cs="宋体"/>
          <w:b/>
          <w:bCs/>
          <w:color w:val="auto"/>
          <w:sz w:val="28"/>
          <w:szCs w:val="28"/>
          <w:highlight w:val="none"/>
          <w:lang w:val="en-US" w:eastAsia="zh-CN"/>
        </w:rPr>
      </w:pPr>
      <w:bookmarkStart w:id="6" w:name="_Toc449115770"/>
      <w:bookmarkStart w:id="7" w:name="_Toc9415"/>
      <w:bookmarkStart w:id="8" w:name="_Toc6487308"/>
      <w:bookmarkStart w:id="9" w:name="_Toc23551"/>
      <w:r>
        <w:rPr>
          <w:rFonts w:hint="eastAsia" w:ascii="宋体" w:hAnsi="宋体" w:eastAsia="宋体" w:cs="宋体"/>
          <w:b/>
          <w:bCs/>
          <w:color w:val="auto"/>
          <w:sz w:val="28"/>
          <w:szCs w:val="28"/>
          <w:highlight w:val="none"/>
          <w:lang w:val="en-US" w:eastAsia="zh-CN"/>
        </w:rPr>
        <w:t>郑州市上街区教育局采购智慧黑板及教室护眼灯设备项目</w:t>
      </w:r>
    </w:p>
    <w:p w14:paraId="61FB0536">
      <w:pPr>
        <w:tabs>
          <w:tab w:val="right" w:pos="7560"/>
        </w:tabs>
        <w:spacing w:line="360" w:lineRule="auto"/>
        <w:ind w:left="0" w:leftChars="0" w:firstLine="0" w:firstLineChars="0"/>
        <w:jc w:val="center"/>
        <w:outlineLvl w:val="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更正公告</w:t>
      </w:r>
    </w:p>
    <w:p w14:paraId="43EEA284">
      <w:pPr>
        <w:keepNext w:val="0"/>
        <w:keepLines w:val="0"/>
        <w:pageBreakBefore w:val="0"/>
        <w:widowControl w:val="0"/>
        <w:kinsoku/>
        <w:wordWrap/>
        <w:overflowPunct/>
        <w:topLinePunct w:val="0"/>
        <w:autoSpaceDE/>
        <w:autoSpaceDN/>
        <w:bidi w:val="0"/>
        <w:adjustRightInd/>
        <w:snapToGrid/>
        <w:spacing w:line="360" w:lineRule="auto"/>
        <w:ind w:left="560" w:leftChars="200"/>
        <w:textAlignment w:val="auto"/>
        <w:rPr>
          <w:rFonts w:hint="eastAsia" w:ascii="宋体" w:hAnsi="宋体" w:eastAsia="宋体" w:cs="宋体"/>
        </w:rPr>
      </w:pPr>
      <w:r>
        <w:rPr>
          <w:rFonts w:hint="eastAsia" w:ascii="宋体" w:hAnsi="宋体" w:eastAsia="宋体" w:cs="宋体"/>
        </w:rPr>
        <w:t>一、项目基本情况</w:t>
      </w:r>
    </w:p>
    <w:p w14:paraId="7DAFC3C5">
      <w:pPr>
        <w:keepNext w:val="0"/>
        <w:keepLines w:val="0"/>
        <w:pageBreakBefore w:val="0"/>
        <w:widowControl w:val="0"/>
        <w:kinsoku/>
        <w:wordWrap/>
        <w:overflowPunct/>
        <w:topLinePunct w:val="0"/>
        <w:autoSpaceDE/>
        <w:autoSpaceDN/>
        <w:bidi w:val="0"/>
        <w:adjustRightInd/>
        <w:snapToGrid/>
        <w:spacing w:line="360" w:lineRule="auto"/>
        <w:ind w:left="560" w:leftChars="200"/>
        <w:textAlignment w:val="auto"/>
        <w:rPr>
          <w:rFonts w:hint="eastAsia" w:ascii="宋体" w:hAnsi="宋体" w:eastAsia="宋体" w:cs="宋体"/>
        </w:rPr>
      </w:pPr>
      <w:r>
        <w:rPr>
          <w:rFonts w:hint="eastAsia" w:ascii="宋体" w:hAnsi="宋体" w:eastAsia="宋体" w:cs="宋体"/>
        </w:rPr>
        <w:t>1、原公告的采购项目编号：郑上财-磋商-[2025]-14</w:t>
      </w:r>
    </w:p>
    <w:p w14:paraId="30F93F04">
      <w:pPr>
        <w:keepNext w:val="0"/>
        <w:keepLines w:val="0"/>
        <w:pageBreakBefore w:val="0"/>
        <w:widowControl w:val="0"/>
        <w:kinsoku/>
        <w:wordWrap/>
        <w:overflowPunct/>
        <w:topLinePunct w:val="0"/>
        <w:autoSpaceDE/>
        <w:autoSpaceDN/>
        <w:bidi w:val="0"/>
        <w:adjustRightInd/>
        <w:snapToGrid/>
        <w:spacing w:line="360" w:lineRule="auto"/>
        <w:ind w:left="560" w:leftChars="200"/>
        <w:textAlignment w:val="auto"/>
        <w:rPr>
          <w:rFonts w:hint="eastAsia" w:ascii="宋体" w:hAnsi="宋体" w:eastAsia="宋体" w:cs="宋体"/>
        </w:rPr>
      </w:pPr>
      <w:r>
        <w:rPr>
          <w:rFonts w:hint="eastAsia" w:ascii="宋体" w:hAnsi="宋体" w:eastAsia="宋体" w:cs="宋体"/>
        </w:rPr>
        <w:t>2、原公告的采购项目名称：郑州市上街区教育局采购智慧黑板及教室护眼灯设备项目</w:t>
      </w:r>
    </w:p>
    <w:p w14:paraId="28AE1113">
      <w:pPr>
        <w:keepNext w:val="0"/>
        <w:keepLines w:val="0"/>
        <w:pageBreakBefore w:val="0"/>
        <w:widowControl w:val="0"/>
        <w:kinsoku/>
        <w:wordWrap/>
        <w:overflowPunct/>
        <w:topLinePunct w:val="0"/>
        <w:autoSpaceDE/>
        <w:autoSpaceDN/>
        <w:bidi w:val="0"/>
        <w:adjustRightInd/>
        <w:snapToGrid/>
        <w:spacing w:line="360" w:lineRule="auto"/>
        <w:ind w:left="560" w:leftChars="200"/>
        <w:textAlignment w:val="auto"/>
        <w:rPr>
          <w:rFonts w:hint="eastAsia" w:ascii="宋体" w:hAnsi="宋体" w:eastAsia="宋体" w:cs="宋体"/>
        </w:rPr>
      </w:pPr>
      <w:r>
        <w:rPr>
          <w:rFonts w:hint="eastAsia" w:ascii="宋体" w:hAnsi="宋体" w:eastAsia="宋体" w:cs="宋体"/>
        </w:rPr>
        <w:t>3、首次公告日期及发布媒介：2025年07月09日、《河南省政府采购网》《郑州市公共资源交易中心》《上街区政府采购网》</w:t>
      </w:r>
    </w:p>
    <w:p w14:paraId="4B9B7EE3">
      <w:pPr>
        <w:keepNext w:val="0"/>
        <w:keepLines w:val="0"/>
        <w:pageBreakBefore w:val="0"/>
        <w:widowControl w:val="0"/>
        <w:kinsoku/>
        <w:wordWrap/>
        <w:overflowPunct/>
        <w:topLinePunct w:val="0"/>
        <w:autoSpaceDE/>
        <w:autoSpaceDN/>
        <w:bidi w:val="0"/>
        <w:adjustRightInd/>
        <w:snapToGrid/>
        <w:spacing w:line="360" w:lineRule="auto"/>
        <w:ind w:left="560" w:leftChars="200"/>
        <w:textAlignment w:val="auto"/>
        <w:rPr>
          <w:rFonts w:hint="eastAsia" w:ascii="宋体" w:hAnsi="宋体" w:eastAsia="宋体" w:cs="宋体"/>
        </w:rPr>
      </w:pPr>
      <w:r>
        <w:rPr>
          <w:rFonts w:hint="eastAsia" w:ascii="宋体" w:hAnsi="宋体" w:eastAsia="宋体" w:cs="宋体"/>
        </w:rPr>
        <w:t>4、原响应文件提交截止时间：2025年07月21日09时30分（北京时间）</w:t>
      </w:r>
    </w:p>
    <w:p w14:paraId="6D99A265">
      <w:pPr>
        <w:keepNext w:val="0"/>
        <w:keepLines w:val="0"/>
        <w:pageBreakBefore w:val="0"/>
        <w:widowControl w:val="0"/>
        <w:kinsoku/>
        <w:wordWrap/>
        <w:overflowPunct/>
        <w:topLinePunct w:val="0"/>
        <w:autoSpaceDE/>
        <w:autoSpaceDN/>
        <w:bidi w:val="0"/>
        <w:adjustRightInd/>
        <w:snapToGrid/>
        <w:spacing w:line="360" w:lineRule="auto"/>
        <w:ind w:left="560" w:leftChars="200"/>
        <w:textAlignment w:val="auto"/>
        <w:rPr>
          <w:rFonts w:hint="eastAsia" w:ascii="宋体" w:hAnsi="宋体" w:eastAsia="宋体" w:cs="宋体"/>
        </w:rPr>
      </w:pPr>
      <w:r>
        <w:rPr>
          <w:rFonts w:hint="eastAsia" w:ascii="宋体" w:hAnsi="宋体" w:eastAsia="宋体" w:cs="宋体"/>
        </w:rPr>
        <w:t>二、更正信息</w:t>
      </w:r>
    </w:p>
    <w:p w14:paraId="7A7048AF">
      <w:pPr>
        <w:keepNext w:val="0"/>
        <w:keepLines w:val="0"/>
        <w:pageBreakBefore w:val="0"/>
        <w:widowControl w:val="0"/>
        <w:kinsoku/>
        <w:wordWrap/>
        <w:overflowPunct/>
        <w:topLinePunct w:val="0"/>
        <w:autoSpaceDE/>
        <w:autoSpaceDN/>
        <w:bidi w:val="0"/>
        <w:adjustRightInd/>
        <w:snapToGrid/>
        <w:spacing w:line="360" w:lineRule="auto"/>
        <w:ind w:left="560" w:leftChars="200"/>
        <w:textAlignment w:val="auto"/>
        <w:rPr>
          <w:rFonts w:hint="eastAsia" w:ascii="宋体" w:hAnsi="宋体" w:eastAsia="宋体" w:cs="宋体"/>
        </w:rPr>
      </w:pPr>
      <w:r>
        <w:rPr>
          <w:rFonts w:hint="eastAsia" w:ascii="宋体" w:hAnsi="宋体" w:eastAsia="宋体" w:cs="宋体"/>
        </w:rPr>
        <w:t>1、更正事项：</w:t>
      </w:r>
      <w:r>
        <w:rPr>
          <w:rFonts w:ascii="Arial" w:hAnsi="Arial" w:eastAsia="微软雅黑" w:cs="Arial"/>
          <w:color w:val="333333"/>
          <w:sz w:val="23"/>
          <w:szCs w:val="23"/>
        </w:rPr>
        <w:object>
          <v:shape id="_x0000_i1025" o:spt="201" type="#_x0000_t201" style="height:15.75pt;width:20.25pt;" o:ole="t" filled="f" o:preferrelative="t" stroked="f" coordsize="21600,21600">
            <v:path/>
            <v:fill on="f" focussize="0,0"/>
            <v:stroke on="f"/>
            <v:imagedata r:id="rId18" o:title=""/>
            <o:lock v:ext="edit" aspectratio="t"/>
            <w10:wrap type="none"/>
            <w10:anchorlock/>
          </v:shape>
          <w:control r:id="rId17" w:name="HTMLCheckbox1" w:shapeid="_x0000_i1025"/>
        </w:object>
      </w:r>
      <w:r>
        <w:rPr>
          <w:rFonts w:hint="eastAsia" w:ascii="宋体" w:hAnsi="宋体" w:eastAsia="宋体" w:cs="宋体"/>
        </w:rPr>
        <w:t>采购公告</w:t>
      </w:r>
      <w:r>
        <w:rPr>
          <w:rFonts w:ascii="Arial" w:hAnsi="Arial" w:eastAsia="微软雅黑" w:cs="Arial"/>
          <w:color w:val="333333"/>
          <w:sz w:val="23"/>
          <w:szCs w:val="23"/>
        </w:rPr>
        <w:object>
          <v:shape id="_x0000_i1026" o:spt="201" type="#_x0000_t201" style="height:15.75pt;width:20.25pt;" o:ole="t" filled="f" o:preferrelative="t" stroked="f" coordsize="21600,21600">
            <v:path/>
            <v:fill on="f" focussize="0,0"/>
            <v:stroke on="f"/>
            <v:imagedata r:id="rId18" o:title=""/>
            <o:lock v:ext="edit" aspectratio="t"/>
            <w10:wrap type="none"/>
            <w10:anchorlock/>
          </v:shape>
          <w:control r:id="rId19" w:name="HTMLCheckbox2" w:shapeid="_x0000_i1026"/>
        </w:object>
      </w:r>
      <w:r>
        <w:rPr>
          <w:rFonts w:hint="eastAsia" w:ascii="宋体" w:hAnsi="宋体" w:eastAsia="宋体" w:cs="宋体"/>
        </w:rPr>
        <w:t xml:space="preserve"> 采购文件</w:t>
      </w:r>
    </w:p>
    <w:p w14:paraId="7A6767AA">
      <w:pPr>
        <w:keepNext w:val="0"/>
        <w:keepLines w:val="0"/>
        <w:pageBreakBefore w:val="0"/>
        <w:widowControl w:val="0"/>
        <w:kinsoku/>
        <w:wordWrap/>
        <w:overflowPunct/>
        <w:topLinePunct w:val="0"/>
        <w:autoSpaceDE/>
        <w:autoSpaceDN/>
        <w:bidi w:val="0"/>
        <w:adjustRightInd/>
        <w:snapToGrid/>
        <w:spacing w:line="360" w:lineRule="auto"/>
        <w:ind w:left="560" w:leftChars="200"/>
        <w:textAlignment w:val="auto"/>
        <w:rPr>
          <w:rFonts w:hint="eastAsia" w:ascii="宋体" w:hAnsi="宋体" w:eastAsia="宋体" w:cs="宋体"/>
        </w:rPr>
      </w:pPr>
      <w:r>
        <w:rPr>
          <w:rFonts w:hint="eastAsia" w:ascii="宋体" w:hAnsi="宋体" w:eastAsia="宋体" w:cs="宋体"/>
        </w:rPr>
        <w:t>2、原文件获取时间：2025年07月10日 - 2025年07月16日（北京时间）</w:t>
      </w:r>
    </w:p>
    <w:p w14:paraId="6053E030">
      <w:pPr>
        <w:keepNext w:val="0"/>
        <w:keepLines w:val="0"/>
        <w:pageBreakBefore w:val="0"/>
        <w:widowControl w:val="0"/>
        <w:kinsoku/>
        <w:wordWrap/>
        <w:overflowPunct/>
        <w:topLinePunct w:val="0"/>
        <w:autoSpaceDE/>
        <w:autoSpaceDN/>
        <w:bidi w:val="0"/>
        <w:adjustRightInd/>
        <w:snapToGrid/>
        <w:spacing w:line="360" w:lineRule="auto"/>
        <w:ind w:left="560" w:leftChars="200"/>
        <w:textAlignment w:val="auto"/>
        <w:rPr>
          <w:rFonts w:hint="eastAsia" w:ascii="宋体" w:hAnsi="宋体" w:eastAsia="宋体" w:cs="宋体"/>
        </w:rPr>
      </w:pPr>
      <w:r>
        <w:rPr>
          <w:rFonts w:hint="eastAsia" w:ascii="宋体" w:hAnsi="宋体" w:eastAsia="宋体" w:cs="宋体"/>
        </w:rPr>
        <w:t>文件获取截至时间变更为：2025年07月16日23时59分（北京时间）</w:t>
      </w:r>
    </w:p>
    <w:p w14:paraId="543CB607">
      <w:pPr>
        <w:keepNext w:val="0"/>
        <w:keepLines w:val="0"/>
        <w:pageBreakBefore w:val="0"/>
        <w:widowControl w:val="0"/>
        <w:kinsoku/>
        <w:wordWrap/>
        <w:overflowPunct/>
        <w:topLinePunct w:val="0"/>
        <w:autoSpaceDE/>
        <w:autoSpaceDN/>
        <w:bidi w:val="0"/>
        <w:adjustRightInd/>
        <w:snapToGrid/>
        <w:spacing w:line="360" w:lineRule="auto"/>
        <w:ind w:left="560" w:leftChars="200"/>
        <w:textAlignment w:val="auto"/>
        <w:rPr>
          <w:rFonts w:hint="eastAsia" w:ascii="宋体" w:hAnsi="宋体" w:eastAsia="宋体" w:cs="宋体"/>
        </w:rPr>
      </w:pPr>
      <w:r>
        <w:rPr>
          <w:rFonts w:hint="eastAsia" w:ascii="宋体" w:hAnsi="宋体" w:eastAsia="宋体" w:cs="宋体"/>
        </w:rPr>
        <w:t>3、原开标时间：2025年07月21日09时30分（北京时间）</w:t>
      </w:r>
    </w:p>
    <w:p w14:paraId="2671DE8A">
      <w:pPr>
        <w:keepNext w:val="0"/>
        <w:keepLines w:val="0"/>
        <w:pageBreakBefore w:val="0"/>
        <w:widowControl w:val="0"/>
        <w:kinsoku/>
        <w:wordWrap/>
        <w:overflowPunct/>
        <w:topLinePunct w:val="0"/>
        <w:autoSpaceDE/>
        <w:autoSpaceDN/>
        <w:bidi w:val="0"/>
        <w:adjustRightInd/>
        <w:snapToGrid/>
        <w:spacing w:line="360" w:lineRule="auto"/>
        <w:ind w:left="560" w:leftChars="200"/>
        <w:textAlignment w:val="auto"/>
        <w:rPr>
          <w:rFonts w:hint="eastAsia" w:ascii="宋体" w:hAnsi="宋体" w:eastAsia="宋体" w:cs="宋体"/>
        </w:rPr>
      </w:pPr>
      <w:r>
        <w:rPr>
          <w:rFonts w:hint="eastAsia" w:ascii="宋体" w:hAnsi="宋体" w:eastAsia="宋体" w:cs="宋体"/>
        </w:rPr>
        <w:t>开标时间变更为：2025年07月23日09时30分（北京时间）</w:t>
      </w:r>
    </w:p>
    <w:p w14:paraId="0374DF7F">
      <w:pPr>
        <w:keepNext w:val="0"/>
        <w:keepLines w:val="0"/>
        <w:pageBreakBefore w:val="0"/>
        <w:widowControl w:val="0"/>
        <w:kinsoku/>
        <w:wordWrap/>
        <w:overflowPunct/>
        <w:topLinePunct w:val="0"/>
        <w:autoSpaceDE/>
        <w:autoSpaceDN/>
        <w:bidi w:val="0"/>
        <w:adjustRightInd/>
        <w:snapToGrid/>
        <w:spacing w:line="360" w:lineRule="auto"/>
        <w:ind w:left="560" w:leftChars="200"/>
        <w:textAlignment w:val="auto"/>
        <w:rPr>
          <w:rFonts w:hint="eastAsia" w:ascii="宋体" w:hAnsi="宋体" w:eastAsia="宋体" w:cs="宋体"/>
        </w:rPr>
      </w:pPr>
      <w:r>
        <w:rPr>
          <w:rFonts w:hint="eastAsia" w:ascii="宋体" w:hAnsi="宋体" w:eastAsia="宋体" w:cs="宋体"/>
        </w:rPr>
        <w:t>4、原采购信息内容</w:t>
      </w:r>
    </w:p>
    <w:p w14:paraId="71A09CA0">
      <w:pPr>
        <w:keepNext w:val="0"/>
        <w:keepLines w:val="0"/>
        <w:pageBreakBefore w:val="0"/>
        <w:widowControl w:val="0"/>
        <w:kinsoku/>
        <w:wordWrap/>
        <w:overflowPunct/>
        <w:topLinePunct w:val="0"/>
        <w:autoSpaceDE/>
        <w:autoSpaceDN/>
        <w:bidi w:val="0"/>
        <w:adjustRightInd/>
        <w:snapToGrid/>
        <w:spacing w:line="360" w:lineRule="auto"/>
        <w:ind w:left="560" w:leftChars="200"/>
        <w:textAlignment w:val="auto"/>
        <w:rPr>
          <w:rFonts w:hint="eastAsia" w:ascii="宋体" w:hAnsi="宋体" w:eastAsia="宋体" w:cs="宋体"/>
        </w:rPr>
      </w:pPr>
      <w:r>
        <w:rPr>
          <w:rFonts w:hint="eastAsia" w:ascii="宋体" w:hAnsi="宋体" w:eastAsia="宋体" w:cs="宋体"/>
        </w:rPr>
        <w:t>（7）根据《关于在政府采购活动中查询及使用信用记录有关问题的通知》(财库[2016]125 号) 的规定，对列入失信被执行人、重大税收违法失信主体【查询渠道：“信用中国”网站（www.creditchina.gov.cn）】，政府采购严重违法失信行为记录名单【查询渠道：中国政府采购网（www.ccgp.gov.cn）】的供应商，拒绝参与本项目政府采购活动。投标人需提供投标单位信用记录查询结果网页截图。</w:t>
      </w:r>
    </w:p>
    <w:p w14:paraId="0D3AAD5F">
      <w:pPr>
        <w:keepNext w:val="0"/>
        <w:keepLines w:val="0"/>
        <w:pageBreakBefore w:val="0"/>
        <w:widowControl w:val="0"/>
        <w:kinsoku/>
        <w:wordWrap/>
        <w:overflowPunct/>
        <w:topLinePunct w:val="0"/>
        <w:autoSpaceDE/>
        <w:autoSpaceDN/>
        <w:bidi w:val="0"/>
        <w:adjustRightInd/>
        <w:snapToGrid/>
        <w:spacing w:line="360" w:lineRule="auto"/>
        <w:ind w:left="560" w:leftChars="200"/>
        <w:textAlignment w:val="auto"/>
        <w:rPr>
          <w:rFonts w:hint="eastAsia" w:ascii="宋体" w:hAnsi="宋体" w:eastAsia="宋体" w:cs="宋体"/>
        </w:rPr>
      </w:pPr>
      <w:r>
        <w:rPr>
          <w:rFonts w:hint="eastAsia" w:ascii="宋体" w:hAnsi="宋体" w:eastAsia="宋体" w:cs="宋体"/>
        </w:rPr>
        <w:t>变更为</w:t>
      </w:r>
    </w:p>
    <w:p w14:paraId="18146CCB">
      <w:pPr>
        <w:keepNext w:val="0"/>
        <w:keepLines w:val="0"/>
        <w:pageBreakBefore w:val="0"/>
        <w:widowControl w:val="0"/>
        <w:kinsoku/>
        <w:wordWrap/>
        <w:overflowPunct/>
        <w:topLinePunct w:val="0"/>
        <w:autoSpaceDE/>
        <w:autoSpaceDN/>
        <w:bidi w:val="0"/>
        <w:adjustRightInd/>
        <w:snapToGrid/>
        <w:spacing w:line="360" w:lineRule="auto"/>
        <w:ind w:left="560" w:leftChars="200"/>
        <w:textAlignment w:val="auto"/>
        <w:rPr>
          <w:rFonts w:hint="eastAsia" w:ascii="宋体" w:hAnsi="宋体" w:eastAsia="宋体" w:cs="宋体"/>
        </w:rPr>
      </w:pPr>
      <w:r>
        <w:rPr>
          <w:rFonts w:hint="eastAsia" w:ascii="宋体" w:hAnsi="宋体" w:eastAsia="宋体" w:cs="宋体"/>
        </w:rPr>
        <w:t>（7）根据《关于在政府采购活动中查询及使用信用记录有关问题的通知》(财库[2016]125 号) 的规定，对列入失信被执行人、重大税收违法失信主体【查询渠道：“信用中国”网站（www.creditchina.gov.cn）】，政府采购严重违法失信行为记录名单【查询渠道：中国政府采购网（www.ccgp.gov.cn）】的供应商，拒绝参与本项目政府采购活动。</w:t>
      </w:r>
    </w:p>
    <w:p w14:paraId="72B052B8">
      <w:pPr>
        <w:keepNext w:val="0"/>
        <w:keepLines w:val="0"/>
        <w:pageBreakBefore w:val="0"/>
        <w:widowControl w:val="0"/>
        <w:kinsoku/>
        <w:wordWrap/>
        <w:overflowPunct/>
        <w:topLinePunct w:val="0"/>
        <w:autoSpaceDE/>
        <w:autoSpaceDN/>
        <w:bidi w:val="0"/>
        <w:adjustRightInd/>
        <w:snapToGrid/>
        <w:spacing w:line="360" w:lineRule="auto"/>
        <w:ind w:left="560" w:leftChars="200"/>
        <w:textAlignment w:val="auto"/>
        <w:rPr>
          <w:rFonts w:hint="eastAsia" w:ascii="宋体" w:hAnsi="宋体" w:eastAsia="宋体" w:cs="宋体"/>
        </w:rPr>
      </w:pPr>
      <w:r>
        <w:rPr>
          <w:rFonts w:hint="eastAsia" w:ascii="宋体" w:hAnsi="宋体" w:eastAsia="宋体" w:cs="宋体"/>
        </w:rPr>
        <w:t>5、更正日期：2025年07月18日10时00分</w:t>
      </w:r>
    </w:p>
    <w:p w14:paraId="571D80F4">
      <w:pPr>
        <w:keepNext w:val="0"/>
        <w:keepLines w:val="0"/>
        <w:pageBreakBefore w:val="0"/>
        <w:widowControl w:val="0"/>
        <w:kinsoku/>
        <w:wordWrap/>
        <w:overflowPunct/>
        <w:topLinePunct w:val="0"/>
        <w:autoSpaceDE/>
        <w:autoSpaceDN/>
        <w:bidi w:val="0"/>
        <w:adjustRightInd/>
        <w:snapToGrid/>
        <w:spacing w:line="360" w:lineRule="auto"/>
        <w:ind w:left="560" w:leftChars="200"/>
        <w:textAlignment w:val="auto"/>
        <w:rPr>
          <w:rFonts w:hint="eastAsia" w:ascii="宋体" w:hAnsi="宋体" w:eastAsia="宋体" w:cs="宋体"/>
        </w:rPr>
      </w:pPr>
      <w:r>
        <w:rPr>
          <w:rFonts w:hint="eastAsia" w:ascii="宋体" w:hAnsi="宋体" w:eastAsia="宋体" w:cs="宋体"/>
        </w:rPr>
        <w:t>三、其他补充事宜</w:t>
      </w:r>
    </w:p>
    <w:p w14:paraId="0456A75C">
      <w:pPr>
        <w:keepNext w:val="0"/>
        <w:keepLines w:val="0"/>
        <w:pageBreakBefore w:val="0"/>
        <w:widowControl w:val="0"/>
        <w:kinsoku/>
        <w:wordWrap/>
        <w:overflowPunct/>
        <w:topLinePunct w:val="0"/>
        <w:autoSpaceDE/>
        <w:autoSpaceDN/>
        <w:bidi w:val="0"/>
        <w:adjustRightInd/>
        <w:snapToGrid/>
        <w:spacing w:line="360" w:lineRule="auto"/>
        <w:ind w:left="560" w:leftChars="200"/>
        <w:textAlignment w:val="auto"/>
        <w:rPr>
          <w:rFonts w:hint="eastAsia" w:ascii="宋体" w:hAnsi="宋体" w:eastAsia="宋体" w:cs="宋体"/>
        </w:rPr>
      </w:pPr>
      <w:r>
        <w:rPr>
          <w:rFonts w:hint="eastAsia" w:ascii="宋体" w:hAnsi="宋体" w:eastAsia="宋体" w:cs="宋体"/>
        </w:rPr>
        <w:t>请各潜在投标人及时下载最新的澄清文件，使用最新的招标文件进行电子投标文件的编制。</w:t>
      </w:r>
    </w:p>
    <w:p w14:paraId="5EF67446">
      <w:pPr>
        <w:keepNext w:val="0"/>
        <w:keepLines w:val="0"/>
        <w:pageBreakBefore w:val="0"/>
        <w:widowControl w:val="0"/>
        <w:kinsoku/>
        <w:wordWrap/>
        <w:overflowPunct/>
        <w:topLinePunct w:val="0"/>
        <w:autoSpaceDE/>
        <w:autoSpaceDN/>
        <w:bidi w:val="0"/>
        <w:adjustRightInd/>
        <w:snapToGrid/>
        <w:spacing w:line="360" w:lineRule="auto"/>
        <w:ind w:left="560" w:leftChars="200"/>
        <w:textAlignment w:val="auto"/>
        <w:rPr>
          <w:rFonts w:hint="eastAsia" w:ascii="宋体" w:hAnsi="宋体" w:eastAsia="宋体" w:cs="宋体"/>
        </w:rPr>
      </w:pPr>
      <w:r>
        <w:rPr>
          <w:rFonts w:hint="eastAsia" w:ascii="宋体" w:hAnsi="宋体" w:eastAsia="宋体" w:cs="宋体"/>
        </w:rPr>
        <w:t>四、凡对本次公告内容提出询问，请按以下方式联系</w:t>
      </w:r>
    </w:p>
    <w:p w14:paraId="3878DA7F">
      <w:pPr>
        <w:keepNext w:val="0"/>
        <w:keepLines w:val="0"/>
        <w:pageBreakBefore w:val="0"/>
        <w:widowControl w:val="0"/>
        <w:kinsoku/>
        <w:wordWrap/>
        <w:overflowPunct/>
        <w:topLinePunct w:val="0"/>
        <w:autoSpaceDE/>
        <w:autoSpaceDN/>
        <w:bidi w:val="0"/>
        <w:adjustRightInd/>
        <w:snapToGrid/>
        <w:spacing w:line="360" w:lineRule="auto"/>
        <w:ind w:left="560" w:leftChars="200"/>
        <w:textAlignment w:val="auto"/>
        <w:rPr>
          <w:rFonts w:hint="eastAsia" w:ascii="宋体" w:hAnsi="宋体" w:eastAsia="宋体" w:cs="宋体"/>
        </w:rPr>
      </w:pPr>
      <w:r>
        <w:rPr>
          <w:rFonts w:hint="eastAsia" w:ascii="宋体" w:hAnsi="宋体" w:eastAsia="宋体" w:cs="宋体"/>
        </w:rPr>
        <w:t>1. 采购人信息</w:t>
      </w:r>
    </w:p>
    <w:p w14:paraId="449D69BC">
      <w:pPr>
        <w:keepNext w:val="0"/>
        <w:keepLines w:val="0"/>
        <w:pageBreakBefore w:val="0"/>
        <w:widowControl w:val="0"/>
        <w:kinsoku/>
        <w:wordWrap/>
        <w:overflowPunct/>
        <w:topLinePunct w:val="0"/>
        <w:autoSpaceDE/>
        <w:autoSpaceDN/>
        <w:bidi w:val="0"/>
        <w:adjustRightInd/>
        <w:snapToGrid/>
        <w:spacing w:line="360" w:lineRule="auto"/>
        <w:ind w:left="560" w:leftChars="200"/>
        <w:textAlignment w:val="auto"/>
        <w:rPr>
          <w:rFonts w:hint="eastAsia" w:ascii="宋体" w:hAnsi="宋体" w:eastAsia="宋体" w:cs="宋体"/>
        </w:rPr>
      </w:pPr>
      <w:r>
        <w:rPr>
          <w:rFonts w:hint="eastAsia" w:ascii="宋体" w:hAnsi="宋体" w:eastAsia="宋体" w:cs="宋体"/>
        </w:rPr>
        <w:t>名称：郑州市上街区教育局</w:t>
      </w:r>
    </w:p>
    <w:p w14:paraId="37605972">
      <w:pPr>
        <w:keepNext w:val="0"/>
        <w:keepLines w:val="0"/>
        <w:pageBreakBefore w:val="0"/>
        <w:widowControl w:val="0"/>
        <w:kinsoku/>
        <w:wordWrap/>
        <w:overflowPunct/>
        <w:topLinePunct w:val="0"/>
        <w:autoSpaceDE/>
        <w:autoSpaceDN/>
        <w:bidi w:val="0"/>
        <w:adjustRightInd/>
        <w:snapToGrid/>
        <w:spacing w:line="360" w:lineRule="auto"/>
        <w:ind w:left="560" w:leftChars="200"/>
        <w:textAlignment w:val="auto"/>
        <w:rPr>
          <w:rFonts w:hint="eastAsia" w:ascii="宋体" w:hAnsi="宋体" w:eastAsia="宋体" w:cs="宋体"/>
        </w:rPr>
      </w:pPr>
      <w:r>
        <w:rPr>
          <w:rFonts w:hint="eastAsia" w:ascii="宋体" w:hAnsi="宋体" w:eastAsia="宋体" w:cs="宋体"/>
        </w:rPr>
        <w:t>地址：郑州市上街区中心路72号东院</w:t>
      </w:r>
    </w:p>
    <w:p w14:paraId="10CE27C4">
      <w:pPr>
        <w:keepNext w:val="0"/>
        <w:keepLines w:val="0"/>
        <w:pageBreakBefore w:val="0"/>
        <w:widowControl w:val="0"/>
        <w:kinsoku/>
        <w:wordWrap/>
        <w:overflowPunct/>
        <w:topLinePunct w:val="0"/>
        <w:autoSpaceDE/>
        <w:autoSpaceDN/>
        <w:bidi w:val="0"/>
        <w:adjustRightInd/>
        <w:snapToGrid/>
        <w:spacing w:line="360" w:lineRule="auto"/>
        <w:ind w:left="560" w:leftChars="200"/>
        <w:textAlignment w:val="auto"/>
        <w:rPr>
          <w:rFonts w:hint="eastAsia" w:ascii="宋体" w:hAnsi="宋体" w:eastAsia="宋体" w:cs="宋体"/>
        </w:rPr>
      </w:pPr>
      <w:r>
        <w:rPr>
          <w:rFonts w:hint="eastAsia" w:ascii="宋体" w:hAnsi="宋体" w:eastAsia="宋体" w:cs="宋体"/>
        </w:rPr>
        <w:t>联系人：虎彪</w:t>
      </w:r>
    </w:p>
    <w:p w14:paraId="3EBA485C">
      <w:pPr>
        <w:keepNext w:val="0"/>
        <w:keepLines w:val="0"/>
        <w:pageBreakBefore w:val="0"/>
        <w:widowControl w:val="0"/>
        <w:kinsoku/>
        <w:wordWrap/>
        <w:overflowPunct/>
        <w:topLinePunct w:val="0"/>
        <w:autoSpaceDE/>
        <w:autoSpaceDN/>
        <w:bidi w:val="0"/>
        <w:adjustRightInd/>
        <w:snapToGrid/>
        <w:spacing w:line="360" w:lineRule="auto"/>
        <w:ind w:left="560" w:leftChars="200"/>
        <w:textAlignment w:val="auto"/>
        <w:rPr>
          <w:rFonts w:hint="eastAsia" w:ascii="宋体" w:hAnsi="宋体" w:eastAsia="宋体" w:cs="宋体"/>
        </w:rPr>
      </w:pPr>
      <w:r>
        <w:rPr>
          <w:rFonts w:hint="eastAsia" w:ascii="宋体" w:hAnsi="宋体" w:eastAsia="宋体" w:cs="宋体"/>
        </w:rPr>
        <w:t>联系方式：0371-68923903</w:t>
      </w:r>
    </w:p>
    <w:p w14:paraId="7FEE7E8C">
      <w:pPr>
        <w:keepNext w:val="0"/>
        <w:keepLines w:val="0"/>
        <w:pageBreakBefore w:val="0"/>
        <w:widowControl w:val="0"/>
        <w:kinsoku/>
        <w:wordWrap/>
        <w:overflowPunct/>
        <w:topLinePunct w:val="0"/>
        <w:autoSpaceDE/>
        <w:autoSpaceDN/>
        <w:bidi w:val="0"/>
        <w:adjustRightInd/>
        <w:snapToGrid/>
        <w:spacing w:line="360" w:lineRule="auto"/>
        <w:ind w:left="560" w:leftChars="200"/>
        <w:textAlignment w:val="auto"/>
        <w:rPr>
          <w:rFonts w:hint="eastAsia" w:ascii="宋体" w:hAnsi="宋体" w:eastAsia="宋体" w:cs="宋体"/>
        </w:rPr>
      </w:pPr>
      <w:r>
        <w:rPr>
          <w:rFonts w:hint="eastAsia" w:ascii="宋体" w:hAnsi="宋体" w:eastAsia="宋体" w:cs="宋体"/>
        </w:rPr>
        <w:t>2.采购代理机构信息（如有）</w:t>
      </w:r>
    </w:p>
    <w:p w14:paraId="292796FD">
      <w:pPr>
        <w:keepNext w:val="0"/>
        <w:keepLines w:val="0"/>
        <w:pageBreakBefore w:val="0"/>
        <w:widowControl w:val="0"/>
        <w:kinsoku/>
        <w:wordWrap/>
        <w:overflowPunct/>
        <w:topLinePunct w:val="0"/>
        <w:autoSpaceDE/>
        <w:autoSpaceDN/>
        <w:bidi w:val="0"/>
        <w:adjustRightInd/>
        <w:snapToGrid/>
        <w:spacing w:line="360" w:lineRule="auto"/>
        <w:ind w:left="560" w:leftChars="200"/>
        <w:textAlignment w:val="auto"/>
        <w:rPr>
          <w:rFonts w:hint="eastAsia" w:ascii="宋体" w:hAnsi="宋体" w:eastAsia="宋体" w:cs="宋体"/>
        </w:rPr>
      </w:pPr>
      <w:r>
        <w:rPr>
          <w:rFonts w:hint="eastAsia" w:ascii="宋体" w:hAnsi="宋体" w:eastAsia="宋体" w:cs="宋体"/>
        </w:rPr>
        <w:t>名称：河南广信项目管理有限公司</w:t>
      </w:r>
    </w:p>
    <w:p w14:paraId="40F01ED3">
      <w:pPr>
        <w:keepNext w:val="0"/>
        <w:keepLines w:val="0"/>
        <w:pageBreakBefore w:val="0"/>
        <w:widowControl w:val="0"/>
        <w:kinsoku/>
        <w:wordWrap/>
        <w:overflowPunct/>
        <w:topLinePunct w:val="0"/>
        <w:autoSpaceDE/>
        <w:autoSpaceDN/>
        <w:bidi w:val="0"/>
        <w:adjustRightInd/>
        <w:snapToGrid/>
        <w:spacing w:line="360" w:lineRule="auto"/>
        <w:ind w:left="560" w:leftChars="200"/>
        <w:textAlignment w:val="auto"/>
        <w:rPr>
          <w:rFonts w:hint="eastAsia" w:ascii="宋体" w:hAnsi="宋体" w:eastAsia="宋体" w:cs="宋体"/>
        </w:rPr>
      </w:pPr>
      <w:r>
        <w:rPr>
          <w:rFonts w:hint="eastAsia" w:ascii="宋体" w:hAnsi="宋体" w:eastAsia="宋体" w:cs="宋体"/>
        </w:rPr>
        <w:t>地址：郑州市郑东新区博学路277号</w:t>
      </w:r>
    </w:p>
    <w:p w14:paraId="14FAE14A">
      <w:pPr>
        <w:keepNext w:val="0"/>
        <w:keepLines w:val="0"/>
        <w:pageBreakBefore w:val="0"/>
        <w:widowControl w:val="0"/>
        <w:kinsoku/>
        <w:wordWrap/>
        <w:overflowPunct/>
        <w:topLinePunct w:val="0"/>
        <w:autoSpaceDE/>
        <w:autoSpaceDN/>
        <w:bidi w:val="0"/>
        <w:adjustRightInd/>
        <w:snapToGrid/>
        <w:spacing w:line="360" w:lineRule="auto"/>
        <w:ind w:left="560" w:leftChars="200"/>
        <w:textAlignment w:val="auto"/>
        <w:rPr>
          <w:rFonts w:hint="eastAsia" w:ascii="宋体" w:hAnsi="宋体" w:eastAsia="宋体" w:cs="宋体"/>
        </w:rPr>
      </w:pPr>
      <w:r>
        <w:rPr>
          <w:rFonts w:hint="eastAsia" w:ascii="宋体" w:hAnsi="宋体" w:eastAsia="宋体" w:cs="宋体"/>
        </w:rPr>
        <w:t>联系人：王迪</w:t>
      </w:r>
    </w:p>
    <w:p w14:paraId="314CEB24">
      <w:pPr>
        <w:keepNext w:val="0"/>
        <w:keepLines w:val="0"/>
        <w:pageBreakBefore w:val="0"/>
        <w:widowControl w:val="0"/>
        <w:kinsoku/>
        <w:wordWrap/>
        <w:overflowPunct/>
        <w:topLinePunct w:val="0"/>
        <w:autoSpaceDE/>
        <w:autoSpaceDN/>
        <w:bidi w:val="0"/>
        <w:adjustRightInd/>
        <w:snapToGrid/>
        <w:spacing w:line="360" w:lineRule="auto"/>
        <w:ind w:left="560" w:leftChars="200"/>
        <w:textAlignment w:val="auto"/>
        <w:rPr>
          <w:rFonts w:hint="eastAsia" w:ascii="宋体" w:hAnsi="宋体" w:eastAsia="宋体" w:cs="宋体"/>
        </w:rPr>
      </w:pPr>
      <w:r>
        <w:rPr>
          <w:rFonts w:hint="eastAsia" w:ascii="宋体" w:hAnsi="宋体" w:eastAsia="宋体" w:cs="宋体"/>
        </w:rPr>
        <w:t>联系方式：19213863347</w:t>
      </w:r>
    </w:p>
    <w:p w14:paraId="6BCA01D0">
      <w:pPr>
        <w:keepNext w:val="0"/>
        <w:keepLines w:val="0"/>
        <w:pageBreakBefore w:val="0"/>
        <w:widowControl w:val="0"/>
        <w:kinsoku/>
        <w:wordWrap/>
        <w:overflowPunct/>
        <w:topLinePunct w:val="0"/>
        <w:autoSpaceDE/>
        <w:autoSpaceDN/>
        <w:bidi w:val="0"/>
        <w:adjustRightInd/>
        <w:snapToGrid/>
        <w:spacing w:line="360" w:lineRule="auto"/>
        <w:ind w:left="560" w:leftChars="200"/>
        <w:textAlignment w:val="auto"/>
        <w:rPr>
          <w:rFonts w:hint="eastAsia" w:ascii="宋体" w:hAnsi="宋体" w:eastAsia="宋体" w:cs="宋体"/>
        </w:rPr>
      </w:pPr>
      <w:r>
        <w:rPr>
          <w:rFonts w:hint="eastAsia" w:ascii="宋体" w:hAnsi="宋体" w:eastAsia="宋体" w:cs="宋体"/>
        </w:rPr>
        <w:t>3.项目联系方式</w:t>
      </w:r>
    </w:p>
    <w:p w14:paraId="687A062D">
      <w:pPr>
        <w:keepNext w:val="0"/>
        <w:keepLines w:val="0"/>
        <w:pageBreakBefore w:val="0"/>
        <w:widowControl w:val="0"/>
        <w:kinsoku/>
        <w:wordWrap/>
        <w:overflowPunct/>
        <w:topLinePunct w:val="0"/>
        <w:autoSpaceDE/>
        <w:autoSpaceDN/>
        <w:bidi w:val="0"/>
        <w:adjustRightInd/>
        <w:snapToGrid/>
        <w:spacing w:line="360" w:lineRule="auto"/>
        <w:ind w:left="560" w:leftChars="200"/>
        <w:textAlignment w:val="auto"/>
        <w:rPr>
          <w:rFonts w:hint="eastAsia" w:ascii="宋体" w:hAnsi="宋体" w:eastAsia="宋体" w:cs="宋体"/>
        </w:rPr>
      </w:pPr>
      <w:r>
        <w:rPr>
          <w:rFonts w:hint="eastAsia" w:ascii="宋体" w:hAnsi="宋体" w:eastAsia="宋体" w:cs="宋体"/>
        </w:rPr>
        <w:t>项目联系人：王迪</w:t>
      </w:r>
    </w:p>
    <w:p w14:paraId="6D11AB17">
      <w:pPr>
        <w:keepNext w:val="0"/>
        <w:keepLines w:val="0"/>
        <w:pageBreakBefore w:val="0"/>
        <w:widowControl w:val="0"/>
        <w:kinsoku/>
        <w:wordWrap/>
        <w:overflowPunct/>
        <w:topLinePunct w:val="0"/>
        <w:autoSpaceDE/>
        <w:autoSpaceDN/>
        <w:bidi w:val="0"/>
        <w:adjustRightInd/>
        <w:snapToGrid/>
        <w:spacing w:line="360" w:lineRule="auto"/>
        <w:ind w:left="560" w:leftChars="200"/>
        <w:textAlignment w:val="auto"/>
        <w:rPr>
          <w:rFonts w:hint="eastAsia" w:ascii="宋体" w:hAnsi="宋体" w:eastAsia="宋体" w:cs="宋体"/>
        </w:rPr>
      </w:pPr>
      <w:r>
        <w:rPr>
          <w:rFonts w:hint="eastAsia" w:ascii="宋体" w:hAnsi="宋体" w:eastAsia="宋体" w:cs="宋体"/>
        </w:rPr>
        <w:t>联系方式：19213863347</w:t>
      </w:r>
    </w:p>
    <w:p w14:paraId="4A07A499">
      <w:pPr>
        <w:rPr>
          <w:rFonts w:hint="eastAsia"/>
          <w:color w:val="auto"/>
          <w:highlight w:val="none"/>
        </w:rPr>
      </w:pPr>
      <w:r>
        <w:rPr>
          <w:rFonts w:hint="eastAsia"/>
          <w:color w:val="auto"/>
          <w:highlight w:val="none"/>
        </w:rPr>
        <w:br w:type="page"/>
      </w:r>
    </w:p>
    <w:p w14:paraId="05709F93">
      <w:pPr>
        <w:pStyle w:val="2"/>
        <w:bidi w:val="0"/>
        <w:ind w:left="0" w:leftChars="0" w:firstLine="0" w:firstLineChars="0"/>
        <w:jc w:val="center"/>
        <w:rPr>
          <w:rFonts w:hint="eastAsia"/>
          <w:color w:val="auto"/>
          <w:highlight w:val="none"/>
        </w:rPr>
      </w:pPr>
      <w:r>
        <w:rPr>
          <w:rFonts w:hint="eastAsia"/>
          <w:color w:val="auto"/>
          <w:highlight w:val="none"/>
        </w:rPr>
        <w:t>第</w:t>
      </w:r>
      <w:r>
        <w:rPr>
          <w:rFonts w:hint="eastAsia"/>
          <w:color w:val="auto"/>
          <w:highlight w:val="none"/>
          <w:lang w:val="en-US" w:eastAsia="zh-CN"/>
        </w:rPr>
        <w:t>二</w:t>
      </w:r>
      <w:r>
        <w:rPr>
          <w:rFonts w:hint="eastAsia"/>
          <w:color w:val="auto"/>
          <w:highlight w:val="none"/>
        </w:rPr>
        <w:t>章  供应商须知</w:t>
      </w:r>
      <w:bookmarkEnd w:id="0"/>
      <w:bookmarkEnd w:id="6"/>
      <w:bookmarkEnd w:id="7"/>
      <w:bookmarkEnd w:id="8"/>
      <w:bookmarkEnd w:id="9"/>
      <w:bookmarkStart w:id="10" w:name="_Toc449027471"/>
      <w:bookmarkStart w:id="11" w:name="_Toc449115771"/>
      <w:r>
        <w:rPr>
          <w:rFonts w:hint="eastAsia"/>
          <w:color w:val="auto"/>
          <w:highlight w:val="none"/>
        </w:rPr>
        <w:t>前附表</w:t>
      </w:r>
      <w:bookmarkEnd w:id="10"/>
      <w:bookmarkEnd w:id="11"/>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233"/>
      </w:tblGrid>
      <w:tr w14:paraId="734C7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08" w:type="dxa"/>
            <w:noWrap w:val="0"/>
            <w:vAlign w:val="center"/>
          </w:tcPr>
          <w:p w14:paraId="5E5FA0CD">
            <w:pPr>
              <w:spacing w:line="360" w:lineRule="auto"/>
              <w:ind w:left="0" w:leftChars="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8233" w:type="dxa"/>
            <w:noWrap w:val="0"/>
            <w:vAlign w:val="center"/>
          </w:tcPr>
          <w:p w14:paraId="73AE76B9">
            <w:pPr>
              <w:spacing w:line="360" w:lineRule="auto"/>
              <w:ind w:left="0" w:leftChars="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内        容</w:t>
            </w:r>
          </w:p>
        </w:tc>
      </w:tr>
      <w:tr w14:paraId="09E8B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1008" w:type="dxa"/>
            <w:noWrap w:val="0"/>
            <w:vAlign w:val="center"/>
          </w:tcPr>
          <w:p w14:paraId="75A6ED53">
            <w:pPr>
              <w:spacing w:line="360" w:lineRule="auto"/>
              <w:ind w:left="0" w:leftChars="0"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8233" w:type="dxa"/>
            <w:tcBorders>
              <w:bottom w:val="single" w:color="auto" w:sz="4" w:space="0"/>
            </w:tcBorders>
            <w:noWrap w:val="0"/>
            <w:vAlign w:val="center"/>
          </w:tcPr>
          <w:p w14:paraId="454457F7">
            <w:pPr>
              <w:spacing w:line="360" w:lineRule="auto"/>
              <w:ind w:left="0" w:leftChars="0" w:firstLine="0" w:firstLineChars="0"/>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采购项目名称：</w:t>
            </w:r>
            <w:bookmarkStart w:id="12" w:name="OLE_LINK6"/>
            <w:bookmarkStart w:id="13" w:name="OLE_LINK3"/>
            <w:r>
              <w:rPr>
                <w:rFonts w:hint="eastAsia" w:asciiTheme="minorEastAsia" w:hAnsiTheme="minorEastAsia" w:eastAsiaTheme="minorEastAsia" w:cstheme="minorEastAsia"/>
                <w:color w:val="auto"/>
                <w:sz w:val="24"/>
                <w:szCs w:val="24"/>
                <w:highlight w:val="none"/>
                <w:lang w:eastAsia="zh-CN"/>
              </w:rPr>
              <w:t>郑州市上街区教育局采购智慧黑板及教室护眼灯设备项目</w:t>
            </w:r>
          </w:p>
          <w:bookmarkEnd w:id="12"/>
          <w:bookmarkEnd w:id="13"/>
          <w:p w14:paraId="74E240FC">
            <w:pPr>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采购项目编号：</w:t>
            </w:r>
            <w:r>
              <w:rPr>
                <w:rFonts w:hint="eastAsia" w:ascii="宋体" w:hAnsi="宋体" w:eastAsia="宋体" w:cs="宋体"/>
                <w:color w:val="auto"/>
                <w:sz w:val="24"/>
                <w:szCs w:val="24"/>
                <w:highlight w:val="none"/>
                <w:lang w:val="en-US" w:eastAsia="zh-CN"/>
              </w:rPr>
              <w:t>郑上财-磋商-【2025】-14</w:t>
            </w:r>
          </w:p>
        </w:tc>
      </w:tr>
      <w:tr w14:paraId="2AD35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1008" w:type="dxa"/>
            <w:noWrap w:val="0"/>
            <w:vAlign w:val="center"/>
          </w:tcPr>
          <w:p w14:paraId="18773DB4">
            <w:pPr>
              <w:spacing w:line="360" w:lineRule="auto"/>
              <w:ind w:left="0" w:leftChars="0"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8233" w:type="dxa"/>
            <w:tcBorders>
              <w:bottom w:val="single" w:color="auto" w:sz="4" w:space="0"/>
            </w:tcBorders>
            <w:noWrap w:val="0"/>
            <w:vAlign w:val="center"/>
          </w:tcPr>
          <w:p w14:paraId="210F753C">
            <w:pPr>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政府采购最高限价：</w:t>
            </w:r>
            <w:r>
              <w:rPr>
                <w:rFonts w:hint="eastAsia" w:asciiTheme="minorEastAsia" w:hAnsiTheme="minorEastAsia" w:eastAsiaTheme="minorEastAsia" w:cstheme="minorEastAsia"/>
                <w:color w:val="auto"/>
                <w:sz w:val="24"/>
                <w:szCs w:val="24"/>
                <w:highlight w:val="none"/>
                <w:lang w:val="en-US" w:eastAsia="zh-CN"/>
              </w:rPr>
              <w:t>1300000</w:t>
            </w:r>
            <w:r>
              <w:rPr>
                <w:rFonts w:hint="eastAsia" w:asciiTheme="minorEastAsia" w:hAnsiTheme="minorEastAsia" w:eastAsiaTheme="minorEastAsia" w:cstheme="minorEastAsia"/>
                <w:color w:val="auto"/>
                <w:sz w:val="24"/>
                <w:szCs w:val="24"/>
                <w:highlight w:val="none"/>
              </w:rPr>
              <w:t>.00元；</w:t>
            </w:r>
            <w:r>
              <w:rPr>
                <w:rFonts w:hint="eastAsia" w:asciiTheme="minorEastAsia" w:hAnsiTheme="minorEastAsia" w:eastAsiaTheme="minorEastAsia" w:cstheme="minorEastAsia"/>
                <w:color w:val="auto"/>
                <w:sz w:val="24"/>
                <w:szCs w:val="24"/>
                <w:highlight w:val="none"/>
                <w:lang w:val="en-US" w:eastAsia="zh-CN"/>
              </w:rPr>
              <w:t>其中：A包90万元，B包40万元</w:t>
            </w:r>
          </w:p>
          <w:p w14:paraId="3E20F081">
            <w:pPr>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资金来源：财政资金（已落实）</w:t>
            </w:r>
          </w:p>
        </w:tc>
      </w:tr>
      <w:tr w14:paraId="4A4DD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08" w:type="dxa"/>
            <w:tcBorders>
              <w:top w:val="single" w:color="auto" w:sz="4" w:space="0"/>
              <w:bottom w:val="nil"/>
            </w:tcBorders>
            <w:noWrap w:val="0"/>
            <w:vAlign w:val="center"/>
          </w:tcPr>
          <w:p w14:paraId="05629F60">
            <w:pPr>
              <w:spacing w:line="360" w:lineRule="auto"/>
              <w:ind w:left="0" w:leftChars="0"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8233" w:type="dxa"/>
            <w:tcBorders>
              <w:top w:val="nil"/>
              <w:bottom w:val="single" w:color="auto" w:sz="4" w:space="0"/>
            </w:tcBorders>
            <w:noWrap w:val="0"/>
            <w:vAlign w:val="center"/>
          </w:tcPr>
          <w:p w14:paraId="7438D8E8">
            <w:pPr>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郑州市上街区教育局采购智慧黑板及教室护眼灯设备</w:t>
            </w:r>
            <w:r>
              <w:rPr>
                <w:rFonts w:hint="eastAsia" w:asciiTheme="minorEastAsia" w:hAnsiTheme="minorEastAsia" w:eastAsiaTheme="minorEastAsia" w:cstheme="minorEastAsia"/>
                <w:color w:val="auto"/>
                <w:sz w:val="24"/>
                <w:szCs w:val="24"/>
                <w:highlight w:val="none"/>
                <w:lang w:val="en-US" w:eastAsia="zh-CN"/>
              </w:rPr>
              <w:t>购置，其中：</w:t>
            </w:r>
            <w:r>
              <w:rPr>
                <w:rFonts w:hint="eastAsia" w:asciiTheme="minorEastAsia" w:hAnsiTheme="minorEastAsia" w:eastAsiaTheme="minorEastAsia" w:cstheme="minorEastAsia"/>
                <w:color w:val="auto"/>
                <w:sz w:val="24"/>
                <w:szCs w:val="24"/>
                <w:highlight w:val="none"/>
              </w:rPr>
              <w:t>智慧黑板采购、安装及</w:t>
            </w:r>
            <w:r>
              <w:rPr>
                <w:rFonts w:hint="eastAsia" w:asciiTheme="minorEastAsia" w:hAnsiTheme="minorEastAsia" w:eastAsiaTheme="minorEastAsia" w:cstheme="minorEastAsia"/>
                <w:color w:val="auto"/>
                <w:sz w:val="24"/>
                <w:szCs w:val="24"/>
                <w:highlight w:val="none"/>
                <w:lang w:val="en-US" w:eastAsia="zh-CN"/>
              </w:rPr>
              <w:t>售后</w:t>
            </w:r>
            <w:r>
              <w:rPr>
                <w:rFonts w:hint="eastAsia" w:asciiTheme="minorEastAsia" w:hAnsiTheme="minorEastAsia" w:eastAsiaTheme="minorEastAsia" w:cstheme="minorEastAsia"/>
                <w:color w:val="auto"/>
                <w:sz w:val="24"/>
                <w:szCs w:val="24"/>
                <w:highlight w:val="none"/>
              </w:rPr>
              <w:t>服务</w:t>
            </w:r>
            <w:r>
              <w:rPr>
                <w:rFonts w:hint="eastAsia" w:asciiTheme="minorEastAsia" w:hAnsiTheme="minorEastAsia" w:eastAsiaTheme="minorEastAsia" w:cstheme="minorEastAsia"/>
                <w:color w:val="auto"/>
                <w:sz w:val="24"/>
                <w:szCs w:val="24"/>
                <w:highlight w:val="none"/>
                <w:lang w:val="en-US" w:eastAsia="zh-CN"/>
              </w:rPr>
              <w:t>共30套，含拆除原有的教学设备30套并安装到指定位置；</w:t>
            </w:r>
            <w:r>
              <w:rPr>
                <w:rFonts w:hint="eastAsia" w:asciiTheme="minorEastAsia" w:hAnsiTheme="minorEastAsia" w:eastAsiaTheme="minorEastAsia" w:cstheme="minorEastAsia"/>
                <w:color w:val="auto"/>
                <w:sz w:val="24"/>
                <w:szCs w:val="24"/>
                <w:highlight w:val="none"/>
              </w:rPr>
              <w:t>LED 教室护眼灯、LED 黑板护眼灯、辅材及安装</w:t>
            </w:r>
            <w:r>
              <w:rPr>
                <w:rFonts w:hint="eastAsia" w:asciiTheme="minorEastAsia" w:hAnsiTheme="minorEastAsia" w:eastAsiaTheme="minorEastAsia" w:cstheme="minorEastAsia"/>
                <w:color w:val="auto"/>
                <w:sz w:val="24"/>
                <w:szCs w:val="24"/>
                <w:highlight w:val="none"/>
                <w:lang w:val="en-US" w:eastAsia="zh-CN"/>
              </w:rPr>
              <w:t>共40套（9个护眼灯+3个黑板灯为一套）</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具体要求详见招标文件第</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章</w:t>
            </w:r>
            <w:r>
              <w:rPr>
                <w:rFonts w:hint="eastAsia" w:asciiTheme="minorEastAsia" w:hAnsiTheme="minorEastAsia" w:eastAsiaTheme="minorEastAsia" w:cstheme="minorEastAsia"/>
                <w:color w:val="auto"/>
                <w:sz w:val="24"/>
                <w:szCs w:val="24"/>
                <w:highlight w:val="none"/>
                <w:lang w:val="en-US" w:eastAsia="zh-CN"/>
              </w:rPr>
              <w:t>采购人需求及技术要求</w:t>
            </w:r>
            <w:r>
              <w:rPr>
                <w:rFonts w:hint="eastAsia" w:asciiTheme="minorEastAsia" w:hAnsiTheme="minorEastAsia" w:eastAsiaTheme="minorEastAsia" w:cstheme="minorEastAsia"/>
                <w:color w:val="auto"/>
                <w:sz w:val="24"/>
                <w:szCs w:val="24"/>
                <w:highlight w:val="none"/>
              </w:rPr>
              <w:t>；</w:t>
            </w:r>
          </w:p>
        </w:tc>
      </w:tr>
      <w:tr w14:paraId="043B5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1008" w:type="dxa"/>
            <w:noWrap w:val="0"/>
            <w:vAlign w:val="center"/>
          </w:tcPr>
          <w:p w14:paraId="705EA6C1">
            <w:pPr>
              <w:spacing w:line="360" w:lineRule="auto"/>
              <w:ind w:left="0" w:leftChars="0"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8233" w:type="dxa"/>
            <w:noWrap w:val="0"/>
            <w:vAlign w:val="center"/>
          </w:tcPr>
          <w:p w14:paraId="5B3C5EED">
            <w:pPr>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供应商资格要求：</w:t>
            </w:r>
          </w:p>
          <w:p w14:paraId="7CCC55D0">
            <w:pPr>
              <w:bidi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（1）具有独立承担民事责任的能力（具有有效的营业执照）</w:t>
            </w:r>
            <w:r>
              <w:rPr>
                <w:rFonts w:hint="eastAsia" w:ascii="宋体" w:hAnsi="宋体" w:eastAsia="宋体" w:cs="宋体"/>
                <w:color w:val="auto"/>
                <w:sz w:val="24"/>
                <w:szCs w:val="24"/>
                <w:highlight w:val="none"/>
                <w:lang w:eastAsia="zh-CN"/>
              </w:rPr>
              <w:t>；</w:t>
            </w:r>
          </w:p>
          <w:p w14:paraId="418DA160">
            <w:pPr>
              <w:bidi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（2）有良好的商业信誉和健全的财务会计制度（</w:t>
            </w:r>
            <w:r>
              <w:rPr>
                <w:rFonts w:hint="eastAsia" w:cs="宋体"/>
                <w:color w:val="auto"/>
                <w:sz w:val="24"/>
                <w:szCs w:val="24"/>
                <w:highlight w:val="none"/>
                <w:lang w:eastAsia="zh-CN"/>
              </w:rPr>
              <w:t>提供近三年任意一年</w:t>
            </w:r>
            <w:r>
              <w:rPr>
                <w:rFonts w:hint="eastAsia" w:ascii="宋体" w:hAnsi="宋体" w:eastAsia="宋体" w:cs="宋体"/>
                <w:color w:val="auto"/>
                <w:sz w:val="24"/>
                <w:szCs w:val="24"/>
                <w:highlight w:val="none"/>
              </w:rPr>
              <w:t>合格的财务审计报告；若企业成立年份不足一年，则需提供开户行出具的资信证明）</w:t>
            </w:r>
            <w:r>
              <w:rPr>
                <w:rFonts w:hint="eastAsia" w:ascii="宋体" w:hAnsi="宋体" w:eastAsia="宋体" w:cs="宋体"/>
                <w:color w:val="auto"/>
                <w:sz w:val="24"/>
                <w:szCs w:val="24"/>
                <w:highlight w:val="none"/>
                <w:lang w:eastAsia="zh-CN"/>
              </w:rPr>
              <w:t>；</w:t>
            </w:r>
          </w:p>
          <w:p w14:paraId="2B24D5E8">
            <w:pPr>
              <w:bidi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（3）具有履行合同所必须的设备和专业技术能力（提供书面承诺书，格式自理）</w:t>
            </w:r>
            <w:r>
              <w:rPr>
                <w:rFonts w:hint="eastAsia" w:ascii="宋体" w:hAnsi="宋体" w:cs="宋体"/>
                <w:color w:val="auto"/>
                <w:sz w:val="24"/>
                <w:szCs w:val="24"/>
                <w:highlight w:val="none"/>
                <w:lang w:eastAsia="zh-CN"/>
              </w:rPr>
              <w:t>；</w:t>
            </w:r>
          </w:p>
          <w:p w14:paraId="12B3A1BD">
            <w:pPr>
              <w:bidi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（4）具有依法缴纳税收和社会保障资金的良好记录（提供202</w:t>
            </w: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rPr>
              <w:t>年以来连续</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个月依法缴纳税收和社会保障资金的证明资料，依法免税或不需要缴纳社会保障资金的投标人，应提供相应文件证明其依法免税或不需要缴纳社会保障资金）</w:t>
            </w:r>
            <w:r>
              <w:rPr>
                <w:rFonts w:hint="eastAsia" w:ascii="宋体" w:hAnsi="宋体" w:eastAsia="宋体" w:cs="宋体"/>
                <w:color w:val="auto"/>
                <w:sz w:val="24"/>
                <w:szCs w:val="24"/>
                <w:highlight w:val="none"/>
                <w:lang w:eastAsia="zh-CN"/>
              </w:rPr>
              <w:t>；</w:t>
            </w:r>
          </w:p>
          <w:p w14:paraId="09D2483A">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（5）参加政府采购活动前三年内，在经营活动中没有重大违法记录（提供书面承诺书，格式自理）；</w:t>
            </w:r>
          </w:p>
          <w:p w14:paraId="6815C9C0">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p w14:paraId="7F49F3B2">
            <w:pPr>
              <w:bidi w:val="0"/>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7</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根据《关于在政府采购活动中查询及使用信用记录有关问题的通知》(财库[2016]125 号) 的规定，对列入失信被执行人、重大税收违法失信主体【查询渠道：“信用中国”网站（</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"http://www.creditchina.gov.cn/"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www.creditchina.gov.cn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）】，政府采购严重违法失信行为记录名单【查询渠道：中国政府采购网（www.ccgp.gov.cn）】的供应商，拒绝参与本项目政府采购活动。</w:t>
            </w:r>
          </w:p>
          <w:p w14:paraId="52D65213">
            <w:pPr>
              <w:bidi w:val="0"/>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8</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单位负责人为同一人或存在控股、管理关系的不同单位，不得参加同一标段投标，否则相关投标均无效。</w:t>
            </w:r>
          </w:p>
          <w:p w14:paraId="1DBD8927">
            <w:pPr>
              <w:bidi w:val="0"/>
              <w:rPr>
                <w:rFonts w:hint="eastAsia" w:asciiTheme="minorEastAsia" w:hAnsiTheme="minorEastAsia" w:eastAsiaTheme="minorEastAsia" w:cstheme="minorEastAsia"/>
                <w:bCs/>
                <w:color w:val="auto"/>
                <w:sz w:val="24"/>
                <w:szCs w:val="24"/>
                <w:highlight w:val="none"/>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9</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本招标项目不接受联合体投标</w:t>
            </w:r>
            <w:r>
              <w:rPr>
                <w:rFonts w:hint="eastAsia" w:ascii="宋体" w:hAnsi="宋体" w:eastAsia="宋体" w:cs="宋体"/>
                <w:color w:val="auto"/>
                <w:sz w:val="24"/>
                <w:szCs w:val="24"/>
                <w:highlight w:val="none"/>
                <w:lang w:eastAsia="zh-CN"/>
              </w:rPr>
              <w:t>。</w:t>
            </w:r>
          </w:p>
        </w:tc>
      </w:tr>
      <w:tr w14:paraId="73A0F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008" w:type="dxa"/>
            <w:noWrap w:val="0"/>
            <w:vAlign w:val="center"/>
          </w:tcPr>
          <w:p w14:paraId="31DCFFAE">
            <w:pPr>
              <w:ind w:left="0" w:leftChars="0"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8233" w:type="dxa"/>
            <w:noWrap w:val="0"/>
            <w:vAlign w:val="center"/>
          </w:tcPr>
          <w:p w14:paraId="30B0868E">
            <w:pPr>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合同履行期限</w:t>
            </w:r>
            <w:r>
              <w:rPr>
                <w:rFonts w:hint="eastAsia" w:asciiTheme="minorEastAsia" w:hAnsiTheme="minorEastAsia" w:eastAsiaTheme="minorEastAsia" w:cstheme="minorEastAsia"/>
                <w:color w:val="auto"/>
                <w:sz w:val="24"/>
                <w:szCs w:val="24"/>
                <w:highlight w:val="none"/>
                <w:lang w:eastAsia="zh-CN"/>
              </w:rPr>
              <w:t>（交货期）</w:t>
            </w:r>
            <w:r>
              <w:rPr>
                <w:rFonts w:hint="eastAsia" w:asciiTheme="minorEastAsia" w:hAnsiTheme="minorEastAsia" w:eastAsiaTheme="minorEastAsia" w:cstheme="minorEastAsia"/>
                <w:color w:val="auto"/>
                <w:sz w:val="24"/>
                <w:szCs w:val="24"/>
                <w:highlight w:val="none"/>
              </w:rPr>
              <w:t>：合同签订后30天内交付使用</w:t>
            </w:r>
          </w:p>
        </w:tc>
      </w:tr>
      <w:tr w14:paraId="50DF0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008" w:type="dxa"/>
            <w:noWrap w:val="0"/>
            <w:vAlign w:val="center"/>
          </w:tcPr>
          <w:p w14:paraId="3F5842AA">
            <w:pPr>
              <w:ind w:left="0" w:leftChars="0"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8233" w:type="dxa"/>
            <w:noWrap w:val="0"/>
            <w:vAlign w:val="center"/>
          </w:tcPr>
          <w:p w14:paraId="74281842">
            <w:pPr>
              <w:ind w:left="0" w:leftChars="0" w:firstLine="0" w:firstLineChars="0"/>
              <w:rPr>
                <w:rFonts w:hint="eastAsia" w:asciiTheme="minorEastAsia" w:hAnsiTheme="minorEastAsia" w:eastAsiaTheme="minorEastAsia" w:cstheme="minorEastAsia"/>
                <w:color w:val="auto"/>
                <w:sz w:val="24"/>
                <w:szCs w:val="24"/>
                <w:highlight w:val="none"/>
              </w:rPr>
            </w:pPr>
            <w:bookmarkStart w:id="14" w:name="_Toc415733503"/>
            <w:r>
              <w:rPr>
                <w:rFonts w:hint="eastAsia" w:asciiTheme="minorEastAsia" w:hAnsiTheme="minorEastAsia" w:eastAsiaTheme="minorEastAsia" w:cstheme="minorEastAsia"/>
                <w:color w:val="auto"/>
                <w:sz w:val="24"/>
                <w:szCs w:val="24"/>
                <w:highlight w:val="none"/>
              </w:rPr>
              <w:t>交货地点：采购人指定地点</w:t>
            </w:r>
            <w:bookmarkEnd w:id="14"/>
            <w:r>
              <w:rPr>
                <w:rFonts w:hint="eastAsia" w:asciiTheme="minorEastAsia" w:hAnsiTheme="minorEastAsia" w:eastAsiaTheme="minorEastAsia" w:cstheme="minorEastAsia"/>
                <w:bCs/>
                <w:color w:val="auto"/>
                <w:sz w:val="24"/>
                <w:szCs w:val="24"/>
                <w:highlight w:val="none"/>
              </w:rPr>
              <w:t>。</w:t>
            </w:r>
          </w:p>
        </w:tc>
      </w:tr>
      <w:tr w14:paraId="73961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008" w:type="dxa"/>
            <w:noWrap w:val="0"/>
            <w:vAlign w:val="center"/>
          </w:tcPr>
          <w:p w14:paraId="2D968050">
            <w:pPr>
              <w:ind w:left="0" w:leftChars="0"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8233" w:type="dxa"/>
            <w:noWrap w:val="0"/>
            <w:vAlign w:val="center"/>
          </w:tcPr>
          <w:p w14:paraId="1920AC2E">
            <w:pPr>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磋商有效期：自响应文件提交截止之日起60日历天。</w:t>
            </w:r>
          </w:p>
        </w:tc>
      </w:tr>
      <w:tr w14:paraId="1211C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noWrap w:val="0"/>
            <w:vAlign w:val="center"/>
          </w:tcPr>
          <w:p w14:paraId="5CB56859">
            <w:pPr>
              <w:ind w:left="0" w:leftChars="0"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8233" w:type="dxa"/>
            <w:noWrap w:val="0"/>
            <w:vAlign w:val="center"/>
          </w:tcPr>
          <w:p w14:paraId="72ACEA4B">
            <w:pPr>
              <w:bidi w:val="0"/>
              <w:ind w:left="0" w:leftChars="0" w:firstLine="240" w:firstLineChars="1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付款方式：</w:t>
            </w:r>
            <w:r>
              <w:rPr>
                <w:rFonts w:hint="eastAsia" w:asciiTheme="minorEastAsia" w:hAnsiTheme="minorEastAsia" w:eastAsiaTheme="minorEastAsia" w:cstheme="minorEastAsia"/>
                <w:color w:val="auto"/>
                <w:sz w:val="24"/>
                <w:szCs w:val="24"/>
                <w:highlight w:val="none"/>
                <w:lang w:eastAsia="zh-CN"/>
              </w:rPr>
              <w:t>项目完成供货、调试，经甲方组织验收合格第一年内支付70%合同额；第二年内支付20%合同额；第三年内，质保期结束后产品无质量等问题支付10%合同额（根据采购人要求开具发票）。</w:t>
            </w:r>
          </w:p>
        </w:tc>
      </w:tr>
      <w:tr w14:paraId="6185B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08" w:type="dxa"/>
            <w:noWrap w:val="0"/>
            <w:vAlign w:val="center"/>
          </w:tcPr>
          <w:p w14:paraId="5289D415">
            <w:pPr>
              <w:ind w:left="0" w:leftChars="0"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8233" w:type="dxa"/>
            <w:noWrap w:val="0"/>
            <w:vAlign w:val="center"/>
          </w:tcPr>
          <w:p w14:paraId="3B71594C">
            <w:pPr>
              <w:ind w:left="0" w:leftChars="0" w:firstLine="0" w:firstLineChars="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竞争性磋商文件的获取：详见“第一章  竞争性磋商公告”要求。</w:t>
            </w:r>
          </w:p>
        </w:tc>
      </w:tr>
      <w:tr w14:paraId="16662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08" w:type="dxa"/>
            <w:noWrap w:val="0"/>
            <w:vAlign w:val="center"/>
          </w:tcPr>
          <w:p w14:paraId="36D7B71A">
            <w:pPr>
              <w:ind w:left="0" w:leftChars="0"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8233" w:type="dxa"/>
            <w:noWrap w:val="0"/>
            <w:vAlign w:val="center"/>
          </w:tcPr>
          <w:p w14:paraId="17CC6204">
            <w:pPr>
              <w:ind w:left="0" w:leftChars="0" w:firstLine="0" w:firstLineChars="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磋商保证金：不需要缴纳</w:t>
            </w:r>
          </w:p>
        </w:tc>
      </w:tr>
      <w:tr w14:paraId="6655B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008" w:type="dxa"/>
            <w:noWrap w:val="0"/>
            <w:vAlign w:val="center"/>
          </w:tcPr>
          <w:p w14:paraId="7A314C6A">
            <w:pPr>
              <w:spacing w:line="360" w:lineRule="auto"/>
              <w:ind w:left="0" w:leftChars="0"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p>
        </w:tc>
        <w:tc>
          <w:tcPr>
            <w:tcW w:w="8233" w:type="dxa"/>
            <w:noWrap w:val="0"/>
            <w:vAlign w:val="center"/>
          </w:tcPr>
          <w:p w14:paraId="437B0221">
            <w:pPr>
              <w:spacing w:line="430" w:lineRule="exact"/>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本项目</w:t>
            </w:r>
            <w:r>
              <w:rPr>
                <w:rFonts w:hint="eastAsia" w:asciiTheme="minorEastAsia" w:hAnsiTheme="minorEastAsia" w:eastAsiaTheme="minorEastAsia" w:cstheme="minorEastAsia"/>
                <w:color w:val="auto"/>
                <w:sz w:val="24"/>
                <w:szCs w:val="24"/>
                <w:highlight w:val="none"/>
              </w:rPr>
              <w:t>采用电子招标投标</w:t>
            </w:r>
          </w:p>
          <w:p w14:paraId="0C81C525">
            <w:pPr>
              <w:spacing w:line="430" w:lineRule="exact"/>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1、按照郑州市公共资源交易中心要求，</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须注册成为郑州市公共资源交易中心网站会员并取得CA密钥后，才能通过公共资源交易平台参与交易活动，尚未办理企业CA锁的，河南省信息化发展有限公司开通了CA数字证书在线办理功能，郑州市公共资源交易中心各交易主体如需办理CA数字证书业务的，可通过以下链接：（http://xaca.hnxaca.com:8081/online/ggzyApply/index.shtml）在线办理。如遇使用问题请拨打客服电话0371-96596，技术支持咨询电话:0371-67188807,4009980000。</w:t>
            </w:r>
          </w:p>
          <w:p w14:paraId="7FCA770D">
            <w:pPr>
              <w:spacing w:line="430" w:lineRule="exact"/>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招标文件的获取：</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须注册成为郑州市公共资源交易中心网站会员并取得CA密钥后，凭CA密钥登录郑州市公共资源交易中心网站（</w:t>
            </w:r>
            <w:r>
              <w:rPr>
                <w:rFonts w:hint="eastAsia" w:asciiTheme="minorEastAsia" w:hAnsiTheme="minorEastAsia" w:eastAsiaTheme="minorEastAsia" w:cstheme="minorEastAsia"/>
                <w:color w:val="auto"/>
                <w:sz w:val="24"/>
                <w:szCs w:val="24"/>
                <w:highlight w:val="none"/>
                <w:lang w:eastAsia="zh-CN"/>
              </w:rPr>
              <w:t>https://zzggzy.zhengzhou.gov.cn/</w:t>
            </w:r>
            <w:r>
              <w:rPr>
                <w:rFonts w:hint="eastAsia" w:asciiTheme="minorEastAsia" w:hAnsiTheme="minorEastAsia" w:eastAsiaTheme="minorEastAsia" w:cstheme="minorEastAsia"/>
                <w:color w:val="auto"/>
                <w:sz w:val="24"/>
                <w:szCs w:val="24"/>
                <w:highlight w:val="none"/>
              </w:rPr>
              <w:t>），点击“交易主体登陆”进入电子招投标交易平台，并按系统提示自行下载所含格式（*.ZZZF）的招标文件及资料。</w:t>
            </w:r>
          </w:p>
          <w:p w14:paraId="0CDC0B86">
            <w:pPr>
              <w:spacing w:line="430" w:lineRule="exact"/>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3、投标文件的上传：</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须使用电子交易系统提供的投标文件制作工具进行电子投标文件的制作，并按要求上传经CA锁签章和加密的电子投标文件（.ZZTF格式）在截止时间前递交到指定地点。</w:t>
            </w:r>
          </w:p>
          <w:p w14:paraId="5A9FF430">
            <w:pPr>
              <w:spacing w:line="430" w:lineRule="exact"/>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4、本项目采用“远程不见面”开标方式，</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无需到市交易中心现场，通过网络即可参加开标大会。在开标前半个小时内，所有</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必须登录“郑州市公共资源交易中心门户网站远程开标大厅”进行签到，按系统提示输入相关信息。</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可在开标时间之后系统内观看开标过程，开标时间到了之后就不能签到，在线准时参加开标活动并进行文件解密、答疑澄清等，没有按时签到视为无效标投标文件当场退回，不参加开标、答疑澄清等引起的所有后果由</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自行承担。</w:t>
            </w:r>
          </w:p>
          <w:p w14:paraId="4251B33C">
            <w:pPr>
              <w:spacing w:line="430" w:lineRule="exact"/>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5、加密电子投标文件逾期上传，采购人不予受理。         </w:t>
            </w:r>
          </w:p>
          <w:p w14:paraId="27E5EBB4">
            <w:pPr>
              <w:spacing w:line="430" w:lineRule="exact"/>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 xml:space="preserve">在投标截止时间前未签到的或因自身原因导致其投标文件在半个小时内未解密的将导致投标无效。  </w:t>
            </w:r>
          </w:p>
          <w:p w14:paraId="43908F73">
            <w:pPr>
              <w:spacing w:line="430" w:lineRule="exact"/>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须保持联系方式畅通，以便随时接受评标委员会的答疑澄清。</w:t>
            </w:r>
          </w:p>
        </w:tc>
      </w:tr>
      <w:tr w14:paraId="7A64F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008" w:type="dxa"/>
            <w:noWrap w:val="0"/>
            <w:vAlign w:val="center"/>
          </w:tcPr>
          <w:p w14:paraId="0617D521">
            <w:pPr>
              <w:spacing w:line="360" w:lineRule="auto"/>
              <w:ind w:left="0" w:leftChars="0"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w:t>
            </w:r>
          </w:p>
        </w:tc>
        <w:tc>
          <w:tcPr>
            <w:tcW w:w="8233" w:type="dxa"/>
            <w:noWrap w:val="0"/>
            <w:vAlign w:val="center"/>
          </w:tcPr>
          <w:p w14:paraId="734D5712">
            <w:pPr>
              <w:spacing w:line="430" w:lineRule="exact"/>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响应文件递交地点及提交截止时间：</w:t>
            </w:r>
          </w:p>
          <w:p w14:paraId="31F0BC18">
            <w:pPr>
              <w:spacing w:line="430" w:lineRule="exact"/>
              <w:ind w:left="0" w:lef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加密版电子响应文件递交地点：郑州市公共资源交易中心（https://zzggzy.zhengzhou.gov.cn）电子交易平台；备注：（1）电子响应文件（.ZZTF格式）须在响应文件提交截止时间前通过“郑州市公共资源交易中心（https://zzggzy.zhengzhou.gov.cn）”电子交易平台加密上传；（2）电子响应文件为“郑州市公共资源交易中心（https://zzggzy.zhengzhou.gov.cn）”网站提供的“投标文件制作工具”软件制作生成的加密版响应文件；（3）各供应商需使用本单位CA锁（制作响应文件时所使用的CA锁）对本单位的加密电子响应文件进行远程不见面方式解密。</w:t>
            </w:r>
          </w:p>
          <w:p w14:paraId="45B6862C">
            <w:pPr>
              <w:spacing w:line="43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时间（北京时间）：</w:t>
            </w:r>
            <w:r>
              <w:rPr>
                <w:rFonts w:hint="eastAsia" w:asciiTheme="minorEastAsia" w:hAnsiTheme="minorEastAsia" w:eastAsiaTheme="minorEastAsia" w:cstheme="minorEastAsia"/>
                <w:color w:val="auto"/>
                <w:sz w:val="24"/>
                <w:szCs w:val="24"/>
                <w:highlight w:val="none"/>
                <w:lang w:eastAsia="zh-CN"/>
              </w:rPr>
              <w:t>2025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07月23日09</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0分。</w:t>
            </w:r>
          </w:p>
        </w:tc>
      </w:tr>
      <w:tr w14:paraId="5C923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noWrap w:val="0"/>
            <w:vAlign w:val="center"/>
          </w:tcPr>
          <w:p w14:paraId="71C709FD">
            <w:pPr>
              <w:spacing w:line="360" w:lineRule="auto"/>
              <w:ind w:left="0" w:leftChars="0"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w:t>
            </w:r>
          </w:p>
        </w:tc>
        <w:tc>
          <w:tcPr>
            <w:tcW w:w="8233" w:type="dxa"/>
            <w:noWrap w:val="0"/>
            <w:vAlign w:val="center"/>
          </w:tcPr>
          <w:p w14:paraId="5BD4FA5F">
            <w:pPr>
              <w:spacing w:line="430" w:lineRule="exac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响应文件开启时间：</w:t>
            </w:r>
            <w:r>
              <w:rPr>
                <w:rFonts w:hint="eastAsia" w:asciiTheme="minorEastAsia" w:hAnsiTheme="minorEastAsia" w:eastAsiaTheme="minorEastAsia" w:cstheme="minorEastAsia"/>
                <w:color w:val="auto"/>
                <w:sz w:val="24"/>
                <w:szCs w:val="24"/>
                <w:highlight w:val="none"/>
                <w:lang w:eastAsia="zh-CN"/>
              </w:rPr>
              <w:t>2025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07月23日09</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0分（北京时间）</w:t>
            </w:r>
          </w:p>
          <w:p w14:paraId="346518F7">
            <w:pPr>
              <w:spacing w:line="430" w:lineRule="exac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响应文件开启</w:t>
            </w:r>
            <w:r>
              <w:rPr>
                <w:rFonts w:hint="eastAsia" w:asciiTheme="minorEastAsia" w:hAnsiTheme="minorEastAsia" w:eastAsiaTheme="minorEastAsia" w:cstheme="minorEastAsia"/>
                <w:bCs/>
                <w:color w:val="auto"/>
                <w:sz w:val="24"/>
                <w:szCs w:val="24"/>
                <w:highlight w:val="none"/>
              </w:rPr>
              <w:t>地点：</w:t>
            </w:r>
            <w:r>
              <w:rPr>
                <w:rFonts w:hint="eastAsia" w:asciiTheme="minorEastAsia" w:hAnsiTheme="minorEastAsia" w:eastAsiaTheme="minorEastAsia" w:cstheme="minorEastAsia"/>
                <w:color w:val="auto"/>
                <w:sz w:val="24"/>
                <w:szCs w:val="24"/>
                <w:highlight w:val="none"/>
              </w:rPr>
              <w:t>郑州市公共资源交易中心门户网站远程开标大厅（https://zzggzy.zhengzhou.gov.cn/BidOpening/）</w:t>
            </w:r>
          </w:p>
        </w:tc>
      </w:tr>
      <w:tr w14:paraId="627E3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008" w:type="dxa"/>
            <w:noWrap w:val="0"/>
            <w:vAlign w:val="center"/>
          </w:tcPr>
          <w:p w14:paraId="60C9ACC3">
            <w:pPr>
              <w:spacing w:line="360" w:lineRule="auto"/>
              <w:ind w:left="0" w:leftChars="0"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w:t>
            </w:r>
          </w:p>
        </w:tc>
        <w:tc>
          <w:tcPr>
            <w:tcW w:w="8233" w:type="dxa"/>
            <w:noWrap w:val="0"/>
            <w:vAlign w:val="center"/>
          </w:tcPr>
          <w:p w14:paraId="66D71242">
            <w:pPr>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响应文件部分格式</w:t>
            </w:r>
            <w:r>
              <w:rPr>
                <w:rFonts w:hint="eastAsia" w:asciiTheme="minorEastAsia" w:hAnsiTheme="minorEastAsia" w:eastAsiaTheme="minorEastAsia" w:cstheme="minorEastAsia"/>
                <w:color w:val="auto"/>
                <w:sz w:val="24"/>
                <w:szCs w:val="24"/>
                <w:highlight w:val="none"/>
              </w:rPr>
              <w:t>中要求签字、盖章：</w:t>
            </w:r>
          </w:p>
          <w:p w14:paraId="638F9937">
            <w:pPr>
              <w:numPr>
                <w:ilvl w:val="0"/>
                <w:numId w:val="1"/>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所有要求供应商盖章的地方可以是供应商的电子公章（若未加盖供应商电子公章的，可以在纸质文件上加盖公章后扫描上传）</w:t>
            </w:r>
          </w:p>
          <w:p w14:paraId="78556D22">
            <w:pPr>
              <w:numPr>
                <w:ilvl w:val="0"/>
                <w:numId w:val="1"/>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所有要求法定代表人或委托代理人签字或盖章的地方可以是电子签章或电子手写签名（若未加盖法定代表人或委托代理人电子签章或电子手写签名的，可以在纸质文件上签字或盖章后扫描上传）</w:t>
            </w:r>
          </w:p>
        </w:tc>
      </w:tr>
      <w:tr w14:paraId="0A29C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008" w:type="dxa"/>
            <w:noWrap w:val="0"/>
            <w:vAlign w:val="center"/>
          </w:tcPr>
          <w:p w14:paraId="21B2FA31">
            <w:pPr>
              <w:spacing w:line="360" w:lineRule="auto"/>
              <w:ind w:left="0" w:leftChars="0"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w:t>
            </w:r>
          </w:p>
        </w:tc>
        <w:tc>
          <w:tcPr>
            <w:tcW w:w="8233" w:type="dxa"/>
            <w:noWrap w:val="0"/>
            <w:vAlign w:val="center"/>
          </w:tcPr>
          <w:p w14:paraId="61ABAC29">
            <w:pPr>
              <w:spacing w:line="430" w:lineRule="exac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根据财库</w:t>
            </w:r>
            <w:r>
              <w:rPr>
                <w:rFonts w:hint="eastAsia" w:asciiTheme="minorEastAsia" w:hAnsiTheme="minorEastAsia" w:eastAsiaTheme="minorEastAsia" w:cstheme="minorEastAsia"/>
                <w:color w:val="auto"/>
                <w:sz w:val="24"/>
                <w:szCs w:val="24"/>
                <w:highlight w:val="none"/>
              </w:rPr>
              <w:t>〔2016〕</w:t>
            </w:r>
            <w:r>
              <w:rPr>
                <w:rFonts w:hint="eastAsia" w:asciiTheme="minorEastAsia" w:hAnsiTheme="minorEastAsia" w:eastAsiaTheme="minorEastAsia" w:cstheme="minorEastAsia"/>
                <w:bCs/>
                <w:color w:val="auto"/>
                <w:sz w:val="24"/>
                <w:szCs w:val="24"/>
                <w:highlight w:val="none"/>
              </w:rPr>
              <w:t>125号文的要求，代理机构将查询供应商信用记录。</w:t>
            </w:r>
          </w:p>
          <w:p w14:paraId="650582EB">
            <w:pPr>
              <w:spacing w:line="430" w:lineRule="exac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1.信用信息查询渠道：信用中国网站（www.creditchina.gov.cn）、中国政府采购网（http://www.ccgp.gov.cn)。</w:t>
            </w:r>
          </w:p>
          <w:p w14:paraId="0AAC0462">
            <w:pPr>
              <w:spacing w:line="430" w:lineRule="exac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2.信用信息查询截止时点：同响应文件提交截止时间，由代理机构查询供应商截止到响应文件截止时间的信用信息记录。</w:t>
            </w:r>
          </w:p>
          <w:p w14:paraId="0E06B7BD">
            <w:pPr>
              <w:bidi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3.信用信息查询记录和证据留存的具体方式：代理机构查询的信</w:t>
            </w:r>
            <w:r>
              <w:rPr>
                <w:rFonts w:hint="eastAsia" w:asciiTheme="minorEastAsia" w:hAnsiTheme="minorEastAsia" w:eastAsiaTheme="minorEastAsia" w:cstheme="minorEastAsia"/>
                <w:color w:val="auto"/>
                <w:sz w:val="24"/>
                <w:szCs w:val="24"/>
                <w:highlight w:val="none"/>
              </w:rPr>
              <w:t>用信息记录将以网页打印稿形式与其他采购文件一并保存。</w:t>
            </w:r>
          </w:p>
          <w:p w14:paraId="55193377">
            <w:pPr>
              <w:bidi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信用信息的使用规则：如供应商被信用中国网站（www.creditchina.gov.cn）列入失信被执行人或重大税收违法失信主体，或被中国政府采购网（www.ccgp.gov.cn）列入政府采购严重违法失信行为记录名单，则其响应文件将被拒绝。</w:t>
            </w:r>
          </w:p>
          <w:p w14:paraId="663CE4EF">
            <w:pPr>
              <w:bidi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响应文件中不附或少附相关查询页，不应视为无效文件，最终以代理机构查询的信用记录作为评审依据。</w:t>
            </w:r>
          </w:p>
          <w:p w14:paraId="10755613">
            <w:pPr>
              <w:bidi w:val="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代理机构查询之后，网站信息发生的任何变更均不再作为评审依据，供应商自行提供的与代理机构查询信息不一致的其他证明材料亦不作为评审依据。</w:t>
            </w:r>
          </w:p>
        </w:tc>
      </w:tr>
      <w:tr w14:paraId="7A74A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008" w:type="dxa"/>
            <w:noWrap w:val="0"/>
            <w:vAlign w:val="center"/>
          </w:tcPr>
          <w:p w14:paraId="3BFA6DCF">
            <w:pPr>
              <w:ind w:left="0" w:leftChars="0"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w:t>
            </w:r>
          </w:p>
        </w:tc>
        <w:tc>
          <w:tcPr>
            <w:tcW w:w="8233" w:type="dxa"/>
            <w:noWrap w:val="0"/>
            <w:vAlign w:val="center"/>
          </w:tcPr>
          <w:p w14:paraId="46C06DFE">
            <w:pPr>
              <w:spacing w:before="72" w:beforeLines="30" w:after="72" w:afterLines="30"/>
              <w:ind w:left="0" w:leftChars="0" w:firstLine="0" w:firstLineChars="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履约保证金：无，成交后成交人向采购人提供履约承诺书。</w:t>
            </w:r>
          </w:p>
        </w:tc>
      </w:tr>
      <w:tr w14:paraId="324AB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008" w:type="dxa"/>
            <w:noWrap w:val="0"/>
            <w:vAlign w:val="center"/>
          </w:tcPr>
          <w:p w14:paraId="18A3B7B8">
            <w:pPr>
              <w:spacing w:line="360" w:lineRule="auto"/>
              <w:ind w:left="0" w:leftChars="0"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w:t>
            </w:r>
          </w:p>
        </w:tc>
        <w:tc>
          <w:tcPr>
            <w:tcW w:w="8233" w:type="dxa"/>
            <w:noWrap w:val="0"/>
            <w:vAlign w:val="top"/>
          </w:tcPr>
          <w:p w14:paraId="4443F7A0">
            <w:pPr>
              <w:spacing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代理服务费：依据河南省招标投标协会关于印发《河南省招标代理服务收费标准》的通知（豫招协[2023]002号）的规定收取，由成交人支付。</w:t>
            </w:r>
          </w:p>
        </w:tc>
      </w:tr>
      <w:tr w14:paraId="0F6F9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008" w:type="dxa"/>
            <w:noWrap w:val="0"/>
            <w:vAlign w:val="center"/>
          </w:tcPr>
          <w:p w14:paraId="1D77F1EF">
            <w:pPr>
              <w:spacing w:line="360" w:lineRule="auto"/>
              <w:ind w:left="0" w:leftChars="0"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w:t>
            </w:r>
          </w:p>
        </w:tc>
        <w:tc>
          <w:tcPr>
            <w:tcW w:w="8233" w:type="dxa"/>
            <w:noWrap w:val="0"/>
            <w:vAlign w:val="top"/>
          </w:tcPr>
          <w:p w14:paraId="2D3CB9C4">
            <w:pPr>
              <w:pStyle w:val="20"/>
              <w:ind w:left="0" w:leftChars="0" w:firstLine="0" w:firstLineChars="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磋商小组构成：由采购人授权的采购人代表1人和相关技术、经济类专家2人，共3人组成.</w:t>
            </w:r>
          </w:p>
          <w:p w14:paraId="60F0DC71">
            <w:pPr>
              <w:spacing w:line="360" w:lineRule="auto"/>
              <w:ind w:left="0" w:leftChars="0"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评审专家确定方式：</w:t>
            </w:r>
            <w:r>
              <w:rPr>
                <w:rFonts w:hint="eastAsia" w:asciiTheme="minorEastAsia" w:hAnsiTheme="minorEastAsia" w:eastAsiaTheme="minorEastAsia" w:cstheme="minorEastAsia"/>
                <w:color w:val="auto"/>
                <w:sz w:val="24"/>
                <w:szCs w:val="24"/>
                <w:highlight w:val="none"/>
                <w:lang w:val="en-US" w:eastAsia="zh-CN"/>
              </w:rPr>
              <w:t>评审</w:t>
            </w:r>
            <w:r>
              <w:rPr>
                <w:rFonts w:hint="eastAsia" w:asciiTheme="minorEastAsia" w:hAnsiTheme="minorEastAsia" w:eastAsiaTheme="minorEastAsia" w:cstheme="minorEastAsia"/>
                <w:color w:val="auto"/>
                <w:sz w:val="24"/>
                <w:szCs w:val="24"/>
                <w:highlight w:val="none"/>
              </w:rPr>
              <w:t>专家</w:t>
            </w:r>
            <w:r>
              <w:rPr>
                <w:rFonts w:hint="eastAsia" w:asciiTheme="minorEastAsia" w:hAnsiTheme="minorEastAsia" w:eastAsiaTheme="minorEastAsia" w:cstheme="minorEastAsia"/>
                <w:color w:val="auto"/>
                <w:sz w:val="24"/>
                <w:szCs w:val="24"/>
                <w:highlight w:val="none"/>
                <w:lang w:val="en-US" w:eastAsia="zh-CN"/>
              </w:rPr>
              <w:t>人数</w:t>
            </w:r>
            <w:r>
              <w:rPr>
                <w:rFonts w:hint="eastAsia" w:asciiTheme="minorEastAsia" w:hAnsiTheme="minorEastAsia" w:eastAsiaTheme="minorEastAsia" w:cstheme="minorEastAsia"/>
                <w:color w:val="auto"/>
                <w:sz w:val="24"/>
                <w:szCs w:val="24"/>
                <w:highlight w:val="none"/>
              </w:rPr>
              <w:t>不少于磋商小组</w:t>
            </w:r>
            <w:r>
              <w:rPr>
                <w:rFonts w:hint="eastAsia" w:asciiTheme="minorEastAsia" w:hAnsiTheme="minorEastAsia" w:eastAsiaTheme="minorEastAsia" w:cstheme="minorEastAsia"/>
                <w:color w:val="auto"/>
                <w:sz w:val="24"/>
                <w:szCs w:val="24"/>
                <w:highlight w:val="none"/>
                <w:lang w:val="en-US" w:eastAsia="zh-CN"/>
              </w:rPr>
              <w:t>成员总数</w:t>
            </w:r>
            <w:r>
              <w:rPr>
                <w:rFonts w:hint="eastAsia" w:asciiTheme="minorEastAsia" w:hAnsiTheme="minorEastAsia" w:eastAsiaTheme="minorEastAsia" w:cstheme="minorEastAsia"/>
                <w:color w:val="auto"/>
                <w:sz w:val="24"/>
                <w:szCs w:val="24"/>
                <w:highlight w:val="none"/>
              </w:rPr>
              <w:t>的三分之二，按相关规定从政府采购</w:t>
            </w:r>
            <w:r>
              <w:rPr>
                <w:rFonts w:hint="eastAsia" w:asciiTheme="minorEastAsia" w:hAnsiTheme="minorEastAsia" w:eastAsiaTheme="minorEastAsia" w:cstheme="minorEastAsia"/>
                <w:color w:val="auto"/>
                <w:sz w:val="24"/>
                <w:szCs w:val="24"/>
                <w:highlight w:val="none"/>
                <w:lang w:val="en-US" w:eastAsia="zh-CN"/>
              </w:rPr>
              <w:t>评审</w:t>
            </w:r>
            <w:r>
              <w:rPr>
                <w:rFonts w:hint="eastAsia" w:asciiTheme="minorEastAsia" w:hAnsiTheme="minorEastAsia" w:eastAsiaTheme="minorEastAsia" w:cstheme="minorEastAsia"/>
                <w:color w:val="auto"/>
                <w:sz w:val="24"/>
                <w:szCs w:val="24"/>
                <w:highlight w:val="none"/>
              </w:rPr>
              <w:t>专家库</w:t>
            </w:r>
            <w:r>
              <w:rPr>
                <w:rFonts w:hint="eastAsia" w:asciiTheme="minorEastAsia" w:hAnsiTheme="minorEastAsia" w:eastAsiaTheme="minorEastAsia" w:cstheme="minorEastAsia"/>
                <w:color w:val="auto"/>
                <w:sz w:val="24"/>
                <w:szCs w:val="24"/>
                <w:highlight w:val="none"/>
                <w:lang w:val="en-US" w:eastAsia="zh-CN"/>
              </w:rPr>
              <w:t>内相关专业的专家名单中</w:t>
            </w:r>
            <w:r>
              <w:rPr>
                <w:rFonts w:hint="eastAsia" w:asciiTheme="minorEastAsia" w:hAnsiTheme="minorEastAsia" w:eastAsiaTheme="minorEastAsia" w:cstheme="minorEastAsia"/>
                <w:color w:val="auto"/>
                <w:sz w:val="24"/>
                <w:szCs w:val="24"/>
                <w:highlight w:val="none"/>
              </w:rPr>
              <w:t>随机抽取。</w:t>
            </w:r>
          </w:p>
        </w:tc>
      </w:tr>
      <w:tr w14:paraId="44167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008" w:type="dxa"/>
            <w:noWrap w:val="0"/>
            <w:vAlign w:val="center"/>
          </w:tcPr>
          <w:p w14:paraId="1B2741EE">
            <w:pPr>
              <w:spacing w:line="360" w:lineRule="auto"/>
              <w:ind w:left="0" w:leftChars="0"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w:t>
            </w:r>
          </w:p>
        </w:tc>
        <w:tc>
          <w:tcPr>
            <w:tcW w:w="8233" w:type="dxa"/>
            <w:noWrap w:val="0"/>
            <w:vAlign w:val="center"/>
          </w:tcPr>
          <w:p w14:paraId="32F099C9">
            <w:pPr>
              <w:bidi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实行电子开评标，获取竞争性磋商文件后，请供应商在“郑州市公共资源交易中心网站（https://zzggzy.zhengzhou.gov.cn）”首页“办事指南”栏目中下载最新版本的“郑州投标文件制作工具及操作手册”，安装工具软件后，使用“文件查看工具”打开竞争性磋商文件认真阅读。制作电子响应文件时必须使用“投标文件制作软件”。</w:t>
            </w:r>
          </w:p>
          <w:p w14:paraId="5780F390">
            <w:pPr>
              <w:bidi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供应商在制作电子标书过程中，如遇到电子交易系统的软件操作问题时，请在工作日（9：00—12点00分，13点00分—17点00分拨打0371-67188807）进行咨询。</w:t>
            </w:r>
          </w:p>
        </w:tc>
      </w:tr>
      <w:tr w14:paraId="67309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noWrap w:val="0"/>
            <w:vAlign w:val="center"/>
          </w:tcPr>
          <w:p w14:paraId="6AA22F29">
            <w:pPr>
              <w:spacing w:line="360" w:lineRule="auto"/>
              <w:ind w:left="0" w:leftChars="0"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w:t>
            </w:r>
          </w:p>
        </w:tc>
        <w:tc>
          <w:tcPr>
            <w:tcW w:w="8233" w:type="dxa"/>
            <w:noWrap w:val="0"/>
            <w:vAlign w:val="center"/>
          </w:tcPr>
          <w:p w14:paraId="2DC0E7FE">
            <w:pPr>
              <w:bidi w:val="0"/>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1.采购人信息</w:t>
            </w:r>
          </w:p>
          <w:p w14:paraId="65240100">
            <w:pPr>
              <w:bidi w:val="0"/>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名称：郑州市上街区教育局 </w:t>
            </w:r>
          </w:p>
          <w:p w14:paraId="20A601EF">
            <w:pPr>
              <w:bidi w:val="0"/>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地址：郑州市上街区中心路72号东院 </w:t>
            </w:r>
          </w:p>
          <w:p w14:paraId="48844AB6">
            <w:pPr>
              <w:bidi w:val="0"/>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eastAsia="zh-CN"/>
              </w:rPr>
              <w:t>虎彪</w:t>
            </w:r>
            <w:r>
              <w:rPr>
                <w:rFonts w:hint="eastAsia" w:asciiTheme="minorEastAsia" w:hAnsiTheme="minorEastAsia" w:eastAsiaTheme="minorEastAsia" w:cstheme="minorEastAsia"/>
                <w:color w:val="auto"/>
                <w:sz w:val="24"/>
                <w:szCs w:val="24"/>
                <w:highlight w:val="none"/>
              </w:rPr>
              <w:t xml:space="preserve"> </w:t>
            </w:r>
          </w:p>
          <w:p w14:paraId="1D777F45">
            <w:pPr>
              <w:bidi w:val="0"/>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联系方式：0371-68923903</w:t>
            </w:r>
          </w:p>
          <w:p w14:paraId="21227468">
            <w:pPr>
              <w:bidi w:val="0"/>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2.采购代理机构信息</w:t>
            </w:r>
          </w:p>
          <w:p w14:paraId="50B6D155">
            <w:pPr>
              <w:bidi w:val="0"/>
              <w:ind w:left="0" w:leftChars="0" w:firstLine="0" w:firstLineChars="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名称：</w:t>
            </w:r>
            <w:r>
              <w:rPr>
                <w:rFonts w:hint="eastAsia" w:asciiTheme="minorEastAsia" w:hAnsiTheme="minorEastAsia" w:eastAsiaTheme="minorEastAsia" w:cstheme="minorEastAsia"/>
                <w:color w:val="auto"/>
                <w:sz w:val="24"/>
                <w:szCs w:val="24"/>
                <w:highlight w:val="none"/>
                <w:lang w:eastAsia="zh-CN"/>
              </w:rPr>
              <w:t>河南广信项目管理有限公司</w:t>
            </w:r>
          </w:p>
          <w:p w14:paraId="0E46985D">
            <w:pPr>
              <w:bidi w:val="0"/>
              <w:ind w:left="0" w:leftChars="0" w:firstLine="0" w:firstLineChars="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lang w:eastAsia="zh-CN"/>
              </w:rPr>
              <w:t>郑州市郑东新区博学路277号</w:t>
            </w:r>
            <w:r>
              <w:rPr>
                <w:rFonts w:hint="eastAsia" w:asciiTheme="minorEastAsia" w:hAnsiTheme="minorEastAsia" w:eastAsiaTheme="minorEastAsia" w:cstheme="minorEastAsia"/>
                <w:color w:val="auto"/>
                <w:sz w:val="24"/>
                <w:szCs w:val="24"/>
                <w:highlight w:val="none"/>
                <w:lang w:val="zh-CN"/>
              </w:rPr>
              <w:t xml:space="preserve"> </w:t>
            </w:r>
          </w:p>
          <w:p w14:paraId="05423EDF">
            <w:pPr>
              <w:bidi w:val="0"/>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val="en-US" w:eastAsia="zh-CN"/>
              </w:rPr>
              <w:t>王迪</w:t>
            </w:r>
          </w:p>
          <w:p w14:paraId="75CD95CB">
            <w:pPr>
              <w:bidi w:val="0"/>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lang w:val="en-US" w:eastAsia="zh-CN"/>
              </w:rPr>
              <w:t>19213863347</w:t>
            </w:r>
          </w:p>
        </w:tc>
      </w:tr>
      <w:tr w14:paraId="220FC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08" w:type="dxa"/>
            <w:noWrap w:val="0"/>
            <w:vAlign w:val="center"/>
          </w:tcPr>
          <w:p w14:paraId="409B6F2E">
            <w:pPr>
              <w:spacing w:line="360" w:lineRule="auto"/>
              <w:ind w:left="0" w:leftChars="0"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w:t>
            </w:r>
          </w:p>
        </w:tc>
        <w:tc>
          <w:tcPr>
            <w:tcW w:w="8233" w:type="dxa"/>
            <w:noWrap w:val="0"/>
            <w:vAlign w:val="center"/>
          </w:tcPr>
          <w:p w14:paraId="33FBB5F4">
            <w:pPr>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政府采购相关政策信息</w:t>
            </w:r>
          </w:p>
          <w:p w14:paraId="0F11155B">
            <w:pPr>
              <w:spacing w:line="360" w:lineRule="auto"/>
              <w:ind w:left="0" w:leftChars="0" w:firstLine="0" w:firstLineChars="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A、为贯彻落实财库[2022]19号《关于进一步加大政府采购支持中小企业力度的通知》、财库[2020]46号《政府采购促进中小企业发展管理办法》的规定，豫财购[2013]14号《河南省财政厅、河南省工业和信息化厅关于政府采购促进小型微型企业发展的实施意见》本项目鼓励中小企业参与投标，中小企业划型标准以工信部联企业〔2011〕300号《工业和信息化部、国家统计局、国家发展和改革委员会、财政部关于印发中小企业划型标准规定的通知</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为依据。</w:t>
            </w:r>
          </w:p>
          <w:p w14:paraId="05127BE0">
            <w:pPr>
              <w:spacing w:line="360" w:lineRule="auto"/>
              <w:ind w:left="0" w:leftChars="0" w:firstLine="0" w:firstLineChars="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B、根据《财政部、司法部关于政府采购支持监狱企业发展有关问题的通知》（财库[2014]68号）规定，本项目支持监狱企业参与政府采购活动。监狱企业参加本项目投标时，须提供由省级以上监狱管理局、戒毒管理局（含新疆生产建设兵团）出具的属于监狱企业的证明文件，视同小型、微型企业，享受评审中价格扣除等政府采购促进中小企业发展的政府采购政策。</w:t>
            </w:r>
          </w:p>
          <w:p w14:paraId="6EBC9FB6">
            <w:pPr>
              <w:spacing w:line="360" w:lineRule="auto"/>
              <w:ind w:left="0" w:leftChars="0" w:firstLine="0" w:firstLineChars="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C、根据政府采购政策，本项目如涉及到强制节能产品，应当采购最新一期节能清单范围内的产品，如涉及到环境标志产品，应当优先采购环境标志产品。在性能、技术、服务等指标同等的条件下，优先采购列入最新一期节能清单、环保清单内的产品，同时列入两个清单的产品优先于只获得其中一项认证的产品。</w:t>
            </w:r>
          </w:p>
          <w:p w14:paraId="1F07DD34">
            <w:pPr>
              <w:spacing w:line="360" w:lineRule="auto"/>
              <w:ind w:left="0" w:leftChars="0" w:firstLine="0" w:firstLineChars="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D、根据《政府采购进口产品管理办法》（财库[2007]119号）规定，政府采购应当采购本国产品，不允许采购进口产品，确需采购进口产品的，实行审核管理。本办法所称进口产品是指通过中国海关报关验放进入中国境内且产自关境外的产品。根据《财政部办公厅关于政府采购进口产品管理有关问题的通知》（财办库[2008]248号）规定，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设定为进口产品。</w:t>
            </w:r>
          </w:p>
          <w:p w14:paraId="5F56BCBB">
            <w:pPr>
              <w:spacing w:line="360" w:lineRule="auto"/>
              <w:ind w:left="0" w:leftChars="0" w:firstLine="0" w:firstLineChars="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E、根据政府采购政策，本项目如涉及到自主创新首购产品，应当采购由财政部会同科技部等部门制定的《政府采购自主创新产品目录》内的产品。</w:t>
            </w:r>
          </w:p>
          <w:p w14:paraId="35DE0385">
            <w:pPr>
              <w:spacing w:line="360" w:lineRule="auto"/>
              <w:ind w:left="0" w:leftChars="0" w:firstLine="0" w:firstLineChars="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F</w:t>
            </w:r>
            <w:r>
              <w:rPr>
                <w:rFonts w:hint="eastAsia" w:asciiTheme="minorEastAsia" w:hAnsiTheme="minorEastAsia" w:eastAsiaTheme="minorEastAsia" w:cstheme="minorEastAsia"/>
                <w:color w:val="auto"/>
                <w:kern w:val="0"/>
                <w:sz w:val="24"/>
                <w:szCs w:val="24"/>
                <w:highlight w:val="none"/>
              </w:rPr>
              <w:t>.中小企业划型标准规定：关于印发中小企业划型标准规定的通知（工信部联企业〔2011〕300 号）、关于印发统计上大中小微型企业划分办法（2017）的通知（国统字〔2017〕213 号）。</w:t>
            </w:r>
          </w:p>
          <w:p w14:paraId="1B834DC6">
            <w:pPr>
              <w:spacing w:line="360" w:lineRule="auto"/>
              <w:ind w:left="0" w:leftChars="0" w:firstLine="0" w:firstLineChars="0"/>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rPr>
              <w:t>G</w:t>
            </w:r>
            <w:r>
              <w:rPr>
                <w:rFonts w:hint="eastAsia" w:asciiTheme="minorEastAsia" w:hAnsiTheme="minorEastAsia" w:eastAsiaTheme="minorEastAsia" w:cstheme="minorEastAsia"/>
                <w:b/>
                <w:bCs/>
                <w:color w:val="auto"/>
                <w:kern w:val="0"/>
                <w:sz w:val="24"/>
                <w:szCs w:val="24"/>
                <w:highlight w:val="none"/>
              </w:rPr>
              <w:t>.采购项目属性：货物</w:t>
            </w:r>
          </w:p>
          <w:p w14:paraId="486B105D">
            <w:pPr>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rPr>
              <w:t>H</w:t>
            </w:r>
            <w:r>
              <w:rPr>
                <w:rFonts w:hint="eastAsia" w:asciiTheme="minorEastAsia" w:hAnsiTheme="minorEastAsia" w:eastAsiaTheme="minorEastAsia" w:cstheme="minorEastAsia"/>
                <w:b/>
                <w:bCs/>
                <w:color w:val="auto"/>
                <w:kern w:val="0"/>
                <w:sz w:val="24"/>
                <w:szCs w:val="24"/>
                <w:highlight w:val="none"/>
              </w:rPr>
              <w:t>.本项目采购内容所属行业：</w:t>
            </w:r>
            <w:r>
              <w:rPr>
                <w:rFonts w:hint="eastAsia" w:asciiTheme="minorEastAsia" w:hAnsiTheme="minorEastAsia" w:eastAsiaTheme="minorEastAsia" w:cstheme="minorEastAsia"/>
                <w:b/>
                <w:bCs/>
                <w:color w:val="auto"/>
                <w:kern w:val="0"/>
                <w:sz w:val="24"/>
                <w:szCs w:val="24"/>
                <w:highlight w:val="none"/>
                <w:lang w:val="en-US" w:eastAsia="zh-CN"/>
              </w:rPr>
              <w:t>工业</w:t>
            </w:r>
          </w:p>
        </w:tc>
      </w:tr>
      <w:tr w14:paraId="074A2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08" w:type="dxa"/>
            <w:noWrap w:val="0"/>
            <w:vAlign w:val="center"/>
          </w:tcPr>
          <w:p w14:paraId="3E915026">
            <w:pPr>
              <w:spacing w:line="360" w:lineRule="auto"/>
              <w:ind w:left="0" w:leftChars="0"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w:t>
            </w:r>
          </w:p>
        </w:tc>
        <w:tc>
          <w:tcPr>
            <w:tcW w:w="8233" w:type="dxa"/>
            <w:noWrap w:val="0"/>
            <w:vAlign w:val="center"/>
          </w:tcPr>
          <w:p w14:paraId="26C2A113">
            <w:pPr>
              <w:pStyle w:val="24"/>
              <w:autoSpaceDE w:val="0"/>
              <w:autoSpaceDN w:val="0"/>
              <w:spacing w:line="360" w:lineRule="auto"/>
              <w:ind w:right="232"/>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其他有关事项：</w:t>
            </w:r>
          </w:p>
          <w:p w14:paraId="03AA913E">
            <w:pPr>
              <w:pStyle w:val="24"/>
              <w:autoSpaceDE w:val="0"/>
              <w:autoSpaceDN w:val="0"/>
              <w:spacing w:line="360" w:lineRule="auto"/>
              <w:ind w:right="232"/>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为进一步优化营商环境，切实做好公共资源交易工作。请供应商在“郑州市公共资源交易中心网站（https://zzggzy.zhengzhou.gov.cn）”首页“通知公告”栏目中查看“关于实施在线磋商谈判的通知”的相关操作手册，认真阅读相关操作手册，在项目评审过程中务必保持全程在线状态，及时响应评审小组发起的磋商(或谈判)、询问(澄清)多次报价(或最终报价)等操作，确保供应商远程开标及多轮报价有序进行，否则由此造成的无法解密或解密失败或无法二次报价等问题由供应商自行承担。</w:t>
            </w:r>
          </w:p>
        </w:tc>
      </w:tr>
      <w:tr w14:paraId="58B67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08" w:type="dxa"/>
            <w:noWrap w:val="0"/>
            <w:vAlign w:val="center"/>
          </w:tcPr>
          <w:p w14:paraId="2E6F02DA">
            <w:pPr>
              <w:spacing w:line="360" w:lineRule="auto"/>
              <w:ind w:left="0" w:leftChars="0"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w:t>
            </w:r>
          </w:p>
        </w:tc>
        <w:tc>
          <w:tcPr>
            <w:tcW w:w="8233" w:type="dxa"/>
            <w:noWrap w:val="0"/>
            <w:vAlign w:val="center"/>
          </w:tcPr>
          <w:p w14:paraId="0364D232">
            <w:pPr>
              <w:widowControl/>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参与同一个标段（包）的供应商存在下列情形之一的，其响应文件无效：</w:t>
            </w:r>
          </w:p>
          <w:p w14:paraId="6695CF57">
            <w:pPr>
              <w:spacing w:line="360" w:lineRule="auto"/>
              <w:ind w:firstLine="0" w:firstLineChars="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1</w:t>
            </w:r>
            <w:r>
              <w:rPr>
                <w:rFonts w:hint="eastAsia" w:asciiTheme="minorEastAsia" w:hAnsiTheme="minorEastAsia" w:eastAsiaTheme="minorEastAsia" w:cstheme="minorEastAsia"/>
                <w:bCs/>
                <w:color w:val="auto"/>
                <w:sz w:val="24"/>
                <w:szCs w:val="24"/>
                <w:highlight w:val="none"/>
              </w:rPr>
              <w:t>）不同供应商的电子投标（响应）文件上传计算机的网卡MAC地址、CPU序列号和硬盘序列号等硬件信息相同的；</w:t>
            </w:r>
          </w:p>
          <w:p w14:paraId="5AB918C1">
            <w:pPr>
              <w:spacing w:line="360" w:lineRule="auto"/>
              <w:ind w:firstLine="0" w:firstLineChars="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rPr>
              <w:t>）不同供应商的投标（响应）文件由同一电子设备编制、打印加密或者上传；</w:t>
            </w:r>
          </w:p>
          <w:p w14:paraId="1FBA0EEA">
            <w:pPr>
              <w:spacing w:line="360" w:lineRule="auto"/>
              <w:ind w:firstLine="0" w:firstLineChars="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3</w:t>
            </w:r>
            <w:r>
              <w:rPr>
                <w:rFonts w:hint="eastAsia" w:asciiTheme="minorEastAsia" w:hAnsiTheme="minorEastAsia" w:eastAsiaTheme="minorEastAsia" w:cstheme="minorEastAsia"/>
                <w:bCs/>
                <w:color w:val="auto"/>
                <w:sz w:val="24"/>
                <w:szCs w:val="24"/>
                <w:highlight w:val="none"/>
              </w:rPr>
              <w:t>）不同供应商的投标（响应）文件由同一电子设备打印、复印；</w:t>
            </w:r>
          </w:p>
          <w:p w14:paraId="74991FDD">
            <w:pPr>
              <w:spacing w:line="360" w:lineRule="auto"/>
              <w:ind w:firstLine="0" w:firstLineChars="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4</w:t>
            </w:r>
            <w:r>
              <w:rPr>
                <w:rFonts w:hint="eastAsia" w:asciiTheme="minorEastAsia" w:hAnsiTheme="minorEastAsia" w:eastAsiaTheme="minorEastAsia" w:cstheme="minorEastAsia"/>
                <w:bCs/>
                <w:color w:val="auto"/>
                <w:sz w:val="24"/>
                <w:szCs w:val="24"/>
                <w:highlight w:val="none"/>
              </w:rPr>
              <w:t>）不同供应商的投标（响应）文件由同一人送达或者分发，或者不同供应商联系人为同一人或不同联系人的联系电话一致的；</w:t>
            </w:r>
          </w:p>
          <w:p w14:paraId="7A3A2A7D">
            <w:pPr>
              <w:spacing w:line="360" w:lineRule="auto"/>
              <w:ind w:firstLine="0" w:firstLineChars="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5</w:t>
            </w:r>
            <w:r>
              <w:rPr>
                <w:rFonts w:hint="eastAsia" w:asciiTheme="minorEastAsia" w:hAnsiTheme="minorEastAsia" w:eastAsiaTheme="minorEastAsia" w:cstheme="minorEastAsia"/>
                <w:bCs/>
                <w:color w:val="auto"/>
                <w:sz w:val="24"/>
                <w:szCs w:val="24"/>
                <w:highlight w:val="none"/>
              </w:rPr>
              <w:t>）不同供应商的投标（响应）文件的内容存在两处以上细节错误一致；</w:t>
            </w:r>
          </w:p>
          <w:p w14:paraId="0362CD7D">
            <w:pPr>
              <w:spacing w:line="360" w:lineRule="auto"/>
              <w:ind w:firstLine="0" w:firstLineChars="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6</w:t>
            </w:r>
            <w:r>
              <w:rPr>
                <w:rFonts w:hint="eastAsia" w:asciiTheme="minorEastAsia" w:hAnsiTheme="minorEastAsia" w:eastAsiaTheme="minorEastAsia" w:cstheme="minorEastAsia"/>
                <w:bCs/>
                <w:color w:val="auto"/>
                <w:sz w:val="24"/>
                <w:szCs w:val="24"/>
                <w:highlight w:val="none"/>
              </w:rPr>
              <w:t>）不同供应商的法定代表人、委托代理人、项目经理、项目负责人等由同一个单位缴纳社会保险或者领取报酬的；</w:t>
            </w:r>
          </w:p>
          <w:p w14:paraId="4B712964">
            <w:pPr>
              <w:spacing w:line="360" w:lineRule="auto"/>
              <w:ind w:firstLine="0" w:firstLineChars="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7</w:t>
            </w:r>
            <w:r>
              <w:rPr>
                <w:rFonts w:hint="eastAsia" w:asciiTheme="minorEastAsia" w:hAnsiTheme="minorEastAsia" w:eastAsiaTheme="minorEastAsia" w:cstheme="minorEastAsia"/>
                <w:bCs/>
                <w:color w:val="auto"/>
                <w:sz w:val="24"/>
                <w:szCs w:val="24"/>
                <w:highlight w:val="none"/>
              </w:rPr>
              <w:t>）不同供应商投标（响应）文件中法定代表人或者负责人签字出自同一人之手；</w:t>
            </w:r>
          </w:p>
          <w:p w14:paraId="254CED54">
            <w:pPr>
              <w:widowControl/>
              <w:spacing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8</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其它涉嫌串通的情形。</w:t>
            </w:r>
          </w:p>
        </w:tc>
      </w:tr>
      <w:tr w14:paraId="6EF03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08" w:type="dxa"/>
            <w:noWrap w:val="0"/>
            <w:vAlign w:val="center"/>
          </w:tcPr>
          <w:p w14:paraId="4AEBB1D8">
            <w:pPr>
              <w:spacing w:line="360" w:lineRule="auto"/>
              <w:ind w:left="0" w:leftChars="0" w:firstLine="0" w:firstLineChars="0"/>
              <w:jc w:val="both"/>
              <w:rPr>
                <w:rFonts w:hint="eastAsia" w:asciiTheme="minorEastAsia" w:hAnsiTheme="minorEastAsia" w:eastAsiaTheme="minorEastAsia" w:cstheme="minorEastAsia"/>
                <w:color w:val="auto"/>
                <w:sz w:val="24"/>
                <w:szCs w:val="24"/>
                <w:highlight w:val="none"/>
              </w:rPr>
            </w:pPr>
            <w:bookmarkStart w:id="15" w:name="_Toc449027472"/>
            <w:bookmarkStart w:id="16" w:name="_Toc369002797"/>
            <w:bookmarkStart w:id="17" w:name="_Toc369002762"/>
            <w:bookmarkStart w:id="18" w:name="_Toc449115772"/>
            <w:bookmarkStart w:id="19" w:name="_Toc369002684"/>
            <w:bookmarkStart w:id="20" w:name="_Toc98041602"/>
            <w:r>
              <w:rPr>
                <w:rFonts w:hint="eastAsia" w:asciiTheme="minorEastAsia" w:hAnsiTheme="minorEastAsia" w:eastAsiaTheme="minorEastAsia" w:cstheme="minorEastAsia"/>
                <w:color w:val="auto"/>
                <w:sz w:val="24"/>
                <w:szCs w:val="24"/>
                <w:highlight w:val="none"/>
              </w:rPr>
              <w:t>24</w:t>
            </w:r>
          </w:p>
        </w:tc>
        <w:tc>
          <w:tcPr>
            <w:tcW w:w="8233" w:type="dxa"/>
            <w:noWrap w:val="0"/>
            <w:vAlign w:val="center"/>
          </w:tcPr>
          <w:p w14:paraId="04F5C828">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郑州市上街区政府采购合同融资政策告知函</w:t>
            </w:r>
          </w:p>
          <w:p w14:paraId="6541A1AD">
            <w:pPr>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各供应商：</w:t>
            </w:r>
          </w:p>
          <w:p w14:paraId="68E8B896">
            <w:pPr>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欢迎贵公司参与郑州市上街区政府采购活动！</w:t>
            </w:r>
          </w:p>
          <w:p w14:paraId="0773073D">
            <w:pPr>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政府采购合同融资是河南省财政厅、郑州市财政局及上街区财政局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和《郑州市财政局关于加强和推进政府采购合同融资工作的通知》（郑财购〔2018〕4号），按照双方自愿的原则提供便捷、优惠的贷款服务。</w:t>
            </w:r>
          </w:p>
          <w:p w14:paraId="0D3FAF1C">
            <w:pPr>
              <w:widowControl/>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贷款渠道和提供贷款的金融机构，可在郑州市上街区政府采购网“通知公告”栏目查询联系。</w:t>
            </w:r>
          </w:p>
        </w:tc>
      </w:tr>
      <w:tr w14:paraId="5F89E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08" w:type="dxa"/>
            <w:noWrap w:val="0"/>
            <w:vAlign w:val="center"/>
          </w:tcPr>
          <w:p w14:paraId="4954506F">
            <w:pPr>
              <w:spacing w:line="360" w:lineRule="auto"/>
              <w:ind w:left="0" w:leftChars="0"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w:t>
            </w:r>
          </w:p>
        </w:tc>
        <w:tc>
          <w:tcPr>
            <w:tcW w:w="8233" w:type="dxa"/>
            <w:noWrap w:val="0"/>
            <w:vAlign w:val="center"/>
          </w:tcPr>
          <w:p w14:paraId="4FB8B81A">
            <w:pPr>
              <w:widowControl/>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样品及演示：不需要</w:t>
            </w:r>
          </w:p>
        </w:tc>
      </w:tr>
      <w:tr w14:paraId="36EFA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08" w:type="dxa"/>
            <w:noWrap w:val="0"/>
            <w:vAlign w:val="center"/>
          </w:tcPr>
          <w:p w14:paraId="3926BCE1">
            <w:pPr>
              <w:spacing w:line="360" w:lineRule="auto"/>
              <w:ind w:left="0" w:leftChars="0"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26</w:t>
            </w:r>
          </w:p>
        </w:tc>
        <w:tc>
          <w:tcPr>
            <w:tcW w:w="8233" w:type="dxa"/>
            <w:noWrap w:val="0"/>
            <w:vAlign w:val="center"/>
          </w:tcPr>
          <w:p w14:paraId="49EFC0E6">
            <w:pPr>
              <w:widowControl/>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供应商提出问题或要求澄清：潜在供应商对磋商文件内容如有疑问或需要澄清的，应按竞争性磋商公告中载明的地址以书面的形式通知到采购代理机构。</w:t>
            </w:r>
          </w:p>
        </w:tc>
      </w:tr>
      <w:tr w14:paraId="2FAA9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08" w:type="dxa"/>
            <w:noWrap w:val="0"/>
            <w:vAlign w:val="center"/>
          </w:tcPr>
          <w:p w14:paraId="168C81B6">
            <w:pPr>
              <w:spacing w:line="360" w:lineRule="auto"/>
              <w:ind w:left="0" w:leftChars="0"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w:t>
            </w:r>
          </w:p>
        </w:tc>
        <w:tc>
          <w:tcPr>
            <w:tcW w:w="8233" w:type="dxa"/>
            <w:noWrap w:val="0"/>
            <w:vAlign w:val="center"/>
          </w:tcPr>
          <w:p w14:paraId="7EC1CAB2">
            <w:pPr>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核心产品将在磋商文件第</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章“采购人需求及技术要求”中载明，供应商提供的核心产品品牌相同的，按照政府采购的相关规定处理。</w:t>
            </w:r>
          </w:p>
          <w:p w14:paraId="77FADF5F">
            <w:pPr>
              <w:widowControl/>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提供相同品牌产品且通过资格审查、符合性审查的不同供应商参加同一合同项下政府采购的，按一家供应商计算，评审后得分最高的同品牌供应商获得成交供应商推荐资格；评审得分相同的，由采购人或者采购人委托评审小组按照磋商文件规定的方式确定一个供应商获得成交供应商推荐资格，磋商文件未规定的采取随机抽取方式确定，其他同品牌供应商不作为成交候选人。</w:t>
            </w:r>
          </w:p>
        </w:tc>
      </w:tr>
      <w:tr w14:paraId="46A88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08" w:type="dxa"/>
            <w:noWrap w:val="0"/>
            <w:vAlign w:val="center"/>
          </w:tcPr>
          <w:p w14:paraId="0244F756">
            <w:pPr>
              <w:spacing w:line="360" w:lineRule="auto"/>
              <w:ind w:left="0" w:leftChars="0" w:firstLine="0" w:firstLineChars="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28</w:t>
            </w:r>
          </w:p>
        </w:tc>
        <w:tc>
          <w:tcPr>
            <w:tcW w:w="8233" w:type="dxa"/>
            <w:noWrap w:val="0"/>
            <w:vAlign w:val="center"/>
          </w:tcPr>
          <w:p w14:paraId="5DB0BD6B">
            <w:pPr>
              <w:widowControl/>
              <w:spacing w:line="360" w:lineRule="auto"/>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质疑和投诉</w:t>
            </w:r>
            <w:r>
              <w:rPr>
                <w:rFonts w:hint="eastAsia" w:asciiTheme="minorEastAsia" w:hAnsiTheme="minorEastAsia" w:eastAsiaTheme="minorEastAsia" w:cstheme="minorEastAsia"/>
                <w:color w:val="auto"/>
                <w:sz w:val="24"/>
                <w:szCs w:val="24"/>
                <w:highlight w:val="none"/>
                <w:lang w:eastAsia="zh-CN"/>
              </w:rPr>
              <w:t>：</w:t>
            </w:r>
          </w:p>
          <w:p w14:paraId="25702EBF">
            <w:pPr>
              <w:widowControl/>
              <w:numPr>
                <w:ilvl w:val="0"/>
                <w:numId w:val="0"/>
              </w:num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供应商认为采购文件、采购过程和中标或者成交结果使自己的权益受到损害的，可以在知道或者应知其权益受到损害之日起 7 个工作日内，以书面形式向采购人、采购代理机构提出质疑。</w:t>
            </w:r>
          </w:p>
          <w:p w14:paraId="65FD1A3F">
            <w:pPr>
              <w:widowControl/>
              <w:numPr>
                <w:ilvl w:val="0"/>
                <w:numId w:val="0"/>
              </w:num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提出质疑的供应商应按照财政部门制定的《政府采购质疑函范本》格式（详见中国政府采购网）和《政府采购质疑和投诉办法》的要求，在法定质疑期内以书面形式提出质疑，针对同一采购程序环节的质疑应一次性提出。超出法定质疑期的、重复提出的、分次提出的或内容、形式不符合《政府采购质疑和投诉办法》的，提出质疑的供应商将依法承担不利后果。</w:t>
            </w:r>
          </w:p>
          <w:p w14:paraId="67532FC1">
            <w:pPr>
              <w:widowControl/>
              <w:numPr>
                <w:ilvl w:val="0"/>
                <w:numId w:val="0"/>
              </w:num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质疑函接收部门、联系电话和通讯地址, 见供应商须知前附表</w:t>
            </w:r>
            <w:r>
              <w:rPr>
                <w:rFonts w:hint="eastAsia" w:asciiTheme="minorEastAsia" w:hAnsiTheme="minorEastAsia" w:eastAsiaTheme="minorEastAsia" w:cstheme="minorEastAsia"/>
                <w:color w:val="auto"/>
                <w:sz w:val="24"/>
                <w:szCs w:val="24"/>
                <w:highlight w:val="none"/>
                <w:lang w:val="en-US" w:eastAsia="zh-CN"/>
              </w:rPr>
              <w:t>第20项</w:t>
            </w:r>
            <w:r>
              <w:rPr>
                <w:rFonts w:hint="eastAsia" w:asciiTheme="minorEastAsia" w:hAnsiTheme="minorEastAsia" w:eastAsiaTheme="minorEastAsia" w:cstheme="minorEastAsia"/>
                <w:color w:val="auto"/>
                <w:sz w:val="24"/>
                <w:szCs w:val="24"/>
                <w:highlight w:val="none"/>
              </w:rPr>
              <w:t>。</w:t>
            </w:r>
          </w:p>
          <w:p w14:paraId="6782711B">
            <w:pPr>
              <w:widowControl/>
              <w:numPr>
                <w:ilvl w:val="0"/>
                <w:numId w:val="0"/>
              </w:num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质疑供应商对采购人、采购代理机构的答复不满意，或者采购人、采购代理机构未在规定时间内作出答复的，可以在答复期满后 15 个工作日内向财政部门提起投诉。</w:t>
            </w:r>
          </w:p>
          <w:p w14:paraId="54D26916">
            <w:pPr>
              <w:widowControl/>
              <w:numPr>
                <w:ilvl w:val="0"/>
                <w:numId w:val="0"/>
              </w:num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投诉人投诉时,应当提交投诉书和必要的证明材料，并按照被投诉采购人、采购代理机构（以下简称被投诉人）和与投诉事项有关的供应商数量提供投诉书的副本。</w:t>
            </w:r>
          </w:p>
        </w:tc>
      </w:tr>
      <w:tr w14:paraId="06614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08" w:type="dxa"/>
            <w:noWrap w:val="0"/>
            <w:vAlign w:val="center"/>
          </w:tcPr>
          <w:p w14:paraId="16B7D7A0">
            <w:pPr>
              <w:spacing w:line="360" w:lineRule="auto"/>
              <w:ind w:left="0" w:leftChars="0" w:firstLine="0" w:firstLineChars="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29</w:t>
            </w:r>
          </w:p>
        </w:tc>
        <w:tc>
          <w:tcPr>
            <w:tcW w:w="8233" w:type="dxa"/>
            <w:noWrap w:val="0"/>
            <w:vAlign w:val="center"/>
          </w:tcPr>
          <w:p w14:paraId="06BAB7A8">
            <w:pPr>
              <w:widowControl/>
              <w:spacing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监督单位</w:t>
            </w:r>
            <w:r>
              <w:rPr>
                <w:rFonts w:hint="eastAsia" w:asciiTheme="minorEastAsia" w:hAnsiTheme="minorEastAsia" w:eastAsiaTheme="minorEastAsia" w:cstheme="minorEastAsia"/>
                <w:color w:val="auto"/>
                <w:sz w:val="24"/>
                <w:szCs w:val="24"/>
                <w:highlight w:val="none"/>
                <w:lang w:eastAsia="zh-CN"/>
              </w:rPr>
              <w:t>：郑州市上街区财政局</w:t>
            </w:r>
          </w:p>
          <w:p w14:paraId="7639607A">
            <w:pPr>
              <w:widowControl/>
              <w:spacing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监督部门：郑州市上街区财政局采购科</w:t>
            </w:r>
          </w:p>
          <w:p w14:paraId="53A09A3D">
            <w:pPr>
              <w:widowControl/>
              <w:spacing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监督部门地址:郑州市上街区连心街 1 号</w:t>
            </w:r>
          </w:p>
          <w:p w14:paraId="25C2444B">
            <w:pPr>
              <w:widowControl/>
              <w:spacing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监督电话：0371-68937437</w:t>
            </w:r>
          </w:p>
        </w:tc>
      </w:tr>
    </w:tbl>
    <w:p w14:paraId="6C496932">
      <w:pPr>
        <w:pStyle w:val="3"/>
        <w:bidi w:val="0"/>
        <w:ind w:left="0" w:leftChars="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r>
        <w:rPr>
          <w:rFonts w:hint="eastAsia" w:asciiTheme="minorEastAsia" w:hAnsiTheme="minorEastAsia" w:eastAsiaTheme="minorEastAsia" w:cstheme="minorEastAsia"/>
          <w:color w:val="auto"/>
          <w:sz w:val="24"/>
          <w:szCs w:val="24"/>
          <w:highlight w:val="none"/>
        </w:rPr>
        <w:t>供应商须知</w:t>
      </w:r>
      <w:bookmarkEnd w:id="15"/>
      <w:bookmarkEnd w:id="16"/>
      <w:bookmarkEnd w:id="17"/>
      <w:bookmarkEnd w:id="18"/>
      <w:bookmarkEnd w:id="19"/>
    </w:p>
    <w:bookmarkEnd w:id="20"/>
    <w:p w14:paraId="08406098">
      <w:pPr>
        <w:pStyle w:val="4"/>
        <w:bidi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一</w:t>
      </w:r>
      <w:r>
        <w:rPr>
          <w:rFonts w:hint="eastAsia" w:asciiTheme="minorEastAsia" w:hAnsiTheme="minorEastAsia" w:eastAsiaTheme="minorEastAsia" w:cstheme="minorEastAsia"/>
          <w:color w:val="auto"/>
          <w:sz w:val="24"/>
          <w:szCs w:val="24"/>
          <w:highlight w:val="none"/>
        </w:rPr>
        <w:t>．适用范围</w:t>
      </w:r>
    </w:p>
    <w:p w14:paraId="47D21887">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根据《中华人民共和国政府采购法》、《中华人民共和国政府采购法实施条例》、《政府采购竞争性磋商采购方式管理暂行办法》（以下简称磋商管理办法）及相关的法律、法规、规章等规定，并结合本项目的特点制定本磋商文件。</w:t>
      </w:r>
    </w:p>
    <w:p w14:paraId="0131C845">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 磋商文件的法律适用及法律效力</w:t>
      </w:r>
    </w:p>
    <w:p w14:paraId="5CDFA644">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1.2.1磋商文件所述内容，仅适用于</w:t>
      </w:r>
      <w:r>
        <w:rPr>
          <w:rFonts w:hint="eastAsia" w:asciiTheme="minorEastAsia" w:hAnsiTheme="minorEastAsia" w:eastAsiaTheme="minorEastAsia" w:cstheme="minorEastAsia"/>
          <w:color w:val="auto"/>
          <w:sz w:val="24"/>
          <w:szCs w:val="24"/>
          <w:highlight w:val="none"/>
          <w:lang w:eastAsia="zh-CN"/>
        </w:rPr>
        <w:t>郑州市上街区教育局采购智慧黑板及教室护眼灯设备项目</w:t>
      </w:r>
      <w:r>
        <w:rPr>
          <w:rFonts w:hint="eastAsia" w:asciiTheme="minorEastAsia" w:hAnsiTheme="minorEastAsia" w:eastAsiaTheme="minorEastAsia" w:cstheme="minorEastAsia"/>
          <w:color w:val="auto"/>
          <w:sz w:val="24"/>
          <w:szCs w:val="24"/>
          <w:highlight w:val="none"/>
        </w:rPr>
        <w:t>。</w:t>
      </w:r>
    </w:p>
    <w:p w14:paraId="6711AC74">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1.2.2磋商文件的修改性文件，如补充文件、澄清文件或磋商文件说明同样具有法律效力。</w:t>
      </w:r>
    </w:p>
    <w:p w14:paraId="5C1FBD24">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1.2.3本磋商文件适用于《中华人民共和国政府采购法》及《中华人民共和国政府采购法实施条例》、《政府采购竞争性磋商采购方式管理暂行办法》和其它相关的法律、法规规定。</w:t>
      </w:r>
    </w:p>
    <w:p w14:paraId="55E11B3F">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1.2.4本磋商文件的解释权属采购人及采购代理机构。</w:t>
      </w:r>
    </w:p>
    <w:p w14:paraId="54CE184D">
      <w:pPr>
        <w:spacing w:line="360" w:lineRule="auto"/>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2.本项目的采购方式</w:t>
      </w:r>
      <w:r>
        <w:rPr>
          <w:rFonts w:hint="eastAsia" w:asciiTheme="minorEastAsia" w:hAnsiTheme="minorEastAsia" w:eastAsiaTheme="minorEastAsia" w:cstheme="minorEastAsia"/>
          <w:color w:val="auto"/>
          <w:sz w:val="24"/>
          <w:szCs w:val="24"/>
          <w:highlight w:val="none"/>
        </w:rPr>
        <w:t>:竞争性磋商采购。</w:t>
      </w:r>
    </w:p>
    <w:p w14:paraId="20F671C2">
      <w:pPr>
        <w:spacing w:line="360" w:lineRule="auto"/>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3.资金来源</w:t>
      </w:r>
      <w:r>
        <w:rPr>
          <w:rFonts w:hint="eastAsia" w:asciiTheme="minorEastAsia" w:hAnsiTheme="minorEastAsia" w:eastAsiaTheme="minorEastAsia" w:cstheme="minorEastAsia"/>
          <w:color w:val="auto"/>
          <w:sz w:val="24"/>
          <w:szCs w:val="24"/>
          <w:highlight w:val="none"/>
        </w:rPr>
        <w:t>:财政资金（已落实）。</w:t>
      </w:r>
    </w:p>
    <w:p w14:paraId="25B598D1">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4．定义</w:t>
      </w:r>
    </w:p>
    <w:p w14:paraId="7C99E3EA">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4.1</w:t>
      </w:r>
      <w:r>
        <w:rPr>
          <w:rFonts w:hint="eastAsia" w:asciiTheme="minorEastAsia" w:hAnsiTheme="minorEastAsia" w:eastAsiaTheme="minorEastAsia" w:cstheme="minorEastAsia"/>
          <w:color w:val="auto"/>
          <w:sz w:val="24"/>
          <w:szCs w:val="24"/>
          <w:highlight w:val="none"/>
        </w:rPr>
        <w:t>“采购代理机构”系指</w:t>
      </w:r>
      <w:r>
        <w:rPr>
          <w:rFonts w:hint="eastAsia" w:asciiTheme="minorEastAsia" w:hAnsiTheme="minorEastAsia" w:eastAsiaTheme="minorEastAsia" w:cstheme="minorEastAsia"/>
          <w:color w:val="auto"/>
          <w:sz w:val="24"/>
          <w:szCs w:val="24"/>
          <w:highlight w:val="none"/>
          <w:lang w:eastAsia="zh-CN"/>
        </w:rPr>
        <w:t>河南广信项目管理有限公司</w:t>
      </w:r>
      <w:r>
        <w:rPr>
          <w:rFonts w:hint="eastAsia" w:asciiTheme="minorEastAsia" w:hAnsiTheme="minorEastAsia" w:eastAsiaTheme="minorEastAsia" w:cstheme="minorEastAsia"/>
          <w:color w:val="auto"/>
          <w:sz w:val="24"/>
          <w:szCs w:val="24"/>
          <w:highlight w:val="none"/>
        </w:rPr>
        <w:t>。</w:t>
      </w:r>
    </w:p>
    <w:p w14:paraId="329444EC">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“供应商”系指向根据政府采购合同，向采购人提供货物、工程或者服务的法人、其他组织或者自然人。</w:t>
      </w:r>
    </w:p>
    <w:p w14:paraId="0CACD466">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“采购人”系指 郑州市上街区教育局。</w:t>
      </w:r>
    </w:p>
    <w:p w14:paraId="0B12C259">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“成交供应商”系指其响应文件被采购人接受，并与采购人签订合同的合格供应商。</w:t>
      </w:r>
    </w:p>
    <w:p w14:paraId="1CE8C7FF">
      <w:pPr>
        <w:tabs>
          <w:tab w:val="left" w:pos="900"/>
        </w:tabs>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“货物”指除了咨询服务以外的所有的物品、货物、装置和/或包括附件、备品备件、图纸、技术文件、用于运输和安装的包装、培训、维修和其他类似服务的供应。</w:t>
      </w:r>
    </w:p>
    <w:p w14:paraId="489E6031">
      <w:pPr>
        <w:bidi w:val="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4.6“货物伴随服务”指磋商文件规定的供应商应承担的技术服务、技术协助、校准及售后服务和其他类似的义务。</w:t>
      </w:r>
    </w:p>
    <w:p w14:paraId="2974B2AB">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5．合格的供应商</w:t>
      </w:r>
    </w:p>
    <w:p w14:paraId="38640E85">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参加磋商的供应商需符合前附表第4条规定；</w:t>
      </w:r>
    </w:p>
    <w:p w14:paraId="6FF06785">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2供应商必须对全部采购内容进行响应，否则，报价将被拒绝；</w:t>
      </w:r>
    </w:p>
    <w:p w14:paraId="519EA69A">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3供应商应从采购代理机构处合理获取磋商文件，复制、复印或其他渠道获取的磋商文件采购代理机构不予认可；</w:t>
      </w:r>
    </w:p>
    <w:p w14:paraId="5DA82402">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4供应商应遵守国家其他有关的法律、法规及管理办法。</w:t>
      </w:r>
    </w:p>
    <w:p w14:paraId="5AC4B809">
      <w:pPr>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6．磋商费用</w:t>
      </w:r>
    </w:p>
    <w:p w14:paraId="0ED90D56">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1无论磋商过程的做法和结果如何，供应商应自行承担参加磋商的所有费用。</w:t>
      </w:r>
    </w:p>
    <w:p w14:paraId="05D51CA8">
      <w:pPr>
        <w:pStyle w:val="4"/>
        <w:bidi w:val="0"/>
        <w:rPr>
          <w:rFonts w:hint="eastAsia" w:asciiTheme="minorEastAsia" w:hAnsiTheme="minorEastAsia" w:eastAsiaTheme="minorEastAsia" w:cstheme="minorEastAsia"/>
          <w:color w:val="auto"/>
          <w:sz w:val="24"/>
          <w:szCs w:val="24"/>
          <w:highlight w:val="none"/>
        </w:rPr>
      </w:pPr>
      <w:bookmarkStart w:id="21" w:name="_Toc369002685"/>
      <w:bookmarkStart w:id="22" w:name="_Toc369002763"/>
      <w:bookmarkStart w:id="23" w:name="_Toc449027473"/>
      <w:bookmarkStart w:id="24" w:name="_Toc369002798"/>
      <w:bookmarkStart w:id="25" w:name="_Toc449115773"/>
      <w:r>
        <w:rPr>
          <w:rFonts w:hint="eastAsia" w:asciiTheme="minorEastAsia" w:hAnsiTheme="minorEastAsia" w:eastAsiaTheme="minorEastAsia" w:cstheme="minorEastAsia"/>
          <w:color w:val="auto"/>
          <w:sz w:val="24"/>
          <w:szCs w:val="24"/>
          <w:highlight w:val="none"/>
        </w:rPr>
        <w:t>二、磋商文件说明</w:t>
      </w:r>
      <w:bookmarkEnd w:id="21"/>
      <w:bookmarkEnd w:id="22"/>
      <w:bookmarkEnd w:id="23"/>
      <w:bookmarkEnd w:id="24"/>
      <w:bookmarkEnd w:id="25"/>
    </w:p>
    <w:p w14:paraId="4BD10BCB">
      <w:pPr>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7．磋商文件的构成</w:t>
      </w:r>
    </w:p>
    <w:p w14:paraId="7253C7E6">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7．1磋商文件用以阐明所需服务需求、磋商方法和程序及合同格式。磋商文件由下述部分组成：</w:t>
      </w:r>
    </w:p>
    <w:p w14:paraId="0DFAED63">
      <w:pPr>
        <w:spacing w:line="360" w:lineRule="auto"/>
        <w:ind w:firstLine="1027" w:firstLineChars="428"/>
        <w:rPr>
          <w:rFonts w:hint="eastAsia" w:asciiTheme="minorEastAsia" w:hAnsiTheme="minorEastAsia" w:eastAsiaTheme="minorEastAsia" w:cstheme="minorEastAsia"/>
          <w:color w:val="auto"/>
          <w:sz w:val="24"/>
          <w:szCs w:val="24"/>
          <w:highlight w:val="none"/>
        </w:rPr>
      </w:pPr>
      <w:bookmarkStart w:id="26" w:name="_Toc288060319"/>
      <w:bookmarkStart w:id="27" w:name="_Toc288203155"/>
      <w:r>
        <w:rPr>
          <w:rFonts w:hint="eastAsia" w:asciiTheme="minorEastAsia" w:hAnsiTheme="minorEastAsia" w:eastAsiaTheme="minorEastAsia" w:cstheme="minorEastAsia"/>
          <w:color w:val="auto"/>
          <w:sz w:val="24"/>
          <w:szCs w:val="24"/>
          <w:highlight w:val="none"/>
        </w:rPr>
        <w:t>第一章   竞争性磋商公告</w:t>
      </w:r>
      <w:bookmarkEnd w:id="26"/>
      <w:bookmarkEnd w:id="27"/>
      <w:bookmarkStart w:id="28" w:name="_Toc287604727"/>
    </w:p>
    <w:p w14:paraId="5558EDE7">
      <w:pPr>
        <w:spacing w:line="360" w:lineRule="auto"/>
        <w:ind w:firstLine="1027" w:firstLineChars="428"/>
        <w:rPr>
          <w:rFonts w:hint="eastAsia" w:asciiTheme="minorEastAsia" w:hAnsiTheme="minorEastAsia" w:eastAsiaTheme="minorEastAsia" w:cstheme="minorEastAsia"/>
          <w:color w:val="auto"/>
          <w:sz w:val="24"/>
          <w:szCs w:val="24"/>
          <w:highlight w:val="none"/>
          <w:lang w:eastAsia="zh-CN"/>
        </w:rPr>
      </w:pPr>
      <w:bookmarkStart w:id="29" w:name="_Toc288203156"/>
      <w:bookmarkStart w:id="30" w:name="_Toc288060320"/>
      <w:r>
        <w:rPr>
          <w:rFonts w:hint="eastAsia" w:asciiTheme="minorEastAsia" w:hAnsiTheme="minorEastAsia" w:eastAsiaTheme="minorEastAsia" w:cstheme="minorEastAsia"/>
          <w:color w:val="auto"/>
          <w:sz w:val="24"/>
          <w:szCs w:val="24"/>
          <w:highlight w:val="none"/>
        </w:rPr>
        <w:t xml:space="preserve">第二章   </w:t>
      </w:r>
      <w:bookmarkEnd w:id="28"/>
      <w:bookmarkEnd w:id="29"/>
      <w:bookmarkEnd w:id="30"/>
      <w:bookmarkStart w:id="31" w:name="_Toc287604728"/>
      <w:r>
        <w:rPr>
          <w:rFonts w:hint="eastAsia" w:asciiTheme="minorEastAsia" w:hAnsiTheme="minorEastAsia" w:eastAsiaTheme="minorEastAsia" w:cstheme="minorEastAsia"/>
          <w:color w:val="auto"/>
          <w:sz w:val="24"/>
          <w:szCs w:val="24"/>
          <w:highlight w:val="none"/>
        </w:rPr>
        <w:t>供应商须知</w:t>
      </w:r>
      <w:r>
        <w:rPr>
          <w:rFonts w:hint="eastAsia" w:asciiTheme="minorEastAsia" w:hAnsiTheme="minorEastAsia" w:eastAsiaTheme="minorEastAsia" w:cstheme="minorEastAsia"/>
          <w:color w:val="auto"/>
          <w:sz w:val="24"/>
          <w:szCs w:val="24"/>
          <w:highlight w:val="none"/>
          <w:lang w:val="en-US" w:eastAsia="zh-CN"/>
        </w:rPr>
        <w:t>前附表</w:t>
      </w:r>
    </w:p>
    <w:p w14:paraId="4C06C22F">
      <w:pPr>
        <w:spacing w:line="360" w:lineRule="auto"/>
        <w:ind w:firstLine="1027" w:firstLineChars="428"/>
        <w:rPr>
          <w:rFonts w:hint="eastAsia" w:asciiTheme="minorEastAsia" w:hAnsiTheme="minorEastAsia" w:eastAsiaTheme="minorEastAsia" w:cstheme="minorEastAsia"/>
          <w:color w:val="auto"/>
          <w:sz w:val="24"/>
          <w:szCs w:val="24"/>
          <w:highlight w:val="none"/>
        </w:rPr>
      </w:pPr>
      <w:bookmarkStart w:id="32" w:name="_Toc288060321"/>
      <w:bookmarkStart w:id="33" w:name="_Toc288203157"/>
      <w:r>
        <w:rPr>
          <w:rFonts w:hint="eastAsia" w:asciiTheme="minorEastAsia" w:hAnsiTheme="minorEastAsia" w:eastAsiaTheme="minorEastAsia" w:cstheme="minorEastAsia"/>
          <w:color w:val="auto"/>
          <w:sz w:val="24"/>
          <w:szCs w:val="24"/>
          <w:highlight w:val="none"/>
        </w:rPr>
        <w:t xml:space="preserve">第三章   </w:t>
      </w:r>
      <w:bookmarkEnd w:id="31"/>
      <w:bookmarkEnd w:id="32"/>
      <w:bookmarkEnd w:id="33"/>
      <w:bookmarkStart w:id="34" w:name="_Toc287604729"/>
      <w:bookmarkStart w:id="35" w:name="_Toc288203158"/>
      <w:bookmarkStart w:id="36" w:name="_Toc288060322"/>
      <w:r>
        <w:rPr>
          <w:rFonts w:hint="eastAsia" w:asciiTheme="minorEastAsia" w:hAnsiTheme="minorEastAsia" w:eastAsiaTheme="minorEastAsia" w:cstheme="minorEastAsia"/>
          <w:color w:val="auto"/>
          <w:sz w:val="24"/>
          <w:szCs w:val="24"/>
          <w:highlight w:val="none"/>
        </w:rPr>
        <w:t>采购人需求及技术要求</w:t>
      </w:r>
    </w:p>
    <w:p w14:paraId="684BE9CE">
      <w:pPr>
        <w:spacing w:line="360" w:lineRule="auto"/>
        <w:ind w:firstLine="1027" w:firstLineChars="428"/>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第四章   </w:t>
      </w:r>
      <w:bookmarkEnd w:id="34"/>
      <w:bookmarkEnd w:id="35"/>
      <w:bookmarkEnd w:id="36"/>
      <w:bookmarkStart w:id="37" w:name="_Toc287604730"/>
      <w:r>
        <w:rPr>
          <w:rFonts w:hint="eastAsia" w:asciiTheme="minorEastAsia" w:hAnsiTheme="minorEastAsia" w:eastAsiaTheme="minorEastAsia" w:cstheme="minorEastAsia"/>
          <w:color w:val="auto"/>
          <w:sz w:val="24"/>
          <w:szCs w:val="24"/>
          <w:highlight w:val="none"/>
        </w:rPr>
        <w:t>合同协议书（格式）</w:t>
      </w:r>
    </w:p>
    <w:p w14:paraId="7A73ADF8">
      <w:pPr>
        <w:spacing w:line="360" w:lineRule="auto"/>
        <w:ind w:firstLine="1027" w:firstLineChars="428"/>
        <w:rPr>
          <w:rFonts w:hint="eastAsia" w:asciiTheme="minorEastAsia" w:hAnsiTheme="minorEastAsia" w:eastAsiaTheme="minorEastAsia" w:cstheme="minorEastAsia"/>
          <w:color w:val="auto"/>
          <w:sz w:val="24"/>
          <w:szCs w:val="24"/>
          <w:highlight w:val="none"/>
        </w:rPr>
      </w:pPr>
      <w:bookmarkStart w:id="38" w:name="_Toc288060323"/>
      <w:bookmarkStart w:id="39" w:name="_Toc288203159"/>
      <w:r>
        <w:rPr>
          <w:rFonts w:hint="eastAsia" w:asciiTheme="minorEastAsia" w:hAnsiTheme="minorEastAsia" w:eastAsiaTheme="minorEastAsia" w:cstheme="minorEastAsia"/>
          <w:color w:val="auto"/>
          <w:sz w:val="24"/>
          <w:szCs w:val="24"/>
          <w:highlight w:val="none"/>
        </w:rPr>
        <w:t xml:space="preserve">第五章   </w:t>
      </w:r>
      <w:bookmarkEnd w:id="37"/>
      <w:bookmarkEnd w:id="38"/>
      <w:bookmarkEnd w:id="39"/>
      <w:bookmarkStart w:id="40" w:name="_Toc287604731"/>
      <w:r>
        <w:rPr>
          <w:rFonts w:hint="eastAsia" w:asciiTheme="minorEastAsia" w:hAnsiTheme="minorEastAsia" w:eastAsiaTheme="minorEastAsia" w:cstheme="minorEastAsia"/>
          <w:color w:val="auto"/>
          <w:sz w:val="24"/>
          <w:szCs w:val="24"/>
          <w:highlight w:val="none"/>
        </w:rPr>
        <w:t>响应文件格式</w:t>
      </w:r>
    </w:p>
    <w:bookmarkEnd w:id="40"/>
    <w:p w14:paraId="1584E1AD">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8．质疑的提出与接收</w:t>
      </w:r>
    </w:p>
    <w:p w14:paraId="1B3A0A97">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8.1供应商认为竞争性磋商文件、采购过程、成交结果使自己的权益受到损害的，可以在知道或者应知其权益受到损害之日起7个工作日内，一次性以书面形式向采购人、采购代理机构提出质疑。质疑函内容应符合</w:t>
      </w:r>
      <w:bookmarkStart w:id="41" w:name="_Toc18115"/>
      <w:r>
        <w:rPr>
          <w:rFonts w:hint="eastAsia" w:asciiTheme="minorEastAsia" w:hAnsiTheme="minorEastAsia" w:eastAsiaTheme="minorEastAsia" w:cstheme="minorEastAsia"/>
          <w:color w:val="auto"/>
          <w:sz w:val="24"/>
          <w:szCs w:val="24"/>
          <w:highlight w:val="none"/>
        </w:rPr>
        <w:t>《政府采购质疑和投诉办法》</w:t>
      </w:r>
      <w:bookmarkEnd w:id="41"/>
      <w:r>
        <w:rPr>
          <w:rFonts w:hint="eastAsia" w:asciiTheme="minorEastAsia" w:hAnsiTheme="minorEastAsia" w:eastAsiaTheme="minorEastAsia" w:cstheme="minorEastAsia"/>
          <w:color w:val="auto"/>
          <w:sz w:val="24"/>
          <w:szCs w:val="24"/>
          <w:highlight w:val="none"/>
        </w:rPr>
        <w:t>要求（联系方式详见供应商须知前附表</w:t>
      </w:r>
      <w:r>
        <w:rPr>
          <w:rFonts w:hint="eastAsia" w:asciiTheme="minorEastAsia" w:hAnsiTheme="minorEastAsia" w:eastAsiaTheme="minorEastAsia" w:cstheme="minorEastAsia"/>
          <w:color w:val="auto"/>
          <w:sz w:val="24"/>
          <w:szCs w:val="24"/>
          <w:highlight w:val="none"/>
          <w:lang w:val="en-US" w:eastAsia="zh-CN"/>
        </w:rPr>
        <w:t>第20项</w:t>
      </w:r>
      <w:r>
        <w:rPr>
          <w:rFonts w:hint="eastAsia" w:asciiTheme="minorEastAsia" w:hAnsiTheme="minorEastAsia" w:eastAsiaTheme="minorEastAsia" w:cstheme="minorEastAsia"/>
          <w:color w:val="auto"/>
          <w:sz w:val="24"/>
          <w:szCs w:val="24"/>
          <w:highlight w:val="none"/>
        </w:rPr>
        <w:t>）。在规定的时间内未提出疑问的，将被视为对竞争性磋商文件、采购过程、成交结果完全认可。</w:t>
      </w:r>
    </w:p>
    <w:p w14:paraId="513A77C6">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9．磋商文件的修改</w:t>
      </w:r>
    </w:p>
    <w:p w14:paraId="76F7BBA8">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9.1采购人可以书面形式修改磋商文件，澄清或者修改将在原竞争性磋商公告发布媒体上发布信息更正公告。如果修改磋商文件的时间距响应文件提交截止时间不足5日的，并且修改内容影响响应文件编制的，将相应延长响应文件提交截止时间。</w:t>
      </w:r>
    </w:p>
    <w:p w14:paraId="077F399A">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9.2采购人、采购代理机构或者磋商小组将做出的修改的内容可能影响响应文件编制的，应当在提交首次响应文件截止之日5日前，以书面形式通知所有接收磋商文件的供应商，不足5日的，应当顺延提交首次响应文件截止之日。</w:t>
      </w:r>
    </w:p>
    <w:p w14:paraId="033B6739">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9.3磋商文件的修改文件将构成磋商文件的一部分，对供应商有约束力。</w:t>
      </w:r>
    </w:p>
    <w:p w14:paraId="205EA30D">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收到磋商文件时，应检查页数和附件数量。供应商发现任何页数或附件数量的遗缺、数字或词汇模糊不清、词义含混不清，应告知采购代理机构补全或澄清。如果供应商不按上述提出要求而造成不良后果，采购代理机构不承担责任。</w:t>
      </w:r>
    </w:p>
    <w:p w14:paraId="3C9BFBAF">
      <w:pPr>
        <w:pStyle w:val="4"/>
        <w:bidi w:val="0"/>
        <w:rPr>
          <w:rFonts w:hint="eastAsia" w:asciiTheme="minorEastAsia" w:hAnsiTheme="minorEastAsia" w:eastAsiaTheme="minorEastAsia" w:cstheme="minorEastAsia"/>
          <w:color w:val="auto"/>
          <w:sz w:val="24"/>
          <w:szCs w:val="24"/>
          <w:highlight w:val="none"/>
        </w:rPr>
      </w:pPr>
      <w:bookmarkStart w:id="42" w:name="_Toc98041606"/>
      <w:bookmarkStart w:id="43" w:name="_Toc369002799"/>
      <w:bookmarkStart w:id="44" w:name="_Toc369002764"/>
      <w:bookmarkStart w:id="45" w:name="_Toc449027474"/>
      <w:bookmarkStart w:id="46" w:name="_Toc449115774"/>
      <w:bookmarkStart w:id="47" w:name="_Toc369002686"/>
      <w:r>
        <w:rPr>
          <w:rFonts w:hint="eastAsia" w:asciiTheme="minorEastAsia" w:hAnsiTheme="minorEastAsia" w:eastAsiaTheme="minorEastAsia" w:cstheme="minorEastAsia"/>
          <w:color w:val="auto"/>
          <w:sz w:val="24"/>
          <w:szCs w:val="24"/>
          <w:highlight w:val="none"/>
        </w:rPr>
        <w:t>三、响应文件</w:t>
      </w:r>
      <w:bookmarkEnd w:id="42"/>
      <w:r>
        <w:rPr>
          <w:rFonts w:hint="eastAsia" w:asciiTheme="minorEastAsia" w:hAnsiTheme="minorEastAsia" w:eastAsiaTheme="minorEastAsia" w:cstheme="minorEastAsia"/>
          <w:color w:val="auto"/>
          <w:sz w:val="24"/>
          <w:szCs w:val="24"/>
          <w:highlight w:val="none"/>
        </w:rPr>
        <w:t>的编写</w:t>
      </w:r>
      <w:bookmarkEnd w:id="43"/>
      <w:bookmarkEnd w:id="44"/>
      <w:bookmarkEnd w:id="45"/>
      <w:bookmarkEnd w:id="46"/>
      <w:bookmarkEnd w:id="47"/>
    </w:p>
    <w:p w14:paraId="631A9117">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10．响应文件的编写要求</w:t>
      </w:r>
    </w:p>
    <w:p w14:paraId="3EE1BB9B">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10.1供应商应仔细阅读磋商文件的所有内容，按磋商文件的要求提供响应文件，并保证所提供的全部资料的真实性，以使其响应文件对磋商文件的实质性要求做出完全响应，否则，其响应文件可能被拒绝。</w:t>
      </w:r>
    </w:p>
    <w:p w14:paraId="44546485">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11．响应文件语言及计量单位</w:t>
      </w:r>
    </w:p>
    <w:p w14:paraId="51074361">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11.1响应文件以及供应商所有与采购人及采购代理机构就磋商来往的函电均使用中文。供应商提供的外文资料应附有相应的中文译本，并以中文译本为准。</w:t>
      </w:r>
    </w:p>
    <w:p w14:paraId="00A47E7C">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11.2响应文件中所使用的计量单位，除在磋商文件的技术规格和要求中另有规定外，应采用中华人民共和国法定计量单位。</w:t>
      </w:r>
    </w:p>
    <w:p w14:paraId="361439BF">
      <w:pPr>
        <w:spacing w:line="360" w:lineRule="auto"/>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12．响应文件的组成</w:t>
      </w:r>
    </w:p>
    <w:p w14:paraId="02403EA0">
      <w:pPr>
        <w:tabs>
          <w:tab w:val="left" w:pos="1680"/>
        </w:tabs>
        <w:spacing w:line="360" w:lineRule="auto"/>
        <w:ind w:firstLine="482" w:firstLineChars="200"/>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12.1供应商实质性</w:t>
      </w:r>
      <w:r>
        <w:rPr>
          <w:rFonts w:hint="eastAsia" w:asciiTheme="minorEastAsia" w:hAnsiTheme="minorEastAsia" w:eastAsiaTheme="minorEastAsia" w:cstheme="minorEastAsia"/>
          <w:b/>
          <w:color w:val="auto"/>
          <w:sz w:val="24"/>
          <w:szCs w:val="24"/>
          <w:highlight w:val="none"/>
          <w:lang w:val="en-US" w:eastAsia="zh-CN"/>
        </w:rPr>
        <w:t>资格、符合性审查</w:t>
      </w:r>
      <w:r>
        <w:rPr>
          <w:rFonts w:hint="eastAsia" w:asciiTheme="minorEastAsia" w:hAnsiTheme="minorEastAsia" w:eastAsiaTheme="minorEastAsia" w:cstheme="minorEastAsia"/>
          <w:b/>
          <w:color w:val="auto"/>
          <w:sz w:val="24"/>
          <w:szCs w:val="24"/>
          <w:highlight w:val="none"/>
        </w:rPr>
        <w:t>审核部分：</w:t>
      </w:r>
    </w:p>
    <w:p w14:paraId="015216D6">
      <w:pPr>
        <w:tabs>
          <w:tab w:val="left" w:pos="1680"/>
        </w:tabs>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实质上没有响应磋商文件要求的响应文件将被拒绝。供应商不得通过修正或撤销不符合要求的偏离或保留，从而使文件成为实质上的响应文件。</w:t>
      </w:r>
    </w:p>
    <w:p w14:paraId="093617E5">
      <w:pPr>
        <w:tabs>
          <w:tab w:val="left" w:pos="1680"/>
        </w:tabs>
        <w:spacing w:line="360" w:lineRule="auto"/>
        <w:ind w:firstLine="482" w:firstLineChars="200"/>
        <w:jc w:val="left"/>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12.1.1资格审查</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详见第三章“供应商须知”前附表第4项规定的供应商资格要求。</w:t>
      </w:r>
    </w:p>
    <w:p w14:paraId="46EFE54A">
      <w:pPr>
        <w:tabs>
          <w:tab w:val="left" w:pos="1680"/>
        </w:tabs>
        <w:spacing w:line="360" w:lineRule="auto"/>
        <w:ind w:firstLine="482" w:firstLineChars="200"/>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12.1.2符合性审查</w:t>
      </w:r>
    </w:p>
    <w:p w14:paraId="01A9231B">
      <w:pPr>
        <w:tabs>
          <w:tab w:val="left" w:pos="1680"/>
        </w:tabs>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（1）响应文件按照</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要求进行签署或盖章；</w:t>
      </w:r>
    </w:p>
    <w:p w14:paraId="212FB45E">
      <w:pPr>
        <w:tabs>
          <w:tab w:val="left" w:pos="1680"/>
        </w:tabs>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（2）未超过政府采购最高限价；</w:t>
      </w:r>
    </w:p>
    <w:p w14:paraId="1312B454">
      <w:pPr>
        <w:tabs>
          <w:tab w:val="left" w:pos="1680"/>
        </w:tabs>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（3）磋商有效期符合磋商文件的要求；</w:t>
      </w:r>
    </w:p>
    <w:p w14:paraId="393C97AA">
      <w:pPr>
        <w:tabs>
          <w:tab w:val="left" w:pos="1680"/>
        </w:tabs>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（4）合同履行期限、质保期、付款方式符合磋商文件的要求；</w:t>
      </w:r>
    </w:p>
    <w:p w14:paraId="5320048E">
      <w:pPr>
        <w:tabs>
          <w:tab w:val="left" w:pos="1680"/>
        </w:tabs>
        <w:spacing w:line="360" w:lineRule="auto"/>
        <w:ind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）不存在磋商文件“供应商须知前附表第23条”规定的响应文件无效的情形。</w:t>
      </w:r>
    </w:p>
    <w:p w14:paraId="37B15D57">
      <w:pPr>
        <w:tabs>
          <w:tab w:val="left" w:pos="1680"/>
        </w:tabs>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）响应文件未附有采购人不能接受的条件。</w:t>
      </w:r>
    </w:p>
    <w:p w14:paraId="3E69A4FD">
      <w:pPr>
        <w:spacing w:line="360" w:lineRule="auto"/>
        <w:ind w:firstLine="361" w:firstLineChars="15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12.2报价部分：</w:t>
      </w:r>
    </w:p>
    <w:p w14:paraId="74D01DA2">
      <w:pPr>
        <w:spacing w:line="360" w:lineRule="auto"/>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12.2.1报价函；</w:t>
      </w:r>
    </w:p>
    <w:p w14:paraId="3EA79CA4">
      <w:pPr>
        <w:spacing w:line="360" w:lineRule="auto"/>
        <w:ind w:left="560" w:leftChars="200" w:firstLine="120" w:firstLineChars="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（1）报价一览表；</w:t>
      </w:r>
    </w:p>
    <w:p w14:paraId="0D03BB0E">
      <w:pPr>
        <w:spacing w:line="360" w:lineRule="auto"/>
        <w:ind w:left="560" w:leftChars="200" w:firstLine="120" w:firstLineChars="5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bCs/>
          <w:color w:val="auto"/>
          <w:sz w:val="24"/>
          <w:szCs w:val="24"/>
          <w:highlight w:val="none"/>
        </w:rPr>
        <w:t>分项报价明细表。</w:t>
      </w:r>
    </w:p>
    <w:p w14:paraId="2C13460C">
      <w:pPr>
        <w:spacing w:line="360" w:lineRule="auto"/>
        <w:ind w:firstLine="354" w:firstLineChars="147"/>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13．响应文件格式</w:t>
      </w:r>
    </w:p>
    <w:p w14:paraId="7F357095">
      <w:pPr>
        <w:spacing w:line="360" w:lineRule="auto"/>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13.1供应商需按照磋商文件提供的响应文件格式，但可以同样格式扩展。</w:t>
      </w:r>
    </w:p>
    <w:p w14:paraId="2B7F2D7F">
      <w:pPr>
        <w:spacing w:line="360" w:lineRule="auto"/>
        <w:ind w:firstLine="354" w:firstLineChars="147"/>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rPr>
        <w:t>14</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color w:val="auto"/>
          <w:sz w:val="24"/>
          <w:szCs w:val="24"/>
          <w:highlight w:val="none"/>
        </w:rPr>
        <w:t>磋商报价</w:t>
      </w:r>
    </w:p>
    <w:p w14:paraId="0DBCC60D">
      <w:pPr>
        <w:spacing w:line="360" w:lineRule="auto"/>
        <w:ind w:firstLine="352" w:firstLineChars="147"/>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14.1政府采购最高限价详见供应商须知前附表，供应商报价高于政府采购最高限价的报价为无效报价。</w:t>
      </w:r>
    </w:p>
    <w:p w14:paraId="275138C2">
      <w:pPr>
        <w:spacing w:line="360" w:lineRule="auto"/>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14.2磋商总报价：应是</w:t>
      </w:r>
      <w:r>
        <w:rPr>
          <w:rFonts w:hint="eastAsia" w:asciiTheme="minorEastAsia" w:hAnsiTheme="minorEastAsia" w:eastAsiaTheme="minorEastAsia" w:cstheme="minorEastAsia"/>
          <w:color w:val="auto"/>
          <w:kern w:val="0"/>
          <w:sz w:val="24"/>
          <w:szCs w:val="24"/>
          <w:highlight w:val="none"/>
        </w:rPr>
        <w:t>完成本磋商文件规定的采购需求所列项目的全部费用</w:t>
      </w:r>
      <w:r>
        <w:rPr>
          <w:rFonts w:hint="eastAsia" w:asciiTheme="minorEastAsia" w:hAnsiTheme="minorEastAsia" w:eastAsiaTheme="minorEastAsia" w:cstheme="minorEastAsia"/>
          <w:color w:val="auto"/>
          <w:sz w:val="24"/>
          <w:szCs w:val="24"/>
          <w:highlight w:val="none"/>
        </w:rPr>
        <w:t>。</w:t>
      </w:r>
    </w:p>
    <w:p w14:paraId="1128498B">
      <w:pPr>
        <w:spacing w:line="360" w:lineRule="auto"/>
        <w:ind w:firstLine="352" w:firstLineChars="14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14.3供应商所报的服务单价在履行合同过程中是固定不变的，不得以任何理由予以变更。任何包含价格调整要求的报价，将被认为是非响应性报价而予以拒绝。</w:t>
      </w:r>
    </w:p>
    <w:p w14:paraId="24A30C20">
      <w:pPr>
        <w:spacing w:line="360" w:lineRule="auto"/>
        <w:ind w:firstLine="352" w:firstLineChars="14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14.4本次磋商采用两轮报价：响应文件递交时的报价为第一轮报价，第二轮报价为成交价。</w:t>
      </w:r>
    </w:p>
    <w:p w14:paraId="1499575E">
      <w:pPr>
        <w:spacing w:line="360" w:lineRule="auto"/>
        <w:ind w:firstLine="352" w:firstLineChars="147"/>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14.5响应总价中不得包含竞争性磋商文件要求以外的内容，否则，在评审时不予核减；响应总价中也不得缺漏竞争性磋商文件所要求的内容，否则，其响应将可能被视为无效响应</w:t>
      </w:r>
      <w:r>
        <w:rPr>
          <w:rFonts w:hint="eastAsia" w:asciiTheme="minorEastAsia" w:hAnsiTheme="minorEastAsia" w:eastAsiaTheme="minorEastAsia" w:cstheme="minorEastAsia"/>
          <w:color w:val="auto"/>
          <w:sz w:val="24"/>
          <w:szCs w:val="24"/>
          <w:highlight w:val="none"/>
          <w:lang w:val="zh-CN"/>
        </w:rPr>
        <w:t>。</w:t>
      </w:r>
    </w:p>
    <w:p w14:paraId="16C826DE">
      <w:pPr>
        <w:spacing w:line="360" w:lineRule="auto"/>
        <w:ind w:firstLine="352" w:firstLineChars="147"/>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1</w:t>
      </w: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val="zh-CN"/>
        </w:rPr>
        <w:t>.6</w:t>
      </w:r>
      <w:r>
        <w:rPr>
          <w:rFonts w:hint="eastAsia" w:asciiTheme="minorEastAsia" w:hAnsiTheme="minorEastAsia" w:eastAsiaTheme="minorEastAsia" w:cstheme="minorEastAsia"/>
          <w:color w:val="auto"/>
          <w:kern w:val="0"/>
          <w:sz w:val="24"/>
          <w:szCs w:val="24"/>
          <w:highlight w:val="none"/>
        </w:rPr>
        <w:t>磋商小组认为供应商的报价明显低于其他通过资格、符合性审查供应商的报价，有可能影响产品质量或者不能诚信履约的，应当要求其在评审现场合理的时间内提供书面说明，必要时提交相关证明材料；供应商不能证明其报价合理性的，磋商小组应当将其作为无效文件处理</w:t>
      </w:r>
      <w:r>
        <w:rPr>
          <w:rFonts w:hint="eastAsia" w:asciiTheme="minorEastAsia" w:hAnsiTheme="minorEastAsia" w:eastAsiaTheme="minorEastAsia" w:cstheme="minorEastAsia"/>
          <w:color w:val="auto"/>
          <w:sz w:val="24"/>
          <w:szCs w:val="24"/>
          <w:highlight w:val="none"/>
        </w:rPr>
        <w:t>。</w:t>
      </w:r>
    </w:p>
    <w:p w14:paraId="7BF60ACC">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15．报价货币</w:t>
      </w:r>
    </w:p>
    <w:p w14:paraId="339BF339">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15.1报价和支付所使用的货币：供应商填报的报价均以人民币为计价依据，单位为元，可保留两位小数。合同实施时亦以人民币支付。</w:t>
      </w:r>
    </w:p>
    <w:p w14:paraId="48BD34C5">
      <w:pPr>
        <w:spacing w:line="360" w:lineRule="auto"/>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16．磋商保证金</w:t>
      </w:r>
      <w:r>
        <w:rPr>
          <w:rFonts w:hint="eastAsia" w:asciiTheme="minorEastAsia" w:hAnsiTheme="minorEastAsia" w:eastAsiaTheme="minorEastAsia" w:cstheme="minorEastAsia"/>
          <w:color w:val="auto"/>
          <w:sz w:val="24"/>
          <w:szCs w:val="24"/>
          <w:highlight w:val="none"/>
        </w:rPr>
        <w:t>（无）</w:t>
      </w:r>
    </w:p>
    <w:p w14:paraId="3C72D04A">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17.磋商有效期</w:t>
      </w:r>
    </w:p>
    <w:p w14:paraId="568418C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17.1磋商有效期从本须知前附表所规定的响应文件提交截止时间起开始计算。响应文件在本须知前附表所规定的时间内保持有效；</w:t>
      </w:r>
    </w:p>
    <w:p w14:paraId="0C3D8624">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17.2因特殊情况，采购人可以通知所有供应商延长磋商有效期，这种要求与答复均应以书面形式提交。供应商可以拒绝这种要求。同意延长磋商有效期的供应商将不会被要求也不允许修改其响应文件。</w:t>
      </w:r>
    </w:p>
    <w:p w14:paraId="0C911F89">
      <w:pPr>
        <w:pStyle w:val="4"/>
        <w:bidi w:val="0"/>
        <w:rPr>
          <w:rFonts w:hint="eastAsia" w:asciiTheme="minorEastAsia" w:hAnsiTheme="minorEastAsia" w:eastAsiaTheme="minorEastAsia" w:cstheme="minorEastAsia"/>
          <w:color w:val="auto"/>
          <w:sz w:val="24"/>
          <w:szCs w:val="24"/>
          <w:highlight w:val="none"/>
        </w:rPr>
      </w:pPr>
      <w:bookmarkStart w:id="48" w:name="_Toc369002800"/>
      <w:bookmarkStart w:id="49" w:name="_Toc449115775"/>
      <w:bookmarkStart w:id="50" w:name="_Toc369002687"/>
      <w:bookmarkStart w:id="51" w:name="_Toc369002765"/>
      <w:bookmarkStart w:id="52" w:name="_Toc449027475"/>
      <w:r>
        <w:rPr>
          <w:rFonts w:hint="eastAsia" w:asciiTheme="minorEastAsia" w:hAnsiTheme="minorEastAsia" w:eastAsiaTheme="minorEastAsia" w:cstheme="minorEastAsia"/>
          <w:color w:val="auto"/>
          <w:sz w:val="24"/>
          <w:szCs w:val="24"/>
          <w:highlight w:val="none"/>
        </w:rPr>
        <w:t>四、响应文件的递交</w:t>
      </w:r>
      <w:bookmarkEnd w:id="48"/>
      <w:bookmarkEnd w:id="49"/>
      <w:bookmarkEnd w:id="50"/>
      <w:bookmarkEnd w:id="51"/>
      <w:bookmarkEnd w:id="52"/>
    </w:p>
    <w:p w14:paraId="5A0AD9C5">
      <w:pPr>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18.加密响应文件的递交</w:t>
      </w:r>
    </w:p>
    <w:p w14:paraId="149C11C9">
      <w:pPr>
        <w:wordWrap w:val="0"/>
        <w:spacing w:line="360" w:lineRule="auto"/>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18.1壹份加密电子响应文件(*.ZZTF格式)上传至郑州公共资源电子招投标交易平台（https://zzggzy.zhengzhou.gov.cn）</w:t>
      </w:r>
    </w:p>
    <w:p w14:paraId="5CB474FF">
      <w:pPr>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19.响应文件的修改、补充与撤回</w:t>
      </w:r>
    </w:p>
    <w:p w14:paraId="09BB41D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19.1供应商在递交响应文件后，在提交响应文件截止时间之前可以补充、修改或撤回其响应文件。</w:t>
      </w:r>
    </w:p>
    <w:p w14:paraId="57ACF041">
      <w:pPr>
        <w:bidi w:val="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19.2修改的内容为响应文件的组成部分。修改的响应文件应按照本章第3条、第4条规定进行编制、加密、标记和递交，并标明“修改”字样</w:t>
      </w:r>
    </w:p>
    <w:p w14:paraId="7F0B6234">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19.3在提交响应文件截止时间之后，供应商不能修改、补充或撤回响应文件。</w:t>
      </w:r>
    </w:p>
    <w:p w14:paraId="4E088496">
      <w:pPr>
        <w:bidi w:val="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19.4</w:t>
      </w:r>
      <w:r>
        <w:rPr>
          <w:rFonts w:hint="eastAsia" w:asciiTheme="minorEastAsia" w:hAnsiTheme="minorEastAsia" w:eastAsiaTheme="minorEastAsia" w:cstheme="minorEastAsia"/>
          <w:color w:val="auto"/>
          <w:sz w:val="24"/>
          <w:szCs w:val="24"/>
          <w:highlight w:val="none"/>
        </w:rPr>
        <w:t>从响应文件提交截止时间至供应商在响应文件中载明的磋商有效期满期间，供应商不得撤回其响应文件，否则供应商将承担相应的违约责任</w:t>
      </w:r>
      <w:r>
        <w:rPr>
          <w:rFonts w:hint="eastAsia" w:asciiTheme="minorEastAsia" w:hAnsiTheme="minorEastAsia" w:eastAsiaTheme="minorEastAsia" w:cstheme="minorEastAsia"/>
          <w:color w:val="auto"/>
          <w:sz w:val="24"/>
          <w:szCs w:val="24"/>
          <w:highlight w:val="none"/>
          <w:lang w:eastAsia="zh-CN"/>
        </w:rPr>
        <w:t>。</w:t>
      </w:r>
    </w:p>
    <w:p w14:paraId="453F02E6">
      <w:pPr>
        <w:pStyle w:val="4"/>
        <w:bidi w:val="0"/>
        <w:rPr>
          <w:rFonts w:hint="eastAsia" w:asciiTheme="minorEastAsia" w:hAnsiTheme="minorEastAsia" w:eastAsiaTheme="minorEastAsia" w:cstheme="minorEastAsia"/>
          <w:color w:val="auto"/>
          <w:sz w:val="24"/>
          <w:szCs w:val="24"/>
          <w:highlight w:val="none"/>
        </w:rPr>
      </w:pPr>
      <w:bookmarkStart w:id="53" w:name="_Toc98041609"/>
      <w:bookmarkStart w:id="54" w:name="_Toc449027476"/>
      <w:bookmarkStart w:id="55" w:name="_Toc369002801"/>
      <w:bookmarkStart w:id="56" w:name="_Toc449115776"/>
      <w:bookmarkStart w:id="57" w:name="_Toc369002688"/>
      <w:bookmarkStart w:id="58" w:name="_Toc369002766"/>
      <w:r>
        <w:rPr>
          <w:rFonts w:hint="eastAsia" w:asciiTheme="minorEastAsia" w:hAnsiTheme="minorEastAsia" w:eastAsiaTheme="minorEastAsia" w:cstheme="minorEastAsia"/>
          <w:color w:val="auto"/>
          <w:sz w:val="24"/>
          <w:szCs w:val="24"/>
          <w:highlight w:val="none"/>
        </w:rPr>
        <w:t>五、</w:t>
      </w:r>
      <w:bookmarkEnd w:id="53"/>
      <w:r>
        <w:rPr>
          <w:rFonts w:hint="eastAsia" w:asciiTheme="minorEastAsia" w:hAnsiTheme="minorEastAsia" w:eastAsiaTheme="minorEastAsia" w:cstheme="minorEastAsia"/>
          <w:color w:val="auto"/>
          <w:sz w:val="24"/>
          <w:szCs w:val="24"/>
          <w:highlight w:val="none"/>
        </w:rPr>
        <w:t>磋商小组</w:t>
      </w:r>
      <w:bookmarkEnd w:id="54"/>
      <w:bookmarkEnd w:id="55"/>
      <w:bookmarkEnd w:id="56"/>
      <w:bookmarkEnd w:id="57"/>
      <w:bookmarkEnd w:id="58"/>
    </w:p>
    <w:p w14:paraId="59F2843F">
      <w:pPr>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20.磋商小组</w:t>
      </w:r>
    </w:p>
    <w:p w14:paraId="0BFE37CA">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20.1</w:t>
      </w:r>
      <w:r>
        <w:rPr>
          <w:rFonts w:hint="eastAsia" w:asciiTheme="minorEastAsia" w:hAnsiTheme="minorEastAsia" w:eastAsiaTheme="minorEastAsia" w:cstheme="minorEastAsia"/>
          <w:bCs/>
          <w:color w:val="auto"/>
          <w:sz w:val="24"/>
          <w:szCs w:val="24"/>
          <w:highlight w:val="none"/>
        </w:rPr>
        <w:t>磋商小组成员按照</w:t>
      </w:r>
      <w:bookmarkStart w:id="59" w:name="OLE_LINK8"/>
      <w:bookmarkStart w:id="60" w:name="OLE_LINK7"/>
      <w:r>
        <w:rPr>
          <w:rFonts w:hint="eastAsia" w:asciiTheme="minorEastAsia" w:hAnsiTheme="minorEastAsia" w:eastAsiaTheme="minorEastAsia" w:cstheme="minorEastAsia"/>
          <w:bCs/>
          <w:color w:val="auto"/>
          <w:sz w:val="24"/>
          <w:szCs w:val="24"/>
          <w:highlight w:val="none"/>
        </w:rPr>
        <w:t>《政府采购竞争性磋商采购方式管理暂行办法》</w:t>
      </w:r>
      <w:bookmarkEnd w:id="59"/>
      <w:bookmarkEnd w:id="60"/>
      <w:r>
        <w:rPr>
          <w:rFonts w:hint="eastAsia" w:asciiTheme="minorEastAsia" w:hAnsiTheme="minorEastAsia" w:eastAsiaTheme="minorEastAsia" w:cstheme="minorEastAsia"/>
          <w:bCs/>
          <w:color w:val="auto"/>
          <w:sz w:val="24"/>
          <w:szCs w:val="24"/>
          <w:highlight w:val="none"/>
        </w:rPr>
        <w:t>的规定组成。</w:t>
      </w:r>
    </w:p>
    <w:p w14:paraId="1ED58D0D">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20.2</w:t>
      </w:r>
      <w:r>
        <w:rPr>
          <w:rFonts w:hint="eastAsia" w:asciiTheme="minorEastAsia" w:hAnsiTheme="minorEastAsia" w:eastAsiaTheme="minorEastAsia" w:cstheme="minorEastAsia"/>
          <w:bCs/>
          <w:color w:val="auto"/>
          <w:sz w:val="24"/>
          <w:szCs w:val="24"/>
          <w:highlight w:val="none"/>
        </w:rPr>
        <w:t>根据财库〔2016〕198号第十六条：评审专家与参加采购活动的供应商存在下列利害关系之一的,应当回避:</w:t>
      </w:r>
    </w:p>
    <w:p w14:paraId="190AFC3F">
      <w:pPr>
        <w:spacing w:line="360" w:lineRule="auto"/>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（1）参加采购活动前三年内,与供应商存在劳动关系,或者担任过供应商的董事、监事,或者是供应商的控股股东或实际控制人；</w:t>
      </w:r>
    </w:p>
    <w:p w14:paraId="1CBFD00C">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（2）与供应商的法定代表人或者负责人有夫妻、直系血亲、三代以内旁系血亲或者近姻亲关系；</w:t>
      </w:r>
    </w:p>
    <w:p w14:paraId="0071CE89">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（3）与供应商有其他可能影响政府采购活动公平、公正进行的关系。</w:t>
      </w:r>
    </w:p>
    <w:p w14:paraId="0FD06602">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20.3磋商小组成员应当客观、公正地履行职务，遵守职业道德，对所提出的评审意见承担个人责任。</w:t>
      </w:r>
    </w:p>
    <w:p w14:paraId="5E50B244">
      <w:pPr>
        <w:spacing w:line="360" w:lineRule="auto"/>
        <w:ind w:firstLine="480" w:firstLineChars="200"/>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20.4磋商小组成员变更：磋商小组评审及磋商中因磋商小组成员缺席、回避或者健康等特殊原因导致磋商小组组成不符合磋商文件规定的，采购人或者采购代理机构应当依法补足后继续评审及磋商。被更换的磋商小组成员所作出的评审意见无效；无法及时补足磋商小组成员的，采购人或者采购代理机构应当停止评审及磋商活动，封存所有响应文件和评审及磋商资料，依法重新组建磋商小组进行评审及磋商。原磋商小组所作出的评审及磋商意见无效；采购人或者采购代理机构应当将变更、重新组建磋商小组的情况予以记录，并随采购文件一并存档。</w:t>
      </w:r>
    </w:p>
    <w:p w14:paraId="79C20217">
      <w:pPr>
        <w:pStyle w:val="4"/>
        <w:bidi w:val="0"/>
        <w:rPr>
          <w:rFonts w:hint="eastAsia" w:asciiTheme="minorEastAsia" w:hAnsiTheme="minorEastAsia" w:eastAsiaTheme="minorEastAsia" w:cstheme="minorEastAsia"/>
          <w:color w:val="auto"/>
          <w:sz w:val="24"/>
          <w:szCs w:val="24"/>
          <w:highlight w:val="none"/>
        </w:rPr>
      </w:pPr>
      <w:bookmarkStart w:id="61" w:name="_Toc449115777"/>
      <w:bookmarkStart w:id="62" w:name="_Toc449027477"/>
      <w:bookmarkStart w:id="63" w:name="_Toc369002689"/>
      <w:bookmarkStart w:id="64" w:name="_Toc369002767"/>
      <w:bookmarkStart w:id="65" w:name="_Toc369002802"/>
      <w:r>
        <w:rPr>
          <w:rFonts w:hint="eastAsia" w:asciiTheme="minorEastAsia" w:hAnsiTheme="minorEastAsia" w:eastAsiaTheme="minorEastAsia" w:cstheme="minorEastAsia"/>
          <w:color w:val="auto"/>
          <w:sz w:val="24"/>
          <w:szCs w:val="24"/>
          <w:highlight w:val="none"/>
        </w:rPr>
        <w:t>六、磋商会议</w:t>
      </w:r>
      <w:bookmarkEnd w:id="61"/>
      <w:bookmarkEnd w:id="62"/>
      <w:bookmarkEnd w:id="63"/>
      <w:bookmarkEnd w:id="64"/>
      <w:bookmarkEnd w:id="65"/>
    </w:p>
    <w:p w14:paraId="6ABFB9B1">
      <w:pPr>
        <w:spacing w:line="360" w:lineRule="auto"/>
        <w:ind w:firstLine="540" w:firstLineChars="224"/>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21.磋商会议要求事项</w:t>
      </w:r>
    </w:p>
    <w:p w14:paraId="4367BDDF">
      <w:pPr>
        <w:bidi w:val="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21.1磋商会议程序</w:t>
      </w:r>
      <w:r>
        <w:rPr>
          <w:rFonts w:hint="eastAsia" w:asciiTheme="minorEastAsia" w:hAnsiTheme="minorEastAsia" w:eastAsiaTheme="minorEastAsia" w:cstheme="minorEastAsia"/>
          <w:color w:val="auto"/>
          <w:sz w:val="24"/>
          <w:szCs w:val="24"/>
          <w:highlight w:val="none"/>
          <w:lang w:val="en-US" w:eastAsia="zh-CN"/>
        </w:rPr>
        <w:t>:网上不见面远程开标。</w:t>
      </w:r>
    </w:p>
    <w:p w14:paraId="103CC0F4">
      <w:pPr>
        <w:pStyle w:val="4"/>
        <w:bidi w:val="0"/>
        <w:rPr>
          <w:rFonts w:hint="eastAsia" w:asciiTheme="minorEastAsia" w:hAnsiTheme="minorEastAsia" w:eastAsiaTheme="minorEastAsia" w:cstheme="minorEastAsia"/>
          <w:color w:val="auto"/>
          <w:sz w:val="24"/>
          <w:szCs w:val="24"/>
          <w:highlight w:val="none"/>
        </w:rPr>
      </w:pPr>
      <w:bookmarkStart w:id="66" w:name="_Toc449027478"/>
      <w:bookmarkStart w:id="67" w:name="_Toc369002803"/>
      <w:bookmarkStart w:id="68" w:name="_Toc98041611"/>
      <w:bookmarkStart w:id="69" w:name="_Toc369002690"/>
      <w:bookmarkStart w:id="70" w:name="_Toc449115778"/>
      <w:bookmarkStart w:id="71" w:name="_Toc369002768"/>
      <w:r>
        <w:rPr>
          <w:rFonts w:hint="eastAsia" w:asciiTheme="minorEastAsia" w:hAnsiTheme="minorEastAsia" w:eastAsiaTheme="minorEastAsia" w:cstheme="minorEastAsia"/>
          <w:color w:val="auto"/>
          <w:sz w:val="24"/>
          <w:szCs w:val="24"/>
          <w:highlight w:val="none"/>
        </w:rPr>
        <w:t>七、磋商和评审</w:t>
      </w:r>
      <w:bookmarkEnd w:id="66"/>
      <w:bookmarkEnd w:id="67"/>
      <w:bookmarkEnd w:id="68"/>
      <w:bookmarkEnd w:id="69"/>
      <w:bookmarkEnd w:id="70"/>
      <w:bookmarkEnd w:id="71"/>
    </w:p>
    <w:p w14:paraId="4E339A72">
      <w:pPr>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22.磋商、评审会议</w:t>
      </w:r>
    </w:p>
    <w:p w14:paraId="0E53F6FD">
      <w:pPr>
        <w:bidi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.1磋商、评审会议采用保密方式进行。评审工作在有关主管部门的监督下，由磋商小组负责评审。</w:t>
      </w:r>
    </w:p>
    <w:p w14:paraId="11A7E1D5">
      <w:pPr>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23.磋商、评审内容的保密</w:t>
      </w:r>
    </w:p>
    <w:p w14:paraId="0EAF362A">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23.1磋商开始后，直到宣布授予成交供应商合同为止，凡涉及响应文件的评审和比较、成交候选人的推荐情况以及与评审有关的其它情况均应严格保密；</w:t>
      </w:r>
    </w:p>
    <w:p w14:paraId="02522E99">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23.2在响应文件的评审和比较、成交候选供应商推荐以及授予合同的过程中，供应商对采购人和磋商小组施加影响的任何行为，都将导致取消其磋商资格。</w:t>
      </w:r>
    </w:p>
    <w:p w14:paraId="009E3A5C">
      <w:pPr>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24.响应文件的澄清</w:t>
      </w:r>
    </w:p>
    <w:p w14:paraId="16FB9916">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24.1为了有助于对响应文件进行审查、评估和比较，磋商小组有权向供应商质疑，请供应商澄清其响应内容。供应商有责任按照磋商小组通知的时间、地点、方式指派委托代理人进行答疑和澄清。</w:t>
      </w:r>
    </w:p>
    <w:p w14:paraId="66D12AA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24.2重要澄清的答复应是书面的，并由法定代表人或其委托代理人签字。</w:t>
      </w:r>
    </w:p>
    <w:p w14:paraId="1D0A1987">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24.3供应商的澄清文件是响应文件的组成部分，并取代响应文件中被澄清的部分。</w:t>
      </w:r>
    </w:p>
    <w:p w14:paraId="6FAD7DF9">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24.4响应文件的澄清不得对响应内容进行实质性修改。</w:t>
      </w:r>
    </w:p>
    <w:p w14:paraId="21CB33D7">
      <w:pPr>
        <w:spacing w:line="360" w:lineRule="auto"/>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25.参与同一个标段（包）的供应商存在下列情形之一的，其响应文件无效：</w:t>
      </w:r>
    </w:p>
    <w:p w14:paraId="1DF80BB4">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）不同供应商的电子投标（响应）文件上传计算机的网卡MAC地址、CPU序列号和硬盘序列号等硬件信息相同的；</w:t>
      </w:r>
    </w:p>
    <w:p w14:paraId="3E579C9C">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）不同供应商的投标（响应）文件由同一电子设备编制、打印加密或者上传；</w:t>
      </w:r>
    </w:p>
    <w:p w14:paraId="1C358C32">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）不同供应商的投标（响应）文件由同一电子设备打印、复印；</w:t>
      </w:r>
    </w:p>
    <w:p w14:paraId="38F3F64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）不同供应商的投标（响应）文件由同一人送达或者分发，或者不同供应商联系人为同一人或不同联系人的联系电话一致的；</w:t>
      </w:r>
    </w:p>
    <w:p w14:paraId="79EFBE31">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）不同供应商的投标（响应）文件的内容存在两处以上细节错误一致；</w:t>
      </w:r>
    </w:p>
    <w:p w14:paraId="1BD73783">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）不同供应商的法定代表人、委托代理人、项目经理、项目负责人等由同一个单位缴纳社会保险或者领取报酬的；</w:t>
      </w:r>
    </w:p>
    <w:p w14:paraId="2252DD5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）不同供应商投标（响应）文件中法定代表人或者负责人签字出自同一人之手；</w:t>
      </w:r>
    </w:p>
    <w:p w14:paraId="20DB4C9F">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其它涉嫌串通的情形。</w:t>
      </w:r>
    </w:p>
    <w:p w14:paraId="1D42834A">
      <w:pPr>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26.错误的修正</w:t>
      </w:r>
    </w:p>
    <w:p w14:paraId="44259CC7">
      <w:pPr>
        <w:spacing w:line="360" w:lineRule="auto"/>
        <w:ind w:firstLine="480"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26.1磋商小组将对确定为实质上响应磋商文件要求的响应文件进行校核，看其是否有计算上或累计上或表达上的错误，修正错误的原则如下：</w:t>
      </w:r>
    </w:p>
    <w:p w14:paraId="1050D6B9">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（1）响应文件中的大写金额和小写金额不一致的，以大写金额为准；</w:t>
      </w:r>
    </w:p>
    <w:p w14:paraId="55562203">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（2）总价金额与单价金额不一致的，以单价金额为准，但单价金额小数点有明显错误的除外；</w:t>
      </w:r>
    </w:p>
    <w:p w14:paraId="232E476B">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（3）对不同文字文本响应文件的解释发生异议的，以中文文本为准。</w:t>
      </w:r>
    </w:p>
    <w:p w14:paraId="04EFD3D2">
      <w:pPr>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27.评审程序、方法及标准</w:t>
      </w:r>
    </w:p>
    <w:p w14:paraId="554F8AD9">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27.1响应文件的评审分为初步评审和详细评审两个阶段。初步评审是指磋商小组对所有供应商响应文件的资格条件、符合性，按采购文件的要求逐一审查的评审，经审查不符合采购文件要求的，不得进入磋商、评审阶段。详细评审是</w:t>
      </w:r>
      <w:r>
        <w:rPr>
          <w:rFonts w:hint="eastAsia" w:asciiTheme="minorEastAsia" w:hAnsiTheme="minorEastAsia" w:eastAsiaTheme="minorEastAsia" w:cstheme="minorEastAsia"/>
          <w:color w:val="auto"/>
          <w:sz w:val="24"/>
          <w:szCs w:val="24"/>
          <w:highlight w:val="none"/>
        </w:rPr>
        <w:t>根据提交最后报价的供应商的响应文件和最后报价进行综合评分</w:t>
      </w:r>
      <w:r>
        <w:rPr>
          <w:rFonts w:hint="eastAsia" w:asciiTheme="minorEastAsia" w:hAnsiTheme="minorEastAsia" w:eastAsiaTheme="minorEastAsia" w:cstheme="minorEastAsia"/>
          <w:bCs/>
          <w:color w:val="auto"/>
          <w:sz w:val="24"/>
          <w:szCs w:val="24"/>
          <w:highlight w:val="none"/>
        </w:rPr>
        <w:t>。</w:t>
      </w:r>
    </w:p>
    <w:p w14:paraId="5760119A">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27</w:t>
      </w:r>
      <w:r>
        <w:rPr>
          <w:rFonts w:hint="eastAsia" w:asciiTheme="minorEastAsia" w:hAnsiTheme="minorEastAsia" w:eastAsiaTheme="minorEastAsia" w:cstheme="minorEastAsia"/>
          <w:color w:val="auto"/>
          <w:sz w:val="24"/>
          <w:szCs w:val="24"/>
          <w:highlight w:val="none"/>
        </w:rPr>
        <w:t>.2磋商文件中有实质性变动的，磋商小组应当以书面形式通知所有参加磋商的供应商。磋商过程中可能发生实质性变动的内容有采购需求中的项目要求和合同条款。</w:t>
      </w:r>
    </w:p>
    <w:p w14:paraId="4C31BA3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27.3供应商应当按照磋商文件的变动情况和磋商小组的要求重新提交响应文件，并由其法定代表人或委托代理人签字。</w:t>
      </w:r>
    </w:p>
    <w:p w14:paraId="29D151D2">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27</w:t>
      </w:r>
      <w:r>
        <w:rPr>
          <w:rFonts w:hint="eastAsia" w:asciiTheme="minorEastAsia" w:hAnsiTheme="minorEastAsia" w:eastAsiaTheme="minorEastAsia" w:cstheme="minorEastAsia"/>
          <w:color w:val="auto"/>
          <w:sz w:val="24"/>
          <w:szCs w:val="24"/>
          <w:highlight w:val="none"/>
        </w:rPr>
        <w:t>.4磋商文件能够详细列明采购标的的技术、服务要求的，磋商结束后，磋商小组应当要求所有实质性响应的供应商在规定时间内提交最后报价，提交最后报价的供应商不得少于3家。</w:t>
      </w:r>
    </w:p>
    <w:p w14:paraId="2EDF3041">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27</w:t>
      </w:r>
      <w:r>
        <w:rPr>
          <w:rFonts w:hint="eastAsia" w:asciiTheme="minorEastAsia" w:hAnsiTheme="minorEastAsia" w:eastAsiaTheme="minorEastAsia" w:cstheme="minorEastAsia"/>
          <w:color w:val="auto"/>
          <w:sz w:val="24"/>
          <w:szCs w:val="24"/>
          <w:highlight w:val="none"/>
        </w:rPr>
        <w:t>.5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如符合《磋商管理办法》规定的相关情形的，提交最后报价的供应商可以为2家。</w:t>
      </w:r>
    </w:p>
    <w:p w14:paraId="47BB8D55">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27</w:t>
      </w:r>
      <w:r>
        <w:rPr>
          <w:rFonts w:hint="eastAsia" w:asciiTheme="minorEastAsia" w:hAnsiTheme="minorEastAsia" w:eastAsiaTheme="minorEastAsia" w:cstheme="minorEastAsia"/>
          <w:color w:val="auto"/>
          <w:sz w:val="24"/>
          <w:szCs w:val="24"/>
          <w:highlight w:val="none"/>
        </w:rPr>
        <w:t>.6如磋商小组一致认为某个供应商的单价明显不合理，有降低质量、不能诚信履行的可能时，磋商小组有权决定是否通知供应商在规定期限内进行书面解释或提供相关证明材料。若已要求，而该供应商在规定期限内未做出解释、作出的解释不合理或不能提供证明材料的，经磋商小组取得一致意见后，可拒绝该报价。</w:t>
      </w:r>
    </w:p>
    <w:p w14:paraId="29D0E53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27</w:t>
      </w:r>
      <w:r>
        <w:rPr>
          <w:rFonts w:hint="eastAsia" w:asciiTheme="minorEastAsia" w:hAnsiTheme="minorEastAsia" w:eastAsiaTheme="minorEastAsia" w:cstheme="minorEastAsia"/>
          <w:color w:val="auto"/>
          <w:sz w:val="24"/>
          <w:szCs w:val="24"/>
          <w:highlight w:val="none"/>
        </w:rPr>
        <w:t>.7根据提交最后报价的供应商的响应文件和最后报价进行综合评分。标准如下:</w:t>
      </w:r>
    </w:p>
    <w:tbl>
      <w:tblPr>
        <w:tblStyle w:val="494"/>
        <w:tblW w:w="100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0"/>
        <w:gridCol w:w="3460"/>
        <w:gridCol w:w="5880"/>
      </w:tblGrid>
      <w:tr w14:paraId="2B08CC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4180" w:type="dxa"/>
            <w:gridSpan w:val="2"/>
            <w:vAlign w:val="top"/>
          </w:tcPr>
          <w:p w14:paraId="460A9F77">
            <w:pPr>
              <w:bidi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评审因素</w:t>
            </w:r>
          </w:p>
        </w:tc>
        <w:tc>
          <w:tcPr>
            <w:tcW w:w="5880" w:type="dxa"/>
            <w:vAlign w:val="top"/>
          </w:tcPr>
          <w:p w14:paraId="63CF1769">
            <w:pPr>
              <w:bidi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评审标准</w:t>
            </w:r>
          </w:p>
        </w:tc>
      </w:tr>
      <w:tr w14:paraId="1168E5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0" w:type="dxa"/>
            <w:vMerge w:val="restart"/>
            <w:vAlign w:val="top"/>
          </w:tcPr>
          <w:p w14:paraId="5D724366">
            <w:pPr>
              <w:bidi w:val="0"/>
              <w:rPr>
                <w:rFonts w:hint="eastAsia" w:asciiTheme="minorEastAsia" w:hAnsiTheme="minorEastAsia" w:eastAsiaTheme="minorEastAsia" w:cstheme="minorEastAsia"/>
                <w:color w:val="auto"/>
                <w:sz w:val="24"/>
                <w:szCs w:val="24"/>
                <w:highlight w:val="none"/>
              </w:rPr>
            </w:pPr>
          </w:p>
          <w:p w14:paraId="7B58B90A">
            <w:pPr>
              <w:bidi w:val="0"/>
              <w:rPr>
                <w:rFonts w:hint="eastAsia" w:asciiTheme="minorEastAsia" w:hAnsiTheme="minorEastAsia" w:eastAsiaTheme="minorEastAsia" w:cstheme="minorEastAsia"/>
                <w:color w:val="auto"/>
                <w:sz w:val="24"/>
                <w:szCs w:val="24"/>
                <w:highlight w:val="none"/>
              </w:rPr>
            </w:pPr>
          </w:p>
          <w:p w14:paraId="646FEA7A">
            <w:pPr>
              <w:bidi w:val="0"/>
              <w:rPr>
                <w:rFonts w:hint="eastAsia" w:asciiTheme="minorEastAsia" w:hAnsiTheme="minorEastAsia" w:eastAsiaTheme="minorEastAsia" w:cstheme="minorEastAsia"/>
                <w:color w:val="auto"/>
                <w:sz w:val="24"/>
                <w:szCs w:val="24"/>
                <w:highlight w:val="none"/>
              </w:rPr>
            </w:pPr>
          </w:p>
          <w:p w14:paraId="76157B24">
            <w:pPr>
              <w:bidi w:val="0"/>
              <w:rPr>
                <w:rFonts w:hint="eastAsia" w:asciiTheme="minorEastAsia" w:hAnsiTheme="minorEastAsia" w:eastAsiaTheme="minorEastAsia" w:cstheme="minorEastAsia"/>
                <w:color w:val="auto"/>
                <w:sz w:val="24"/>
                <w:szCs w:val="24"/>
                <w:highlight w:val="none"/>
              </w:rPr>
            </w:pPr>
          </w:p>
          <w:p w14:paraId="35857C61">
            <w:pPr>
              <w:bidi w:val="0"/>
              <w:rPr>
                <w:rFonts w:hint="eastAsia" w:asciiTheme="minorEastAsia" w:hAnsiTheme="minorEastAsia" w:eastAsiaTheme="minorEastAsia" w:cstheme="minorEastAsia"/>
                <w:color w:val="auto"/>
                <w:sz w:val="24"/>
                <w:szCs w:val="24"/>
                <w:highlight w:val="none"/>
              </w:rPr>
            </w:pPr>
          </w:p>
          <w:p w14:paraId="02053A57">
            <w:pPr>
              <w:bidi w:val="0"/>
              <w:rPr>
                <w:rFonts w:hint="eastAsia" w:asciiTheme="minorEastAsia" w:hAnsiTheme="minorEastAsia" w:eastAsiaTheme="minorEastAsia" w:cstheme="minorEastAsia"/>
                <w:color w:val="auto"/>
                <w:sz w:val="24"/>
                <w:szCs w:val="24"/>
                <w:highlight w:val="none"/>
              </w:rPr>
            </w:pPr>
          </w:p>
          <w:p w14:paraId="67609D59">
            <w:pPr>
              <w:bidi w:val="0"/>
              <w:rPr>
                <w:rFonts w:hint="eastAsia" w:asciiTheme="minorEastAsia" w:hAnsiTheme="minorEastAsia" w:eastAsiaTheme="minorEastAsia" w:cstheme="minorEastAsia"/>
                <w:color w:val="auto"/>
                <w:sz w:val="24"/>
                <w:szCs w:val="24"/>
                <w:highlight w:val="none"/>
              </w:rPr>
            </w:pPr>
          </w:p>
          <w:p w14:paraId="3D238EA8">
            <w:pPr>
              <w:bidi w:val="0"/>
              <w:rPr>
                <w:rFonts w:hint="eastAsia" w:asciiTheme="minorEastAsia" w:hAnsiTheme="minorEastAsia" w:eastAsiaTheme="minorEastAsia" w:cstheme="minorEastAsia"/>
                <w:color w:val="auto"/>
                <w:sz w:val="24"/>
                <w:szCs w:val="24"/>
                <w:highlight w:val="none"/>
              </w:rPr>
            </w:pPr>
          </w:p>
          <w:p w14:paraId="1907A547">
            <w:pPr>
              <w:bidi w:val="0"/>
              <w:rPr>
                <w:rFonts w:hint="eastAsia" w:asciiTheme="minorEastAsia" w:hAnsiTheme="minorEastAsia" w:eastAsiaTheme="minorEastAsia" w:cstheme="minorEastAsia"/>
                <w:color w:val="auto"/>
                <w:sz w:val="24"/>
                <w:szCs w:val="24"/>
                <w:highlight w:val="none"/>
              </w:rPr>
            </w:pPr>
          </w:p>
          <w:p w14:paraId="060CB106">
            <w:pPr>
              <w:bidi w:val="0"/>
              <w:rPr>
                <w:rFonts w:hint="eastAsia" w:asciiTheme="minorEastAsia" w:hAnsiTheme="minorEastAsia" w:eastAsiaTheme="minorEastAsia" w:cstheme="minorEastAsia"/>
                <w:color w:val="auto"/>
                <w:sz w:val="24"/>
                <w:szCs w:val="24"/>
                <w:highlight w:val="none"/>
              </w:rPr>
            </w:pPr>
          </w:p>
          <w:p w14:paraId="227B9F25">
            <w:pPr>
              <w:bidi w:val="0"/>
              <w:rPr>
                <w:rFonts w:hint="eastAsia" w:asciiTheme="minorEastAsia" w:hAnsiTheme="minorEastAsia" w:eastAsiaTheme="minorEastAsia" w:cstheme="minorEastAsia"/>
                <w:color w:val="auto"/>
                <w:sz w:val="24"/>
                <w:szCs w:val="24"/>
                <w:highlight w:val="none"/>
              </w:rPr>
            </w:pPr>
          </w:p>
          <w:p w14:paraId="61110121">
            <w:pPr>
              <w:bidi w:val="0"/>
              <w:rPr>
                <w:rFonts w:hint="eastAsia" w:asciiTheme="minorEastAsia" w:hAnsiTheme="minorEastAsia" w:eastAsiaTheme="minorEastAsia" w:cstheme="minorEastAsia"/>
                <w:color w:val="auto"/>
                <w:sz w:val="24"/>
                <w:szCs w:val="24"/>
                <w:highlight w:val="none"/>
              </w:rPr>
            </w:pPr>
          </w:p>
          <w:p w14:paraId="55D61A37">
            <w:pPr>
              <w:bidi w:val="0"/>
              <w:rPr>
                <w:rFonts w:hint="eastAsia" w:asciiTheme="minorEastAsia" w:hAnsiTheme="minorEastAsia" w:eastAsiaTheme="minorEastAsia" w:cstheme="minorEastAsia"/>
                <w:color w:val="auto"/>
                <w:sz w:val="24"/>
                <w:szCs w:val="24"/>
                <w:highlight w:val="none"/>
              </w:rPr>
            </w:pPr>
          </w:p>
          <w:p w14:paraId="24989343">
            <w:pPr>
              <w:bidi w:val="0"/>
              <w:rPr>
                <w:rFonts w:hint="eastAsia" w:asciiTheme="minorEastAsia" w:hAnsiTheme="minorEastAsia" w:eastAsiaTheme="minorEastAsia" w:cstheme="minorEastAsia"/>
                <w:color w:val="auto"/>
                <w:sz w:val="24"/>
                <w:szCs w:val="24"/>
                <w:highlight w:val="none"/>
              </w:rPr>
            </w:pPr>
          </w:p>
          <w:p w14:paraId="205BDD2E">
            <w:pPr>
              <w:bidi w:val="0"/>
              <w:rPr>
                <w:rFonts w:hint="eastAsia" w:asciiTheme="minorEastAsia" w:hAnsiTheme="minorEastAsia" w:eastAsiaTheme="minorEastAsia" w:cstheme="minorEastAsia"/>
                <w:color w:val="auto"/>
                <w:sz w:val="24"/>
                <w:szCs w:val="24"/>
                <w:highlight w:val="none"/>
              </w:rPr>
            </w:pPr>
          </w:p>
          <w:p w14:paraId="4C52392F">
            <w:pPr>
              <w:bidi w:val="0"/>
              <w:rPr>
                <w:rFonts w:hint="eastAsia" w:asciiTheme="minorEastAsia" w:hAnsiTheme="minorEastAsia" w:eastAsiaTheme="minorEastAsia" w:cstheme="minorEastAsia"/>
                <w:color w:val="auto"/>
                <w:sz w:val="24"/>
                <w:szCs w:val="24"/>
                <w:highlight w:val="none"/>
              </w:rPr>
            </w:pPr>
          </w:p>
          <w:p w14:paraId="0D2B6A96">
            <w:pPr>
              <w:bidi w:val="0"/>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资格 评审 标准</w:t>
            </w:r>
          </w:p>
        </w:tc>
        <w:tc>
          <w:tcPr>
            <w:tcW w:w="3460" w:type="dxa"/>
            <w:vAlign w:val="top"/>
          </w:tcPr>
          <w:p w14:paraId="75BD953B">
            <w:pPr>
              <w:bidi w:val="0"/>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营业执照</w:t>
            </w:r>
          </w:p>
        </w:tc>
        <w:tc>
          <w:tcPr>
            <w:tcW w:w="5880" w:type="dxa"/>
            <w:vAlign w:val="top"/>
          </w:tcPr>
          <w:p w14:paraId="4A622F3F">
            <w:pPr>
              <w:bidi w:val="0"/>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具有有效的营业执照</w:t>
            </w:r>
          </w:p>
        </w:tc>
      </w:tr>
      <w:tr w14:paraId="3848B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20" w:type="dxa"/>
            <w:vMerge w:val="continue"/>
            <w:vAlign w:val="top"/>
          </w:tcPr>
          <w:p w14:paraId="3CF7ADE8">
            <w:pPr>
              <w:bidi w:val="0"/>
              <w:rPr>
                <w:rFonts w:hint="eastAsia" w:asciiTheme="minorEastAsia" w:hAnsiTheme="minorEastAsia" w:eastAsiaTheme="minorEastAsia" w:cstheme="minorEastAsia"/>
                <w:color w:val="auto"/>
                <w:sz w:val="24"/>
                <w:szCs w:val="24"/>
                <w:highlight w:val="none"/>
              </w:rPr>
            </w:pPr>
          </w:p>
        </w:tc>
        <w:tc>
          <w:tcPr>
            <w:tcW w:w="3460" w:type="dxa"/>
            <w:vAlign w:val="top"/>
          </w:tcPr>
          <w:p w14:paraId="011429DF">
            <w:pPr>
              <w:bidi w:val="0"/>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具有良好的商业信誉和健全的财务会计管理制度</w:t>
            </w:r>
          </w:p>
        </w:tc>
        <w:tc>
          <w:tcPr>
            <w:tcW w:w="5880" w:type="dxa"/>
            <w:vAlign w:val="top"/>
          </w:tcPr>
          <w:p w14:paraId="0DAE9887">
            <w:pPr>
              <w:bidi w:val="0"/>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提供近三年任意一年</w:t>
            </w:r>
            <w:r>
              <w:rPr>
                <w:rFonts w:hint="eastAsia" w:asciiTheme="minorEastAsia" w:hAnsiTheme="minorEastAsia" w:eastAsiaTheme="minorEastAsia" w:cstheme="minorEastAsia"/>
                <w:color w:val="auto"/>
                <w:sz w:val="24"/>
                <w:szCs w:val="24"/>
                <w:highlight w:val="none"/>
              </w:rPr>
              <w:t>合格的财务审计报告；若企业成立年份不足一年，则需提供开户行出具的资信证明</w:t>
            </w:r>
          </w:p>
        </w:tc>
      </w:tr>
      <w:tr w14:paraId="024FA1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20" w:type="dxa"/>
            <w:vMerge w:val="continue"/>
            <w:vAlign w:val="top"/>
          </w:tcPr>
          <w:p w14:paraId="4EEB27FC">
            <w:pPr>
              <w:bidi w:val="0"/>
              <w:rPr>
                <w:rFonts w:hint="eastAsia" w:asciiTheme="minorEastAsia" w:hAnsiTheme="minorEastAsia" w:eastAsiaTheme="minorEastAsia" w:cstheme="minorEastAsia"/>
                <w:color w:val="auto"/>
                <w:sz w:val="24"/>
                <w:szCs w:val="24"/>
                <w:highlight w:val="none"/>
              </w:rPr>
            </w:pPr>
          </w:p>
        </w:tc>
        <w:tc>
          <w:tcPr>
            <w:tcW w:w="3460" w:type="dxa"/>
            <w:vAlign w:val="top"/>
          </w:tcPr>
          <w:p w14:paraId="6C775A9B">
            <w:pPr>
              <w:bidi w:val="0"/>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具有履行合同所必须的设备和专业技术能力</w:t>
            </w:r>
          </w:p>
        </w:tc>
        <w:tc>
          <w:tcPr>
            <w:tcW w:w="5880" w:type="dxa"/>
            <w:vAlign w:val="top"/>
          </w:tcPr>
          <w:p w14:paraId="28C4CB57">
            <w:pPr>
              <w:bidi w:val="0"/>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供应商对该项内容进行承诺，否则视为资格审查不通过</w:t>
            </w:r>
          </w:p>
        </w:tc>
      </w:tr>
      <w:tr w14:paraId="47C4A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720" w:type="dxa"/>
            <w:vMerge w:val="continue"/>
            <w:vAlign w:val="top"/>
          </w:tcPr>
          <w:p w14:paraId="60EBBF27">
            <w:pPr>
              <w:bidi w:val="0"/>
              <w:rPr>
                <w:rFonts w:hint="eastAsia" w:asciiTheme="minorEastAsia" w:hAnsiTheme="minorEastAsia" w:eastAsiaTheme="minorEastAsia" w:cstheme="minorEastAsia"/>
                <w:color w:val="auto"/>
                <w:sz w:val="24"/>
                <w:szCs w:val="24"/>
                <w:highlight w:val="none"/>
              </w:rPr>
            </w:pPr>
          </w:p>
        </w:tc>
        <w:tc>
          <w:tcPr>
            <w:tcW w:w="3460" w:type="dxa"/>
            <w:vAlign w:val="top"/>
          </w:tcPr>
          <w:p w14:paraId="39DD6B32">
            <w:pPr>
              <w:bidi w:val="0"/>
              <w:rPr>
                <w:rFonts w:hint="eastAsia" w:asciiTheme="minorEastAsia" w:hAnsiTheme="minorEastAsia" w:eastAsiaTheme="minorEastAsia" w:cstheme="minorEastAsia"/>
                <w:color w:val="auto"/>
                <w:sz w:val="24"/>
                <w:szCs w:val="24"/>
                <w:highlight w:val="none"/>
              </w:rPr>
            </w:pPr>
          </w:p>
          <w:p w14:paraId="74A68CED">
            <w:pPr>
              <w:bidi w:val="0"/>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有依法缴纳税收和社会保障资金的良好记录</w:t>
            </w:r>
          </w:p>
        </w:tc>
        <w:tc>
          <w:tcPr>
            <w:tcW w:w="5880" w:type="dxa"/>
            <w:vAlign w:val="top"/>
          </w:tcPr>
          <w:p w14:paraId="4B47E6E8">
            <w:pPr>
              <w:bidi w:val="0"/>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提供202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年以来连续</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个月依法缴纳税收和社会保障资金的证明资料，依法免税或不需要缴纳社会保障资金的投标人，应提供相应文件证明其依法免税或不需要缴纳社会保障资金</w:t>
            </w:r>
          </w:p>
        </w:tc>
      </w:tr>
      <w:tr w14:paraId="27D7AB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20" w:type="dxa"/>
            <w:vMerge w:val="continue"/>
            <w:vAlign w:val="top"/>
          </w:tcPr>
          <w:p w14:paraId="44F03C5F">
            <w:pPr>
              <w:bidi w:val="0"/>
              <w:rPr>
                <w:rFonts w:hint="eastAsia" w:asciiTheme="minorEastAsia" w:hAnsiTheme="minorEastAsia" w:eastAsiaTheme="minorEastAsia" w:cstheme="minorEastAsia"/>
                <w:color w:val="auto"/>
                <w:sz w:val="24"/>
                <w:szCs w:val="24"/>
                <w:highlight w:val="none"/>
              </w:rPr>
            </w:pPr>
          </w:p>
        </w:tc>
        <w:tc>
          <w:tcPr>
            <w:tcW w:w="3460" w:type="dxa"/>
            <w:vAlign w:val="top"/>
          </w:tcPr>
          <w:p w14:paraId="13945600">
            <w:pPr>
              <w:bidi w:val="0"/>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参加政府采购活动前三年内，在经营活动中没有重大违法记录</w:t>
            </w:r>
          </w:p>
        </w:tc>
        <w:tc>
          <w:tcPr>
            <w:tcW w:w="5880" w:type="dxa"/>
            <w:vAlign w:val="top"/>
          </w:tcPr>
          <w:p w14:paraId="5E807159">
            <w:pPr>
              <w:bidi w:val="0"/>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供应商对该项内容进行承诺，否则视为资格审查不通过</w:t>
            </w:r>
          </w:p>
        </w:tc>
      </w:tr>
      <w:tr w14:paraId="61958B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0" w:hRule="atLeast"/>
        </w:trPr>
        <w:tc>
          <w:tcPr>
            <w:tcW w:w="720" w:type="dxa"/>
            <w:vMerge w:val="continue"/>
            <w:vAlign w:val="top"/>
          </w:tcPr>
          <w:p w14:paraId="4F1A1887">
            <w:pPr>
              <w:bidi w:val="0"/>
              <w:rPr>
                <w:rFonts w:hint="eastAsia" w:asciiTheme="minorEastAsia" w:hAnsiTheme="minorEastAsia" w:eastAsiaTheme="minorEastAsia" w:cstheme="minorEastAsia"/>
                <w:color w:val="auto"/>
                <w:sz w:val="24"/>
                <w:szCs w:val="24"/>
                <w:highlight w:val="none"/>
              </w:rPr>
            </w:pPr>
          </w:p>
        </w:tc>
        <w:tc>
          <w:tcPr>
            <w:tcW w:w="3460" w:type="dxa"/>
            <w:vAlign w:val="top"/>
          </w:tcPr>
          <w:p w14:paraId="322AD401">
            <w:pPr>
              <w:bidi w:val="0"/>
              <w:rPr>
                <w:rFonts w:hint="eastAsia" w:asciiTheme="minorEastAsia" w:hAnsiTheme="minorEastAsia" w:eastAsiaTheme="minorEastAsia" w:cstheme="minorEastAsia"/>
                <w:color w:val="auto"/>
                <w:sz w:val="24"/>
                <w:szCs w:val="24"/>
                <w:highlight w:val="none"/>
              </w:rPr>
            </w:pPr>
          </w:p>
          <w:p w14:paraId="0826D6DC">
            <w:pPr>
              <w:bidi w:val="0"/>
              <w:rPr>
                <w:rFonts w:hint="eastAsia" w:asciiTheme="minorEastAsia" w:hAnsiTheme="minorEastAsia" w:eastAsiaTheme="minorEastAsia" w:cstheme="minorEastAsia"/>
                <w:color w:val="auto"/>
                <w:sz w:val="24"/>
                <w:szCs w:val="24"/>
                <w:highlight w:val="none"/>
              </w:rPr>
            </w:pPr>
          </w:p>
          <w:p w14:paraId="7F7F63F9">
            <w:pPr>
              <w:bidi w:val="0"/>
              <w:rPr>
                <w:rFonts w:hint="eastAsia" w:asciiTheme="minorEastAsia" w:hAnsiTheme="minorEastAsia" w:eastAsiaTheme="minorEastAsia" w:cstheme="minorEastAsia"/>
                <w:color w:val="auto"/>
                <w:sz w:val="24"/>
                <w:szCs w:val="24"/>
                <w:highlight w:val="none"/>
              </w:rPr>
            </w:pPr>
          </w:p>
          <w:p w14:paraId="1F53F38D">
            <w:pPr>
              <w:bidi w:val="0"/>
              <w:rPr>
                <w:rFonts w:hint="eastAsia" w:asciiTheme="minorEastAsia" w:hAnsiTheme="minorEastAsia" w:eastAsiaTheme="minorEastAsia" w:cstheme="minorEastAsia"/>
                <w:color w:val="auto"/>
                <w:sz w:val="24"/>
                <w:szCs w:val="24"/>
                <w:highlight w:val="none"/>
              </w:rPr>
            </w:pPr>
          </w:p>
          <w:p w14:paraId="629DDC0D">
            <w:pPr>
              <w:bidi w:val="0"/>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信用查询</w:t>
            </w:r>
          </w:p>
        </w:tc>
        <w:tc>
          <w:tcPr>
            <w:tcW w:w="5880" w:type="dxa"/>
            <w:vAlign w:val="top"/>
          </w:tcPr>
          <w:p w14:paraId="6B6640F0">
            <w:pPr>
              <w:bidi w:val="0"/>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根据《关于在政府采购活动中查询及使用信用记录有关问题的通知》(财库[2016]125号)的规定，对列入失信被执行人、税收违法黑名单【查询渠道：“信用中国”网站（</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"http://www.creditchina.gov.cn/"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www.creditchina.gov.cn</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）】，政府采购严重违法失信行为记录名单【查询渠道：中国政府采购网（www.ccgp.gov.cn）】的供应商，拒绝参与本项目政府采购活动。</w:t>
            </w:r>
          </w:p>
        </w:tc>
      </w:tr>
      <w:tr w14:paraId="48598D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20" w:type="dxa"/>
            <w:vMerge w:val="continue"/>
            <w:vAlign w:val="top"/>
          </w:tcPr>
          <w:p w14:paraId="1DA77329">
            <w:pPr>
              <w:bidi w:val="0"/>
              <w:rPr>
                <w:rFonts w:hint="eastAsia" w:asciiTheme="minorEastAsia" w:hAnsiTheme="minorEastAsia" w:eastAsiaTheme="minorEastAsia" w:cstheme="minorEastAsia"/>
                <w:color w:val="auto"/>
                <w:sz w:val="24"/>
                <w:szCs w:val="24"/>
                <w:highlight w:val="none"/>
              </w:rPr>
            </w:pPr>
          </w:p>
        </w:tc>
        <w:tc>
          <w:tcPr>
            <w:tcW w:w="3460" w:type="dxa"/>
            <w:vAlign w:val="top"/>
          </w:tcPr>
          <w:p w14:paraId="19B5ACD4">
            <w:pPr>
              <w:bidi w:val="0"/>
              <w:rPr>
                <w:rFonts w:hint="eastAsia" w:asciiTheme="minorEastAsia" w:hAnsiTheme="minorEastAsia" w:eastAsiaTheme="minorEastAsia" w:cstheme="minorEastAsia"/>
                <w:color w:val="auto"/>
                <w:sz w:val="24"/>
                <w:szCs w:val="24"/>
                <w:highlight w:val="none"/>
              </w:rPr>
            </w:pPr>
          </w:p>
          <w:p w14:paraId="750D7533">
            <w:pPr>
              <w:bidi w:val="0"/>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其他要求</w:t>
            </w:r>
          </w:p>
        </w:tc>
        <w:tc>
          <w:tcPr>
            <w:tcW w:w="5880" w:type="dxa"/>
            <w:vAlign w:val="top"/>
          </w:tcPr>
          <w:p w14:paraId="7967BC77">
            <w:pPr>
              <w:bidi w:val="0"/>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单位负责人为同一人或存在控股、管理关系的不同单位，不得参加同一标段投标，否则相关投标均无效。</w:t>
            </w:r>
          </w:p>
        </w:tc>
      </w:tr>
      <w:tr w14:paraId="33B252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20" w:type="dxa"/>
            <w:vMerge w:val="continue"/>
            <w:vAlign w:val="top"/>
          </w:tcPr>
          <w:p w14:paraId="59B62E14">
            <w:pPr>
              <w:bidi w:val="0"/>
              <w:rPr>
                <w:rFonts w:hint="eastAsia" w:asciiTheme="minorEastAsia" w:hAnsiTheme="minorEastAsia" w:eastAsiaTheme="minorEastAsia" w:cstheme="minorEastAsia"/>
                <w:color w:val="auto"/>
                <w:sz w:val="24"/>
                <w:szCs w:val="24"/>
                <w:highlight w:val="none"/>
              </w:rPr>
            </w:pPr>
          </w:p>
        </w:tc>
        <w:tc>
          <w:tcPr>
            <w:tcW w:w="3460" w:type="dxa"/>
            <w:vAlign w:val="top"/>
          </w:tcPr>
          <w:p w14:paraId="0911F33A">
            <w:pPr>
              <w:bidi w:val="0"/>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联合体投标</w:t>
            </w:r>
          </w:p>
        </w:tc>
        <w:tc>
          <w:tcPr>
            <w:tcW w:w="5880" w:type="dxa"/>
            <w:vAlign w:val="top"/>
          </w:tcPr>
          <w:p w14:paraId="5459AD0A">
            <w:pPr>
              <w:bidi w:val="0"/>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本项目不接受联合体投标，</w:t>
            </w:r>
            <w:r>
              <w:rPr>
                <w:rFonts w:hint="eastAsia" w:asciiTheme="minorEastAsia" w:hAnsiTheme="minorEastAsia" w:eastAsiaTheme="minorEastAsia" w:cstheme="minorEastAsia"/>
                <w:color w:val="auto"/>
                <w:sz w:val="24"/>
                <w:szCs w:val="24"/>
                <w:highlight w:val="none"/>
              </w:rPr>
              <w:t>供应商对该项内容进行承诺，否则视为资格审查不通过</w:t>
            </w:r>
          </w:p>
        </w:tc>
      </w:tr>
      <w:tr w14:paraId="520932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720" w:type="dxa"/>
            <w:vMerge w:val="restart"/>
            <w:vAlign w:val="top"/>
          </w:tcPr>
          <w:p w14:paraId="718CDC19">
            <w:pPr>
              <w:bidi w:val="0"/>
              <w:ind w:left="0" w:leftChars="0" w:firstLine="0" w:firstLineChars="0"/>
              <w:rPr>
                <w:rFonts w:hint="eastAsia" w:asciiTheme="minorEastAsia" w:hAnsiTheme="minorEastAsia" w:eastAsiaTheme="minorEastAsia" w:cstheme="minorEastAsia"/>
                <w:color w:val="auto"/>
                <w:sz w:val="24"/>
                <w:szCs w:val="24"/>
                <w:highlight w:val="none"/>
              </w:rPr>
            </w:pPr>
          </w:p>
          <w:p w14:paraId="3E9FB293">
            <w:pPr>
              <w:bidi w:val="0"/>
              <w:ind w:left="0" w:leftChars="0" w:firstLine="0" w:firstLineChars="0"/>
              <w:rPr>
                <w:rFonts w:hint="eastAsia" w:asciiTheme="minorEastAsia" w:hAnsiTheme="minorEastAsia" w:eastAsiaTheme="minorEastAsia" w:cstheme="minorEastAsia"/>
                <w:color w:val="auto"/>
                <w:sz w:val="24"/>
                <w:szCs w:val="24"/>
                <w:highlight w:val="none"/>
              </w:rPr>
            </w:pPr>
          </w:p>
          <w:p w14:paraId="754CB4C9">
            <w:pPr>
              <w:bidi w:val="0"/>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w:t>
            </w:r>
          </w:p>
          <w:p w14:paraId="642D53C7">
            <w:pPr>
              <w:bidi w:val="0"/>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性评</w:t>
            </w:r>
          </w:p>
          <w:p w14:paraId="6A17D5D5">
            <w:pPr>
              <w:bidi w:val="0"/>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审标</w:t>
            </w:r>
          </w:p>
          <w:p w14:paraId="278640D7">
            <w:pPr>
              <w:bidi w:val="0"/>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准</w:t>
            </w:r>
          </w:p>
        </w:tc>
        <w:tc>
          <w:tcPr>
            <w:tcW w:w="3460" w:type="dxa"/>
            <w:vAlign w:val="top"/>
          </w:tcPr>
          <w:p w14:paraId="71158785">
            <w:pPr>
              <w:bidi w:val="0"/>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供应商名称</w:t>
            </w:r>
          </w:p>
        </w:tc>
        <w:tc>
          <w:tcPr>
            <w:tcW w:w="5880" w:type="dxa"/>
            <w:vAlign w:val="top"/>
          </w:tcPr>
          <w:p w14:paraId="06A0EDA2">
            <w:pPr>
              <w:bidi w:val="0"/>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与营业执照一致</w:t>
            </w:r>
          </w:p>
        </w:tc>
      </w:tr>
      <w:tr w14:paraId="2D855E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720" w:type="dxa"/>
            <w:vMerge w:val="continue"/>
            <w:vAlign w:val="top"/>
          </w:tcPr>
          <w:p w14:paraId="7A3EA284">
            <w:pPr>
              <w:bidi w:val="0"/>
              <w:rPr>
                <w:rFonts w:hint="eastAsia" w:asciiTheme="minorEastAsia" w:hAnsiTheme="minorEastAsia" w:eastAsiaTheme="minorEastAsia" w:cstheme="minorEastAsia"/>
                <w:color w:val="auto"/>
                <w:sz w:val="24"/>
                <w:szCs w:val="24"/>
                <w:highlight w:val="none"/>
              </w:rPr>
            </w:pPr>
          </w:p>
        </w:tc>
        <w:tc>
          <w:tcPr>
            <w:tcW w:w="3460" w:type="dxa"/>
            <w:vAlign w:val="top"/>
          </w:tcPr>
          <w:p w14:paraId="2CBE2125">
            <w:pPr>
              <w:bidi w:val="0"/>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投标文件签字盖章</w:t>
            </w:r>
          </w:p>
        </w:tc>
        <w:tc>
          <w:tcPr>
            <w:tcW w:w="5880" w:type="dxa"/>
            <w:vAlign w:val="top"/>
          </w:tcPr>
          <w:p w14:paraId="1419F840">
            <w:pPr>
              <w:bidi w:val="0"/>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按招标文件格式要求签字盖章</w:t>
            </w:r>
          </w:p>
        </w:tc>
      </w:tr>
      <w:tr w14:paraId="44AC5A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20" w:type="dxa"/>
            <w:vMerge w:val="continue"/>
            <w:vAlign w:val="top"/>
          </w:tcPr>
          <w:p w14:paraId="5EAA5E9B">
            <w:pPr>
              <w:bidi w:val="0"/>
              <w:rPr>
                <w:rFonts w:hint="eastAsia" w:asciiTheme="minorEastAsia" w:hAnsiTheme="minorEastAsia" w:eastAsiaTheme="minorEastAsia" w:cstheme="minorEastAsia"/>
                <w:color w:val="auto"/>
                <w:sz w:val="24"/>
                <w:szCs w:val="24"/>
                <w:highlight w:val="none"/>
              </w:rPr>
            </w:pPr>
          </w:p>
        </w:tc>
        <w:tc>
          <w:tcPr>
            <w:tcW w:w="3460" w:type="dxa"/>
            <w:vAlign w:val="top"/>
          </w:tcPr>
          <w:p w14:paraId="615F0746">
            <w:pPr>
              <w:bidi w:val="0"/>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投标文件格式</w:t>
            </w:r>
          </w:p>
        </w:tc>
        <w:tc>
          <w:tcPr>
            <w:tcW w:w="5880" w:type="dxa"/>
            <w:vAlign w:val="top"/>
          </w:tcPr>
          <w:p w14:paraId="2E7D155B">
            <w:pPr>
              <w:bidi w:val="0"/>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符合“投标文件格式 ”的要求</w:t>
            </w:r>
          </w:p>
        </w:tc>
      </w:tr>
      <w:tr w14:paraId="7116B7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720" w:type="dxa"/>
            <w:vMerge w:val="continue"/>
            <w:vAlign w:val="top"/>
          </w:tcPr>
          <w:p w14:paraId="30207DAD">
            <w:pPr>
              <w:bidi w:val="0"/>
              <w:rPr>
                <w:rFonts w:hint="eastAsia" w:asciiTheme="minorEastAsia" w:hAnsiTheme="minorEastAsia" w:eastAsiaTheme="minorEastAsia" w:cstheme="minorEastAsia"/>
                <w:color w:val="auto"/>
                <w:sz w:val="24"/>
                <w:szCs w:val="24"/>
                <w:highlight w:val="none"/>
              </w:rPr>
            </w:pPr>
          </w:p>
        </w:tc>
        <w:tc>
          <w:tcPr>
            <w:tcW w:w="3460" w:type="dxa"/>
            <w:vAlign w:val="top"/>
          </w:tcPr>
          <w:p w14:paraId="6F4CADDC">
            <w:pPr>
              <w:bidi w:val="0"/>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投标报价</w:t>
            </w:r>
          </w:p>
        </w:tc>
        <w:tc>
          <w:tcPr>
            <w:tcW w:w="5880" w:type="dxa"/>
            <w:vAlign w:val="top"/>
          </w:tcPr>
          <w:p w14:paraId="08685818">
            <w:pPr>
              <w:bidi w:val="0"/>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投标报价应低于或等于最高投标限价</w:t>
            </w:r>
          </w:p>
        </w:tc>
      </w:tr>
      <w:tr w14:paraId="0F8A6D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720" w:type="dxa"/>
            <w:vMerge w:val="continue"/>
            <w:vAlign w:val="top"/>
          </w:tcPr>
          <w:p w14:paraId="22860E86">
            <w:pPr>
              <w:bidi w:val="0"/>
              <w:rPr>
                <w:rFonts w:hint="eastAsia" w:asciiTheme="minorEastAsia" w:hAnsiTheme="minorEastAsia" w:eastAsiaTheme="minorEastAsia" w:cstheme="minorEastAsia"/>
                <w:color w:val="auto"/>
                <w:sz w:val="24"/>
                <w:szCs w:val="24"/>
                <w:highlight w:val="none"/>
              </w:rPr>
            </w:pPr>
          </w:p>
        </w:tc>
        <w:tc>
          <w:tcPr>
            <w:tcW w:w="3460" w:type="dxa"/>
            <w:vAlign w:val="top"/>
          </w:tcPr>
          <w:p w14:paraId="6986D4B6">
            <w:pPr>
              <w:bidi w:val="0"/>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投标有效期</w:t>
            </w:r>
          </w:p>
        </w:tc>
        <w:tc>
          <w:tcPr>
            <w:tcW w:w="5880" w:type="dxa"/>
            <w:vAlign w:val="top"/>
          </w:tcPr>
          <w:p w14:paraId="4035CBDB">
            <w:pPr>
              <w:bidi w:val="0"/>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符合第二章“供应商须知前附表 ”规定</w:t>
            </w:r>
          </w:p>
        </w:tc>
      </w:tr>
      <w:tr w14:paraId="59E5B9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720" w:type="dxa"/>
            <w:vMerge w:val="continue"/>
            <w:vAlign w:val="top"/>
          </w:tcPr>
          <w:p w14:paraId="2F390722">
            <w:pPr>
              <w:bidi w:val="0"/>
              <w:rPr>
                <w:rFonts w:hint="eastAsia" w:asciiTheme="minorEastAsia" w:hAnsiTheme="minorEastAsia" w:eastAsiaTheme="minorEastAsia" w:cstheme="minorEastAsia"/>
                <w:color w:val="auto"/>
                <w:sz w:val="24"/>
                <w:szCs w:val="24"/>
                <w:highlight w:val="none"/>
              </w:rPr>
            </w:pPr>
          </w:p>
        </w:tc>
        <w:tc>
          <w:tcPr>
            <w:tcW w:w="3460" w:type="dxa"/>
            <w:vAlign w:val="top"/>
          </w:tcPr>
          <w:p w14:paraId="0E4804BC">
            <w:pPr>
              <w:bidi w:val="0"/>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交货及安装期</w:t>
            </w:r>
          </w:p>
        </w:tc>
        <w:tc>
          <w:tcPr>
            <w:tcW w:w="5880" w:type="dxa"/>
            <w:vAlign w:val="top"/>
          </w:tcPr>
          <w:p w14:paraId="7243E417">
            <w:pPr>
              <w:bidi w:val="0"/>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符合第二章“供应商须知前附表 ”规定</w:t>
            </w:r>
          </w:p>
        </w:tc>
      </w:tr>
      <w:tr w14:paraId="377886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720" w:type="dxa"/>
            <w:vMerge w:val="continue"/>
            <w:vAlign w:val="top"/>
          </w:tcPr>
          <w:p w14:paraId="3B544E86">
            <w:pPr>
              <w:bidi w:val="0"/>
              <w:rPr>
                <w:rFonts w:hint="eastAsia" w:asciiTheme="minorEastAsia" w:hAnsiTheme="minorEastAsia" w:eastAsiaTheme="minorEastAsia" w:cstheme="minorEastAsia"/>
                <w:color w:val="auto"/>
                <w:sz w:val="24"/>
                <w:szCs w:val="24"/>
                <w:highlight w:val="none"/>
              </w:rPr>
            </w:pPr>
          </w:p>
        </w:tc>
        <w:tc>
          <w:tcPr>
            <w:tcW w:w="3460" w:type="dxa"/>
            <w:vAlign w:val="top"/>
          </w:tcPr>
          <w:p w14:paraId="66BE0F0D">
            <w:pPr>
              <w:bidi w:val="0"/>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质量要求</w:t>
            </w:r>
          </w:p>
        </w:tc>
        <w:tc>
          <w:tcPr>
            <w:tcW w:w="5880" w:type="dxa"/>
            <w:vAlign w:val="top"/>
          </w:tcPr>
          <w:p w14:paraId="77E5F3A5">
            <w:pPr>
              <w:bidi w:val="0"/>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符合第二章“供应商须知前附表 ”规定</w:t>
            </w:r>
          </w:p>
        </w:tc>
      </w:tr>
      <w:tr w14:paraId="56A680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720" w:type="dxa"/>
            <w:vMerge w:val="continue"/>
            <w:vAlign w:val="top"/>
          </w:tcPr>
          <w:p w14:paraId="04CF1FE6">
            <w:pPr>
              <w:bidi w:val="0"/>
              <w:rPr>
                <w:rFonts w:hint="eastAsia" w:asciiTheme="minorEastAsia" w:hAnsiTheme="minorEastAsia" w:eastAsiaTheme="minorEastAsia" w:cstheme="minorEastAsia"/>
                <w:color w:val="auto"/>
                <w:sz w:val="24"/>
                <w:szCs w:val="24"/>
                <w:highlight w:val="none"/>
              </w:rPr>
            </w:pPr>
          </w:p>
        </w:tc>
        <w:tc>
          <w:tcPr>
            <w:tcW w:w="3460" w:type="dxa"/>
            <w:vAlign w:val="top"/>
          </w:tcPr>
          <w:p w14:paraId="536E7F05">
            <w:pPr>
              <w:bidi w:val="0"/>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质保期</w:t>
            </w:r>
          </w:p>
        </w:tc>
        <w:tc>
          <w:tcPr>
            <w:tcW w:w="5880" w:type="dxa"/>
            <w:vAlign w:val="top"/>
          </w:tcPr>
          <w:p w14:paraId="3AFDCC89">
            <w:pPr>
              <w:bidi w:val="0"/>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符合第二章“供应商须知前附表 ”规定</w:t>
            </w:r>
          </w:p>
        </w:tc>
      </w:tr>
      <w:tr w14:paraId="4E2254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720" w:type="dxa"/>
            <w:vMerge w:val="continue"/>
            <w:vAlign w:val="top"/>
          </w:tcPr>
          <w:p w14:paraId="42A9A75C">
            <w:pPr>
              <w:bidi w:val="0"/>
              <w:rPr>
                <w:rFonts w:hint="eastAsia" w:asciiTheme="minorEastAsia" w:hAnsiTheme="minorEastAsia" w:eastAsiaTheme="minorEastAsia" w:cstheme="minorEastAsia"/>
                <w:color w:val="auto"/>
                <w:sz w:val="24"/>
                <w:szCs w:val="24"/>
                <w:highlight w:val="none"/>
              </w:rPr>
            </w:pPr>
          </w:p>
        </w:tc>
        <w:tc>
          <w:tcPr>
            <w:tcW w:w="3460" w:type="dxa"/>
            <w:vAlign w:val="center"/>
          </w:tcPr>
          <w:p w14:paraId="46B43F8D">
            <w:pPr>
              <w:bidi w:val="0"/>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投标文件制作机器码</w:t>
            </w:r>
          </w:p>
        </w:tc>
        <w:tc>
          <w:tcPr>
            <w:tcW w:w="5880" w:type="dxa"/>
            <w:vAlign w:val="center"/>
          </w:tcPr>
          <w:p w14:paraId="67EE8B4A">
            <w:pPr>
              <w:bidi w:val="0"/>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未与其他响应人的投标文件制作机器码一致</w:t>
            </w:r>
          </w:p>
        </w:tc>
      </w:tr>
    </w:tbl>
    <w:p w14:paraId="20D2C905">
      <w:pPr>
        <w:bidi w:val="0"/>
        <w:ind w:left="0" w:leftChars="0" w:firstLine="0" w:firstLineChars="0"/>
        <w:rPr>
          <w:rFonts w:hint="eastAsia" w:asciiTheme="minorEastAsia" w:hAnsiTheme="minorEastAsia" w:eastAsiaTheme="minorEastAsia" w:cstheme="minorEastAsia"/>
          <w:color w:val="auto"/>
          <w:sz w:val="24"/>
          <w:szCs w:val="24"/>
          <w:highlight w:val="none"/>
        </w:rPr>
        <w:sectPr>
          <w:footerReference r:id="rId11" w:type="default"/>
          <w:pgSz w:w="11906" w:h="16839"/>
          <w:pgMar w:top="1431" w:right="920" w:bottom="1363" w:left="920" w:header="0" w:footer="1198" w:gutter="0"/>
          <w:pgNumType w:fmt="decimal"/>
          <w:cols w:space="720" w:num="1"/>
        </w:sectPr>
      </w:pPr>
      <w:bookmarkStart w:id="323" w:name="_GoBack"/>
      <w:bookmarkEnd w:id="323"/>
    </w:p>
    <w:p w14:paraId="65A9B741">
      <w:pPr>
        <w:bidi w:val="0"/>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评标具体方法和标准：</w:t>
      </w:r>
    </w:p>
    <w:tbl>
      <w:tblPr>
        <w:tblStyle w:val="494"/>
        <w:tblW w:w="97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6"/>
        <w:gridCol w:w="1076"/>
        <w:gridCol w:w="7559"/>
      </w:tblGrid>
      <w:tr w14:paraId="41030E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5" w:hRule="atLeast"/>
        </w:trPr>
        <w:tc>
          <w:tcPr>
            <w:tcW w:w="2172" w:type="dxa"/>
            <w:gridSpan w:val="2"/>
            <w:vAlign w:val="top"/>
          </w:tcPr>
          <w:p w14:paraId="606E63DE">
            <w:pPr>
              <w:bidi w:val="0"/>
              <w:rPr>
                <w:rFonts w:hint="eastAsia" w:ascii="宋体" w:hAnsi="宋体" w:eastAsia="宋体" w:cs="宋体"/>
                <w:color w:val="auto"/>
                <w:sz w:val="24"/>
                <w:szCs w:val="24"/>
                <w:highlight w:val="none"/>
              </w:rPr>
            </w:pPr>
          </w:p>
          <w:p w14:paraId="18D3251B">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分值构成</w:t>
            </w:r>
          </w:p>
          <w:p w14:paraId="163B1A86">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（总分 100 分）</w:t>
            </w:r>
          </w:p>
        </w:tc>
        <w:tc>
          <w:tcPr>
            <w:tcW w:w="7559" w:type="dxa"/>
            <w:vAlign w:val="top"/>
          </w:tcPr>
          <w:p w14:paraId="1D77039F">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报价部分：30 分</w:t>
            </w:r>
          </w:p>
          <w:p w14:paraId="1827F510">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技术部分：</w:t>
            </w:r>
            <w:r>
              <w:rPr>
                <w:rFonts w:hint="eastAsia" w:ascii="宋体" w:hAnsi="宋体" w:eastAsia="宋体" w:cs="宋体"/>
                <w:color w:val="auto"/>
                <w:sz w:val="24"/>
                <w:szCs w:val="24"/>
                <w:highlight w:val="none"/>
                <w:lang w:val="en-US" w:eastAsia="zh-CN"/>
              </w:rPr>
              <w:t>45</w:t>
            </w:r>
            <w:r>
              <w:rPr>
                <w:rFonts w:hint="eastAsia" w:ascii="宋体" w:hAnsi="宋体" w:eastAsia="宋体" w:cs="宋体"/>
                <w:color w:val="auto"/>
                <w:sz w:val="24"/>
                <w:szCs w:val="24"/>
                <w:highlight w:val="none"/>
              </w:rPr>
              <w:t xml:space="preserve"> 分</w:t>
            </w:r>
          </w:p>
          <w:p w14:paraId="32F10C57">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综合部分：</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5 分</w:t>
            </w:r>
          </w:p>
        </w:tc>
      </w:tr>
      <w:tr w14:paraId="6EACE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96" w:type="dxa"/>
            <w:vAlign w:val="top"/>
          </w:tcPr>
          <w:p w14:paraId="40D4D92C">
            <w:pPr>
              <w:bidi w:val="0"/>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评审分项</w:t>
            </w:r>
          </w:p>
        </w:tc>
        <w:tc>
          <w:tcPr>
            <w:tcW w:w="1076" w:type="dxa"/>
            <w:vAlign w:val="top"/>
          </w:tcPr>
          <w:p w14:paraId="60C6FC66">
            <w:pPr>
              <w:bidi w:val="0"/>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评分因素</w:t>
            </w:r>
          </w:p>
        </w:tc>
        <w:tc>
          <w:tcPr>
            <w:tcW w:w="7559" w:type="dxa"/>
            <w:vAlign w:val="top"/>
          </w:tcPr>
          <w:p w14:paraId="5E751FED">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评分标准</w:t>
            </w:r>
          </w:p>
        </w:tc>
      </w:tr>
      <w:tr w14:paraId="16FC44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3" w:hRule="atLeast"/>
        </w:trPr>
        <w:tc>
          <w:tcPr>
            <w:tcW w:w="1096" w:type="dxa"/>
            <w:vAlign w:val="top"/>
          </w:tcPr>
          <w:p w14:paraId="41C73AF5">
            <w:pPr>
              <w:bidi w:val="0"/>
              <w:rPr>
                <w:rFonts w:hint="eastAsia" w:ascii="宋体" w:hAnsi="宋体" w:eastAsia="宋体" w:cs="宋体"/>
                <w:color w:val="auto"/>
                <w:sz w:val="24"/>
                <w:szCs w:val="24"/>
                <w:highlight w:val="none"/>
              </w:rPr>
            </w:pPr>
          </w:p>
          <w:p w14:paraId="73B929B5">
            <w:pPr>
              <w:bidi w:val="0"/>
              <w:rPr>
                <w:rFonts w:hint="eastAsia" w:ascii="宋体" w:hAnsi="宋体" w:eastAsia="宋体" w:cs="宋体"/>
                <w:color w:val="auto"/>
                <w:sz w:val="24"/>
                <w:szCs w:val="24"/>
                <w:highlight w:val="none"/>
              </w:rPr>
            </w:pPr>
          </w:p>
          <w:p w14:paraId="21CDFBD0">
            <w:pPr>
              <w:bidi w:val="0"/>
              <w:rPr>
                <w:rFonts w:hint="eastAsia" w:ascii="宋体" w:hAnsi="宋体" w:eastAsia="宋体" w:cs="宋体"/>
                <w:color w:val="auto"/>
                <w:sz w:val="24"/>
                <w:szCs w:val="24"/>
                <w:highlight w:val="none"/>
              </w:rPr>
            </w:pPr>
          </w:p>
          <w:p w14:paraId="0DDE7EF8">
            <w:pPr>
              <w:bidi w:val="0"/>
              <w:rPr>
                <w:rFonts w:hint="eastAsia" w:ascii="宋体" w:hAnsi="宋体" w:eastAsia="宋体" w:cs="宋体"/>
                <w:color w:val="auto"/>
                <w:sz w:val="24"/>
                <w:szCs w:val="24"/>
                <w:highlight w:val="none"/>
              </w:rPr>
            </w:pPr>
          </w:p>
          <w:p w14:paraId="150DCF24">
            <w:pPr>
              <w:bidi w:val="0"/>
              <w:rPr>
                <w:rFonts w:hint="eastAsia" w:ascii="宋体" w:hAnsi="宋体" w:eastAsia="宋体" w:cs="宋体"/>
                <w:color w:val="auto"/>
                <w:sz w:val="24"/>
                <w:szCs w:val="24"/>
                <w:highlight w:val="none"/>
              </w:rPr>
            </w:pPr>
          </w:p>
          <w:p w14:paraId="2252039D">
            <w:pPr>
              <w:bidi w:val="0"/>
              <w:rPr>
                <w:rFonts w:hint="eastAsia" w:ascii="宋体" w:hAnsi="宋体" w:eastAsia="宋体" w:cs="宋体"/>
                <w:color w:val="auto"/>
                <w:sz w:val="24"/>
                <w:szCs w:val="24"/>
                <w:highlight w:val="none"/>
              </w:rPr>
            </w:pPr>
          </w:p>
          <w:p w14:paraId="75D1A6C0">
            <w:pPr>
              <w:bidi w:val="0"/>
              <w:ind w:left="0" w:leftChars="0" w:firstLine="0" w:firstLineChars="0"/>
              <w:rPr>
                <w:rFonts w:hint="eastAsia" w:ascii="宋体" w:hAnsi="宋体" w:eastAsia="宋体" w:cs="宋体"/>
                <w:color w:val="auto"/>
                <w:sz w:val="24"/>
                <w:szCs w:val="24"/>
                <w:highlight w:val="none"/>
              </w:rPr>
            </w:pPr>
          </w:p>
          <w:p w14:paraId="5B8E45E0">
            <w:pPr>
              <w:bidi w:val="0"/>
              <w:rPr>
                <w:rFonts w:hint="eastAsia" w:ascii="宋体" w:hAnsi="宋体" w:eastAsia="宋体" w:cs="宋体"/>
                <w:color w:val="auto"/>
                <w:sz w:val="24"/>
                <w:szCs w:val="24"/>
                <w:highlight w:val="none"/>
              </w:rPr>
            </w:pPr>
          </w:p>
          <w:p w14:paraId="4DFE312C">
            <w:pPr>
              <w:bidi w:val="0"/>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报价部分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30 分）</w:t>
            </w:r>
          </w:p>
        </w:tc>
        <w:tc>
          <w:tcPr>
            <w:tcW w:w="1076" w:type="dxa"/>
            <w:vAlign w:val="top"/>
          </w:tcPr>
          <w:p w14:paraId="13761661">
            <w:pPr>
              <w:bidi w:val="0"/>
              <w:rPr>
                <w:rFonts w:hint="eastAsia" w:ascii="宋体" w:hAnsi="宋体" w:eastAsia="宋体" w:cs="宋体"/>
                <w:color w:val="auto"/>
                <w:sz w:val="24"/>
                <w:szCs w:val="24"/>
                <w:highlight w:val="none"/>
              </w:rPr>
            </w:pPr>
          </w:p>
          <w:p w14:paraId="0CA5AA40">
            <w:pPr>
              <w:bidi w:val="0"/>
              <w:rPr>
                <w:rFonts w:hint="eastAsia" w:ascii="宋体" w:hAnsi="宋体" w:eastAsia="宋体" w:cs="宋体"/>
                <w:color w:val="auto"/>
                <w:sz w:val="24"/>
                <w:szCs w:val="24"/>
                <w:highlight w:val="none"/>
              </w:rPr>
            </w:pPr>
          </w:p>
          <w:p w14:paraId="0135F5A8">
            <w:pPr>
              <w:bidi w:val="0"/>
              <w:rPr>
                <w:rFonts w:hint="eastAsia" w:ascii="宋体" w:hAnsi="宋体" w:eastAsia="宋体" w:cs="宋体"/>
                <w:color w:val="auto"/>
                <w:sz w:val="24"/>
                <w:szCs w:val="24"/>
                <w:highlight w:val="none"/>
              </w:rPr>
            </w:pPr>
          </w:p>
          <w:p w14:paraId="6454F3B8">
            <w:pPr>
              <w:bidi w:val="0"/>
              <w:rPr>
                <w:rFonts w:hint="eastAsia" w:ascii="宋体" w:hAnsi="宋体" w:eastAsia="宋体" w:cs="宋体"/>
                <w:color w:val="auto"/>
                <w:sz w:val="24"/>
                <w:szCs w:val="24"/>
                <w:highlight w:val="none"/>
              </w:rPr>
            </w:pPr>
          </w:p>
          <w:p w14:paraId="74B31658">
            <w:pPr>
              <w:bidi w:val="0"/>
              <w:rPr>
                <w:rFonts w:hint="eastAsia" w:ascii="宋体" w:hAnsi="宋体" w:eastAsia="宋体" w:cs="宋体"/>
                <w:color w:val="auto"/>
                <w:sz w:val="24"/>
                <w:szCs w:val="24"/>
                <w:highlight w:val="none"/>
              </w:rPr>
            </w:pPr>
          </w:p>
          <w:p w14:paraId="1FCAF387">
            <w:pPr>
              <w:bidi w:val="0"/>
              <w:ind w:left="0" w:leftChars="0" w:firstLine="0" w:firstLineChars="0"/>
              <w:rPr>
                <w:rFonts w:hint="eastAsia" w:ascii="宋体" w:hAnsi="宋体" w:eastAsia="宋体" w:cs="宋体"/>
                <w:color w:val="auto"/>
                <w:sz w:val="24"/>
                <w:szCs w:val="24"/>
                <w:highlight w:val="none"/>
              </w:rPr>
            </w:pPr>
          </w:p>
          <w:p w14:paraId="3ED7A981">
            <w:pPr>
              <w:bidi w:val="0"/>
              <w:rPr>
                <w:rFonts w:hint="eastAsia" w:ascii="宋体" w:hAnsi="宋体" w:eastAsia="宋体" w:cs="宋体"/>
                <w:color w:val="auto"/>
                <w:sz w:val="24"/>
                <w:szCs w:val="24"/>
                <w:highlight w:val="none"/>
              </w:rPr>
            </w:pPr>
          </w:p>
          <w:p w14:paraId="2065770A">
            <w:pPr>
              <w:bidi w:val="0"/>
              <w:rPr>
                <w:rFonts w:hint="eastAsia" w:ascii="宋体" w:hAnsi="宋体" w:eastAsia="宋体" w:cs="宋体"/>
                <w:color w:val="auto"/>
                <w:sz w:val="24"/>
                <w:szCs w:val="24"/>
                <w:highlight w:val="none"/>
              </w:rPr>
            </w:pPr>
          </w:p>
          <w:p w14:paraId="1A545272">
            <w:pPr>
              <w:bidi w:val="0"/>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投标报价得分计算方法</w:t>
            </w:r>
          </w:p>
        </w:tc>
        <w:tc>
          <w:tcPr>
            <w:tcW w:w="7559" w:type="dxa"/>
            <w:vAlign w:val="top"/>
          </w:tcPr>
          <w:p w14:paraId="6005FBE3">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投标报价得分=（评标基准价/投标报价）×30</w:t>
            </w:r>
          </w:p>
          <w:p w14:paraId="4EB94F5D">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评标基准价是满足招标文件要求且报价最低的投标报价,投标报价与评标基准价一致得满分。</w:t>
            </w:r>
          </w:p>
          <w:p w14:paraId="68309D21">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7F8D4D49">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的报价明显低于其他通过资格审查投标人报价的，有可能影响产品质量或者不能诚信履约的，评标委员会将通过交易系统向该投标人发出通知，要求该投标人通过交易系统提供书面说明，并提交相关证明材料，投标人不能证明其报价合理性的，评标委员会将其投标文件作为无效投标文件处理。</w:t>
            </w:r>
          </w:p>
          <w:p w14:paraId="50E86943">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（2）为了促进中小企业发展，根据《中华人民共和国政府采购法实施条例》第六条和财库［2020］46 号的规定，给予小型和微型企业产品（提供的所有投标产品均为小微企业生产产品）价格</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0%的价格扣除，用扣除后的价格参与评审，中小企业划型标准见《关于印发中小企业划型标准规定的通知》（工信部联企业［2011］300号）。</w:t>
            </w:r>
          </w:p>
          <w:p w14:paraId="65E7EB89">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参加本项目的小微企业应当提供《中小企业声明函》。</w:t>
            </w:r>
          </w:p>
          <w:p w14:paraId="2742591D">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（3）根据财库［2020］46 号文件规定，在政府采购活动中，监狱企业视同小型、微型企业，享受预留份额、评审中价格扣除等政府采购促进中小企业发展的政府采购政策。向监狱企业釆购的金额，计入面向中小企业釆购的统计数据。监狱企业参加政府釆购活动时，应当提供由省级以上监狱管理局、戒毒管理局（含新疆生产建设兵团）出具的属于监狱企业的证明文件。</w:t>
            </w:r>
          </w:p>
          <w:p w14:paraId="2633D042">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4）根据财库（2017）141 号文件规定，在政府采购活动中，残疾人福利性单位视同小型、微型企业，享受预留份额、评审中价格扣除等促进中小企业发展的政府采购政策。残疾人福利性单位属于小型、微型企业的，不重复享受政策。符合条件的残疾人福利性单位在参加政府采购活动时，应当提供《残疾人福利性单位声明函》，并对声明的真实性负责。</w:t>
            </w:r>
          </w:p>
        </w:tc>
      </w:tr>
      <w:tr w14:paraId="6E4CD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3" w:hRule="atLeast"/>
        </w:trPr>
        <w:tc>
          <w:tcPr>
            <w:tcW w:w="1096" w:type="dxa"/>
            <w:vMerge w:val="restart"/>
            <w:vAlign w:val="top"/>
          </w:tcPr>
          <w:p w14:paraId="5BA79426">
            <w:pPr>
              <w:bidi w:val="0"/>
              <w:rPr>
                <w:rFonts w:hint="eastAsia" w:ascii="宋体" w:hAnsi="宋体" w:eastAsia="宋体" w:cs="宋体"/>
                <w:color w:val="auto"/>
                <w:sz w:val="24"/>
                <w:szCs w:val="24"/>
                <w:highlight w:val="none"/>
              </w:rPr>
            </w:pPr>
          </w:p>
          <w:p w14:paraId="252FB1FE">
            <w:pPr>
              <w:bidi w:val="0"/>
              <w:rPr>
                <w:rFonts w:hint="eastAsia" w:ascii="宋体" w:hAnsi="宋体" w:eastAsia="宋体" w:cs="宋体"/>
                <w:color w:val="auto"/>
                <w:sz w:val="24"/>
                <w:szCs w:val="24"/>
                <w:highlight w:val="none"/>
              </w:rPr>
            </w:pPr>
          </w:p>
          <w:p w14:paraId="60A34BDE">
            <w:pPr>
              <w:bidi w:val="0"/>
              <w:rPr>
                <w:rFonts w:hint="eastAsia" w:ascii="宋体" w:hAnsi="宋体" w:eastAsia="宋体" w:cs="宋体"/>
                <w:color w:val="auto"/>
                <w:sz w:val="24"/>
                <w:szCs w:val="24"/>
                <w:highlight w:val="none"/>
              </w:rPr>
            </w:pPr>
          </w:p>
          <w:p w14:paraId="2C6BFC1D">
            <w:pPr>
              <w:bidi w:val="0"/>
              <w:rPr>
                <w:rFonts w:hint="eastAsia" w:ascii="宋体" w:hAnsi="宋体" w:eastAsia="宋体" w:cs="宋体"/>
                <w:color w:val="auto"/>
                <w:sz w:val="24"/>
                <w:szCs w:val="24"/>
                <w:highlight w:val="none"/>
              </w:rPr>
            </w:pPr>
          </w:p>
          <w:p w14:paraId="56811194">
            <w:pPr>
              <w:bidi w:val="0"/>
              <w:rPr>
                <w:rFonts w:hint="eastAsia" w:ascii="宋体" w:hAnsi="宋体" w:eastAsia="宋体" w:cs="宋体"/>
                <w:color w:val="auto"/>
                <w:sz w:val="24"/>
                <w:szCs w:val="24"/>
                <w:highlight w:val="none"/>
              </w:rPr>
            </w:pPr>
          </w:p>
          <w:p w14:paraId="130BBA19">
            <w:pPr>
              <w:bidi w:val="0"/>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技术部分   （</w:t>
            </w:r>
            <w:r>
              <w:rPr>
                <w:rFonts w:hint="eastAsia" w:ascii="宋体" w:hAnsi="宋体" w:eastAsia="宋体" w:cs="宋体"/>
                <w:color w:val="auto"/>
                <w:sz w:val="24"/>
                <w:szCs w:val="24"/>
                <w:highlight w:val="none"/>
                <w:lang w:val="en-US" w:eastAsia="zh-CN"/>
              </w:rPr>
              <w:t>45</w:t>
            </w:r>
            <w:r>
              <w:rPr>
                <w:rFonts w:hint="eastAsia" w:ascii="宋体" w:hAnsi="宋体" w:eastAsia="宋体" w:cs="宋体"/>
                <w:color w:val="auto"/>
                <w:sz w:val="24"/>
                <w:szCs w:val="24"/>
                <w:highlight w:val="none"/>
              </w:rPr>
              <w:t>分）</w:t>
            </w:r>
          </w:p>
        </w:tc>
        <w:tc>
          <w:tcPr>
            <w:tcW w:w="1076" w:type="dxa"/>
            <w:vAlign w:val="top"/>
          </w:tcPr>
          <w:p w14:paraId="263767CF">
            <w:pPr>
              <w:bidi w:val="0"/>
              <w:rPr>
                <w:rFonts w:hint="eastAsia" w:ascii="宋体" w:hAnsi="宋体" w:eastAsia="宋体" w:cs="宋体"/>
                <w:color w:val="auto"/>
                <w:sz w:val="24"/>
                <w:szCs w:val="24"/>
                <w:highlight w:val="none"/>
              </w:rPr>
            </w:pPr>
          </w:p>
          <w:p w14:paraId="2CBB030D">
            <w:pPr>
              <w:bidi w:val="0"/>
              <w:rPr>
                <w:rFonts w:hint="eastAsia" w:ascii="宋体" w:hAnsi="宋体" w:eastAsia="宋体" w:cs="宋体"/>
                <w:color w:val="auto"/>
                <w:sz w:val="24"/>
                <w:szCs w:val="24"/>
                <w:highlight w:val="none"/>
              </w:rPr>
            </w:pPr>
          </w:p>
          <w:p w14:paraId="354E67A8">
            <w:pPr>
              <w:bidi w:val="0"/>
              <w:rPr>
                <w:rFonts w:hint="eastAsia" w:ascii="宋体" w:hAnsi="宋体" w:eastAsia="宋体" w:cs="宋体"/>
                <w:color w:val="auto"/>
                <w:sz w:val="24"/>
                <w:szCs w:val="24"/>
                <w:highlight w:val="none"/>
              </w:rPr>
            </w:pPr>
          </w:p>
          <w:p w14:paraId="40212163">
            <w:pPr>
              <w:bidi w:val="0"/>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tc>
        <w:tc>
          <w:tcPr>
            <w:tcW w:w="7559" w:type="dxa"/>
            <w:vAlign w:val="top"/>
          </w:tcPr>
          <w:p w14:paraId="41A87741">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根据投标文件提供的货物技术偏离表情况进行评审，所投产品技术参数完全符合采购文件技术要求，得基础分 </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分。所投产品技术参数不满足采购文件中标注“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”的条款要求，每一项负偏离扣 2 分；所投产品技术参数不满足招标文件中未标注“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”的条款要求，每一项负偏离扣 1 分；扣完为止。（未提供相关技术参数要求复印件的，不得分）</w:t>
            </w:r>
          </w:p>
          <w:p w14:paraId="405624C8">
            <w:pPr>
              <w:bidi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注：为了便于评标委员会审查评定，必须在技术偏离表的“证明材料页码”栏填写证明材料所在标书中的具体页码，未按要求提供证明材料或注明的，该项技术参数视为不满足。</w:t>
            </w:r>
          </w:p>
        </w:tc>
      </w:tr>
      <w:tr w14:paraId="25292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8" w:hRule="atLeast"/>
        </w:trPr>
        <w:tc>
          <w:tcPr>
            <w:tcW w:w="1096" w:type="dxa"/>
            <w:vMerge w:val="continue"/>
            <w:vAlign w:val="top"/>
          </w:tcPr>
          <w:p w14:paraId="4CE9AA3C">
            <w:pPr>
              <w:bidi w:val="0"/>
              <w:rPr>
                <w:rFonts w:hint="eastAsia" w:ascii="宋体" w:hAnsi="宋体" w:eastAsia="宋体" w:cs="宋体"/>
                <w:color w:val="auto"/>
                <w:sz w:val="24"/>
                <w:szCs w:val="24"/>
                <w:highlight w:val="none"/>
              </w:rPr>
            </w:pPr>
          </w:p>
        </w:tc>
        <w:tc>
          <w:tcPr>
            <w:tcW w:w="1076" w:type="dxa"/>
            <w:vAlign w:val="top"/>
          </w:tcPr>
          <w:p w14:paraId="30CE6DF8">
            <w:pPr>
              <w:bidi w:val="0"/>
              <w:rPr>
                <w:rFonts w:hint="eastAsia" w:ascii="宋体" w:hAnsi="宋体" w:eastAsia="宋体" w:cs="宋体"/>
                <w:color w:val="auto"/>
                <w:sz w:val="24"/>
                <w:szCs w:val="24"/>
                <w:highlight w:val="none"/>
              </w:rPr>
            </w:pPr>
          </w:p>
          <w:p w14:paraId="14852CF0">
            <w:pPr>
              <w:bidi w:val="0"/>
              <w:rPr>
                <w:rFonts w:hint="eastAsia" w:ascii="宋体" w:hAnsi="宋体" w:eastAsia="宋体" w:cs="宋体"/>
                <w:color w:val="auto"/>
                <w:sz w:val="24"/>
                <w:szCs w:val="24"/>
                <w:highlight w:val="none"/>
              </w:rPr>
            </w:pPr>
          </w:p>
          <w:p w14:paraId="430524E3">
            <w:pPr>
              <w:bidi w:val="0"/>
              <w:rPr>
                <w:rFonts w:hint="eastAsia" w:ascii="宋体" w:hAnsi="宋体" w:eastAsia="宋体" w:cs="宋体"/>
                <w:color w:val="auto"/>
                <w:sz w:val="24"/>
                <w:szCs w:val="24"/>
                <w:highlight w:val="none"/>
              </w:rPr>
            </w:pPr>
          </w:p>
          <w:p w14:paraId="0095C4E8">
            <w:pPr>
              <w:bidi w:val="0"/>
              <w:ind w:left="0" w:leftChars="0" w:firstLine="0" w:firstLineChars="0"/>
              <w:rPr>
                <w:rFonts w:hint="eastAsia" w:ascii="宋体" w:hAnsi="宋体" w:eastAsia="宋体" w:cs="宋体"/>
                <w:color w:val="auto"/>
                <w:sz w:val="24"/>
                <w:szCs w:val="24"/>
                <w:highlight w:val="none"/>
              </w:rPr>
            </w:pPr>
          </w:p>
          <w:p w14:paraId="58ACE419">
            <w:pPr>
              <w:bidi w:val="0"/>
              <w:rPr>
                <w:rFonts w:hint="eastAsia" w:ascii="宋体" w:hAnsi="宋体" w:eastAsia="宋体" w:cs="宋体"/>
                <w:color w:val="auto"/>
                <w:sz w:val="24"/>
                <w:szCs w:val="24"/>
                <w:highlight w:val="none"/>
              </w:rPr>
            </w:pPr>
          </w:p>
          <w:p w14:paraId="4F12A768">
            <w:pPr>
              <w:bidi w:val="0"/>
              <w:rPr>
                <w:rFonts w:hint="eastAsia" w:ascii="宋体" w:hAnsi="宋体" w:eastAsia="宋体" w:cs="宋体"/>
                <w:color w:val="auto"/>
                <w:sz w:val="24"/>
                <w:szCs w:val="24"/>
                <w:highlight w:val="none"/>
              </w:rPr>
            </w:pPr>
          </w:p>
          <w:p w14:paraId="04C659AD">
            <w:pPr>
              <w:bidi w:val="0"/>
              <w:ind w:left="0" w:leftChars="0" w:firstLine="0" w:firstLineChars="0"/>
              <w:rPr>
                <w:rFonts w:hint="eastAsia" w:ascii="宋体" w:hAnsi="宋体" w:eastAsia="宋体" w:cs="宋体"/>
                <w:color w:val="auto"/>
                <w:sz w:val="24"/>
                <w:szCs w:val="24"/>
                <w:highlight w:val="none"/>
              </w:rPr>
            </w:pPr>
          </w:p>
          <w:p w14:paraId="1E5FBCE2">
            <w:pPr>
              <w:bidi w:val="0"/>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实施方案(15分)</w:t>
            </w:r>
          </w:p>
        </w:tc>
        <w:tc>
          <w:tcPr>
            <w:tcW w:w="7559" w:type="dxa"/>
            <w:vAlign w:val="top"/>
          </w:tcPr>
          <w:p w14:paraId="3054CC8E">
            <w:pPr>
              <w:bidi w:val="0"/>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评标委员会根据供应商提供的实施方案(实施计划、供货方案、安装调试方案、质量保证措施、人员安排、交货的组织方案及时间安排、备品备件状况等) 进行评分；(15分)</w:t>
            </w:r>
          </w:p>
          <w:p w14:paraId="5E5C03BC">
            <w:pPr>
              <w:bidi w:val="0"/>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1.实施方案内容详实，方案科学、合理、安全，考虑周全，措施到位，针对性强，完全能够满足采购的需要的得15分；</w:t>
            </w:r>
          </w:p>
          <w:p w14:paraId="04E6A24C">
            <w:pPr>
              <w:bidi w:val="0"/>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2.实施方案内容完整，方案比较科学、合理、安全，基本考虑周全，措施基本到位，针对性一般，基本满足采购的需要，但有个别细节需要进一步完善或提高的得10分；</w:t>
            </w:r>
          </w:p>
          <w:p w14:paraId="44F7F2E8">
            <w:pPr>
              <w:bidi w:val="0"/>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3.实施方案符合招标文件要求涉及的方面，相关内容描述不详细，方案基本科学、合理、安全，考虑一般，措施基本到位，满足采购的需要较差，大部分细节需要进一步完善或提高的5分；</w:t>
            </w:r>
          </w:p>
          <w:p w14:paraId="27139D15">
            <w:pPr>
              <w:bidi w:val="0"/>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4.实施方案不全，针对性差，整体思路混乱，可操作性差，大部分细节需要进一步完善或提高的1分；</w:t>
            </w:r>
          </w:p>
          <w:p w14:paraId="4A3F46CE">
            <w:pPr>
              <w:bidi w:val="0"/>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5.不提供不得分。</w:t>
            </w:r>
          </w:p>
          <w:p w14:paraId="2B8F7146">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en-US"/>
              </w:rPr>
              <w:t>注：以上不累计得分。</w:t>
            </w:r>
          </w:p>
        </w:tc>
      </w:tr>
      <w:tr w14:paraId="51F0C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1" w:hRule="atLeast"/>
        </w:trPr>
        <w:tc>
          <w:tcPr>
            <w:tcW w:w="1096" w:type="dxa"/>
            <w:vMerge w:val="restart"/>
            <w:vAlign w:val="top"/>
          </w:tcPr>
          <w:p w14:paraId="3604F8F7">
            <w:pPr>
              <w:bidi w:val="0"/>
              <w:rPr>
                <w:rFonts w:hint="eastAsia" w:ascii="宋体" w:hAnsi="宋体" w:eastAsia="宋体" w:cs="宋体"/>
                <w:color w:val="auto"/>
                <w:sz w:val="24"/>
                <w:szCs w:val="24"/>
                <w:highlight w:val="none"/>
              </w:rPr>
            </w:pPr>
          </w:p>
          <w:p w14:paraId="3FF1817A">
            <w:pPr>
              <w:bidi w:val="0"/>
              <w:rPr>
                <w:rFonts w:hint="eastAsia" w:ascii="宋体" w:hAnsi="宋体" w:eastAsia="宋体" w:cs="宋体"/>
                <w:color w:val="auto"/>
                <w:sz w:val="24"/>
                <w:szCs w:val="24"/>
                <w:highlight w:val="none"/>
              </w:rPr>
            </w:pPr>
          </w:p>
          <w:p w14:paraId="7598CE66">
            <w:pPr>
              <w:bidi w:val="0"/>
              <w:rPr>
                <w:rFonts w:hint="eastAsia" w:ascii="宋体" w:hAnsi="宋体" w:eastAsia="宋体" w:cs="宋体"/>
                <w:color w:val="auto"/>
                <w:sz w:val="24"/>
                <w:szCs w:val="24"/>
                <w:highlight w:val="none"/>
              </w:rPr>
            </w:pPr>
          </w:p>
          <w:p w14:paraId="494037B7">
            <w:pPr>
              <w:bidi w:val="0"/>
              <w:rPr>
                <w:rFonts w:hint="eastAsia" w:ascii="宋体" w:hAnsi="宋体" w:eastAsia="宋体" w:cs="宋体"/>
                <w:color w:val="auto"/>
                <w:sz w:val="24"/>
                <w:szCs w:val="24"/>
                <w:highlight w:val="none"/>
              </w:rPr>
            </w:pPr>
          </w:p>
          <w:p w14:paraId="33A6D56D">
            <w:pPr>
              <w:bidi w:val="0"/>
              <w:rPr>
                <w:rFonts w:hint="eastAsia" w:ascii="宋体" w:hAnsi="宋体" w:eastAsia="宋体" w:cs="宋体"/>
                <w:color w:val="auto"/>
                <w:sz w:val="24"/>
                <w:szCs w:val="24"/>
                <w:highlight w:val="none"/>
              </w:rPr>
            </w:pPr>
          </w:p>
          <w:p w14:paraId="26D95A80">
            <w:pPr>
              <w:bidi w:val="0"/>
              <w:rPr>
                <w:rFonts w:hint="eastAsia" w:ascii="宋体" w:hAnsi="宋体" w:eastAsia="宋体" w:cs="宋体"/>
                <w:color w:val="auto"/>
                <w:sz w:val="24"/>
                <w:szCs w:val="24"/>
                <w:highlight w:val="none"/>
              </w:rPr>
            </w:pPr>
          </w:p>
          <w:p w14:paraId="2923B899">
            <w:pPr>
              <w:bidi w:val="0"/>
              <w:rPr>
                <w:rFonts w:hint="eastAsia" w:ascii="宋体" w:hAnsi="宋体" w:eastAsia="宋体" w:cs="宋体"/>
                <w:color w:val="auto"/>
                <w:sz w:val="24"/>
                <w:szCs w:val="24"/>
                <w:highlight w:val="none"/>
              </w:rPr>
            </w:pPr>
          </w:p>
          <w:p w14:paraId="16A3FBB2">
            <w:pPr>
              <w:bidi w:val="0"/>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综合部分（</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5 分）</w:t>
            </w:r>
          </w:p>
        </w:tc>
        <w:tc>
          <w:tcPr>
            <w:tcW w:w="1076" w:type="dxa"/>
            <w:vAlign w:val="top"/>
          </w:tcPr>
          <w:p w14:paraId="4F3A4AD4">
            <w:pPr>
              <w:bidi w:val="0"/>
              <w:ind w:left="0" w:leftChars="0" w:firstLine="0" w:firstLineChars="0"/>
              <w:rPr>
                <w:rFonts w:hint="eastAsia" w:ascii="宋体" w:hAnsi="宋体" w:eastAsia="宋体" w:cs="宋体"/>
                <w:color w:val="auto"/>
                <w:sz w:val="24"/>
                <w:szCs w:val="24"/>
                <w:highlight w:val="none"/>
              </w:rPr>
            </w:pPr>
          </w:p>
          <w:p w14:paraId="5A2C3C31">
            <w:pPr>
              <w:bidi w:val="0"/>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企业业绩（</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7559" w:type="dxa"/>
            <w:vAlign w:val="top"/>
          </w:tcPr>
          <w:p w14:paraId="361AE641">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投标人提供20</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月1日以来完成的类似项目，每份业绩得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分，最多得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分。（以合同签订时间为准，投标文件附中标通知书扫描件或合同扫描件，缺项不得分）</w:t>
            </w:r>
          </w:p>
        </w:tc>
      </w:tr>
      <w:tr w14:paraId="72889F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8" w:hRule="atLeast"/>
        </w:trPr>
        <w:tc>
          <w:tcPr>
            <w:tcW w:w="1096" w:type="dxa"/>
            <w:vMerge w:val="continue"/>
            <w:vAlign w:val="top"/>
          </w:tcPr>
          <w:p w14:paraId="2C582649">
            <w:pPr>
              <w:bidi w:val="0"/>
              <w:rPr>
                <w:rFonts w:hint="eastAsia" w:ascii="宋体" w:hAnsi="宋体" w:eastAsia="宋体" w:cs="宋体"/>
                <w:color w:val="auto"/>
                <w:sz w:val="24"/>
                <w:szCs w:val="24"/>
                <w:highlight w:val="none"/>
              </w:rPr>
            </w:pPr>
          </w:p>
        </w:tc>
        <w:tc>
          <w:tcPr>
            <w:tcW w:w="1076" w:type="dxa"/>
            <w:vAlign w:val="top"/>
          </w:tcPr>
          <w:p w14:paraId="1BB48F75">
            <w:pPr>
              <w:bidi w:val="0"/>
              <w:rPr>
                <w:rFonts w:hint="eastAsia" w:ascii="宋体" w:hAnsi="宋体" w:eastAsia="宋体" w:cs="宋体"/>
                <w:color w:val="auto"/>
                <w:sz w:val="24"/>
                <w:szCs w:val="24"/>
                <w:highlight w:val="none"/>
              </w:rPr>
            </w:pPr>
          </w:p>
          <w:p w14:paraId="708B34DA">
            <w:pPr>
              <w:bidi w:val="0"/>
              <w:rPr>
                <w:rFonts w:hint="eastAsia" w:ascii="宋体" w:hAnsi="宋体" w:eastAsia="宋体" w:cs="宋体"/>
                <w:color w:val="auto"/>
                <w:sz w:val="24"/>
                <w:szCs w:val="24"/>
                <w:highlight w:val="none"/>
              </w:rPr>
            </w:pPr>
          </w:p>
          <w:p w14:paraId="23A74487">
            <w:pPr>
              <w:bidi w:val="0"/>
              <w:rPr>
                <w:rFonts w:hint="eastAsia" w:ascii="宋体" w:hAnsi="宋体" w:eastAsia="宋体" w:cs="宋体"/>
                <w:color w:val="auto"/>
                <w:sz w:val="24"/>
                <w:szCs w:val="24"/>
                <w:highlight w:val="none"/>
              </w:rPr>
            </w:pPr>
          </w:p>
          <w:p w14:paraId="5142179E">
            <w:pPr>
              <w:bidi w:val="0"/>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w:t>
            </w:r>
            <w:r>
              <w:rPr>
                <w:rFonts w:hint="eastAsia" w:ascii="宋体" w:hAnsi="宋体" w:eastAsia="宋体" w:cs="宋体"/>
                <w:color w:val="auto"/>
                <w:sz w:val="24"/>
                <w:szCs w:val="24"/>
                <w:highlight w:val="none"/>
                <w:lang w:val="en-US" w:eastAsia="zh-CN"/>
              </w:rPr>
              <w:t>实力</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7559" w:type="dxa"/>
            <w:vAlign w:val="top"/>
          </w:tcPr>
          <w:p w14:paraId="5BAC5326">
            <w:pPr>
              <w:bidi w:val="0"/>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1.投标人</w:t>
            </w:r>
            <w:r>
              <w:rPr>
                <w:rFonts w:hint="eastAsia" w:ascii="宋体" w:hAnsi="宋体" w:eastAsia="宋体" w:cs="宋体"/>
                <w:color w:val="auto"/>
                <w:sz w:val="24"/>
                <w:szCs w:val="24"/>
                <w:highlight w:val="none"/>
                <w:lang w:val="en-US" w:eastAsia="zh-CN"/>
              </w:rPr>
              <w:t>或生产厂家</w:t>
            </w:r>
            <w:r>
              <w:rPr>
                <w:rFonts w:hint="eastAsia" w:ascii="宋体" w:hAnsi="宋体" w:eastAsia="宋体" w:cs="宋体"/>
                <w:color w:val="auto"/>
                <w:sz w:val="24"/>
                <w:szCs w:val="24"/>
                <w:highlight w:val="none"/>
                <w:lang w:val="en-US" w:eastAsia="en-US"/>
              </w:rPr>
              <w:t>具有效期内的ISO质量管理体系认证证书的，得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en-US"/>
              </w:rPr>
              <w:t>分；(提供相关证书扫描件)</w:t>
            </w:r>
          </w:p>
          <w:p w14:paraId="2AEC2C90">
            <w:pPr>
              <w:bidi w:val="0"/>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2.投标人</w:t>
            </w:r>
            <w:r>
              <w:rPr>
                <w:rFonts w:hint="eastAsia" w:ascii="宋体" w:hAnsi="宋体" w:eastAsia="宋体" w:cs="宋体"/>
                <w:color w:val="auto"/>
                <w:sz w:val="24"/>
                <w:szCs w:val="24"/>
                <w:highlight w:val="none"/>
                <w:lang w:val="en-US" w:eastAsia="zh-CN"/>
              </w:rPr>
              <w:t>或生产厂家</w:t>
            </w:r>
            <w:r>
              <w:rPr>
                <w:rFonts w:hint="eastAsia" w:ascii="宋体" w:hAnsi="宋体" w:eastAsia="宋体" w:cs="宋体"/>
                <w:color w:val="auto"/>
                <w:sz w:val="24"/>
                <w:szCs w:val="24"/>
                <w:highlight w:val="none"/>
                <w:lang w:val="en-US" w:eastAsia="en-US"/>
              </w:rPr>
              <w:t>具有效期内的ISO环境管理体系认证证书的，得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en-US"/>
              </w:rPr>
              <w:t>分；(提供相关证书扫描件)</w:t>
            </w:r>
          </w:p>
          <w:p w14:paraId="0D25D1B8">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en-US"/>
              </w:rPr>
              <w:t>3.投标人</w:t>
            </w:r>
            <w:r>
              <w:rPr>
                <w:rFonts w:hint="eastAsia" w:ascii="宋体" w:hAnsi="宋体" w:eastAsia="宋体" w:cs="宋体"/>
                <w:color w:val="auto"/>
                <w:sz w:val="24"/>
                <w:szCs w:val="24"/>
                <w:highlight w:val="none"/>
                <w:lang w:val="en-US" w:eastAsia="zh-CN"/>
              </w:rPr>
              <w:t>或生产厂家</w:t>
            </w:r>
            <w:r>
              <w:rPr>
                <w:rFonts w:hint="eastAsia" w:ascii="宋体" w:hAnsi="宋体" w:eastAsia="宋体" w:cs="宋体"/>
                <w:color w:val="auto"/>
                <w:sz w:val="24"/>
                <w:szCs w:val="24"/>
                <w:highlight w:val="none"/>
                <w:lang w:val="en-US" w:eastAsia="en-US"/>
              </w:rPr>
              <w:t>具有有效期内的ISO职业健康安全管理体系认证证书的，得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en-US"/>
              </w:rPr>
              <w:t>分；(提供相关证书扫描件)</w:t>
            </w:r>
          </w:p>
        </w:tc>
      </w:tr>
      <w:tr w14:paraId="72E65D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096" w:type="dxa"/>
            <w:vMerge w:val="continue"/>
            <w:vAlign w:val="top"/>
          </w:tcPr>
          <w:p w14:paraId="48B2E81D">
            <w:pPr>
              <w:bidi w:val="0"/>
              <w:rPr>
                <w:rFonts w:hint="eastAsia" w:ascii="宋体" w:hAnsi="宋体" w:eastAsia="宋体" w:cs="宋体"/>
                <w:color w:val="auto"/>
                <w:sz w:val="24"/>
                <w:szCs w:val="24"/>
                <w:highlight w:val="none"/>
              </w:rPr>
            </w:pPr>
          </w:p>
        </w:tc>
        <w:tc>
          <w:tcPr>
            <w:tcW w:w="1076" w:type="dxa"/>
            <w:vAlign w:val="center"/>
          </w:tcPr>
          <w:p w14:paraId="2B2504DA">
            <w:pPr>
              <w:bidi w:val="0"/>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设备维护保养计划和人员安排（5分）</w:t>
            </w:r>
          </w:p>
        </w:tc>
        <w:tc>
          <w:tcPr>
            <w:tcW w:w="7559" w:type="dxa"/>
            <w:vAlign w:val="center"/>
          </w:tcPr>
          <w:p w14:paraId="1F53CB96">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根据投标人的设备维护保养计划和人员安排的合理性、科学性、及时性进行综合评分： </w:t>
            </w:r>
          </w:p>
          <w:p w14:paraId="77E316F7">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（1）内容详实全面、具体、科学、可实施性强的得5分； </w:t>
            </w:r>
          </w:p>
          <w:p w14:paraId="46FED971">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（2）内容不详实、可行性一般的得3分； </w:t>
            </w:r>
          </w:p>
          <w:p w14:paraId="21795983">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（3）内容只有简单描述、可行性差的得1分。</w:t>
            </w:r>
          </w:p>
          <w:p w14:paraId="5E594CA2">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未提供不得分。</w:t>
            </w:r>
          </w:p>
        </w:tc>
      </w:tr>
      <w:tr w14:paraId="11D57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7" w:hRule="atLeast"/>
        </w:trPr>
        <w:tc>
          <w:tcPr>
            <w:tcW w:w="1096" w:type="dxa"/>
            <w:vMerge w:val="continue"/>
            <w:vAlign w:val="top"/>
          </w:tcPr>
          <w:p w14:paraId="464AA108">
            <w:pPr>
              <w:bidi w:val="0"/>
              <w:rPr>
                <w:rFonts w:hint="eastAsia" w:ascii="宋体" w:hAnsi="宋体" w:eastAsia="宋体" w:cs="宋体"/>
                <w:color w:val="auto"/>
                <w:sz w:val="24"/>
                <w:szCs w:val="24"/>
                <w:highlight w:val="none"/>
              </w:rPr>
            </w:pPr>
          </w:p>
        </w:tc>
        <w:tc>
          <w:tcPr>
            <w:tcW w:w="1076" w:type="dxa"/>
            <w:vAlign w:val="top"/>
          </w:tcPr>
          <w:p w14:paraId="154E7D64">
            <w:pPr>
              <w:bidi w:val="0"/>
              <w:rPr>
                <w:rFonts w:hint="eastAsia" w:ascii="宋体" w:hAnsi="宋体" w:eastAsia="宋体" w:cs="宋体"/>
                <w:color w:val="auto"/>
                <w:sz w:val="24"/>
                <w:szCs w:val="24"/>
                <w:highlight w:val="none"/>
              </w:rPr>
            </w:pPr>
          </w:p>
          <w:p w14:paraId="447F26B2">
            <w:pPr>
              <w:bidi w:val="0"/>
              <w:ind w:left="0" w:leftChars="0" w:firstLine="0" w:firstLineChars="0"/>
              <w:rPr>
                <w:rFonts w:hint="eastAsia" w:ascii="宋体" w:hAnsi="宋体" w:eastAsia="宋体" w:cs="宋体"/>
                <w:color w:val="auto"/>
                <w:sz w:val="24"/>
                <w:szCs w:val="24"/>
                <w:highlight w:val="none"/>
              </w:rPr>
            </w:pPr>
          </w:p>
          <w:p w14:paraId="10DF85E0">
            <w:pPr>
              <w:bidi w:val="0"/>
              <w:ind w:left="0" w:leftChars="0" w:firstLine="0" w:firstLineChars="0"/>
              <w:rPr>
                <w:rFonts w:hint="eastAsia" w:ascii="宋体" w:hAnsi="宋体" w:eastAsia="宋体" w:cs="宋体"/>
                <w:color w:val="auto"/>
                <w:sz w:val="24"/>
                <w:szCs w:val="24"/>
                <w:highlight w:val="none"/>
              </w:rPr>
            </w:pPr>
          </w:p>
          <w:p w14:paraId="79CEBFB5">
            <w:pPr>
              <w:bidi w:val="0"/>
              <w:ind w:left="0" w:leftChars="0" w:firstLine="0" w:firstLineChars="0"/>
              <w:rPr>
                <w:rFonts w:hint="eastAsia" w:ascii="宋体" w:hAnsi="宋体" w:eastAsia="宋体" w:cs="宋体"/>
                <w:color w:val="auto"/>
                <w:sz w:val="24"/>
                <w:szCs w:val="24"/>
                <w:highlight w:val="none"/>
              </w:rPr>
            </w:pPr>
          </w:p>
          <w:p w14:paraId="240F6C47">
            <w:pPr>
              <w:bidi w:val="0"/>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7559" w:type="dxa"/>
            <w:vAlign w:val="top"/>
          </w:tcPr>
          <w:p w14:paraId="5499A26B">
            <w:pPr>
              <w:bidi w:val="0"/>
              <w:rPr>
                <w:rFonts w:hint="eastAsia" w:ascii="宋体" w:hAnsi="宋体" w:eastAsia="宋体" w:cs="宋体"/>
                <w:color w:val="auto"/>
                <w:sz w:val="24"/>
                <w:szCs w:val="24"/>
                <w:highlight w:val="none"/>
              </w:rPr>
            </w:pPr>
            <w:bookmarkStart w:id="72" w:name="OLE_LINK44"/>
            <w:r>
              <w:rPr>
                <w:rFonts w:hint="eastAsia" w:ascii="宋体" w:hAnsi="宋体" w:eastAsia="宋体" w:cs="宋体"/>
                <w:color w:val="auto"/>
                <w:sz w:val="24"/>
                <w:szCs w:val="24"/>
                <w:highlight w:val="none"/>
              </w:rPr>
              <w:t>根据供应商提出的售后服务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包括</w:t>
            </w:r>
            <w:r>
              <w:rPr>
                <w:rFonts w:hint="eastAsia" w:ascii="宋体" w:hAnsi="宋体" w:eastAsia="宋体" w:cs="宋体"/>
                <w:color w:val="auto"/>
                <w:sz w:val="24"/>
                <w:szCs w:val="24"/>
                <w:highlight w:val="none"/>
                <w:lang w:val="en-US" w:eastAsia="zh-CN"/>
              </w:rPr>
              <w:t>但不限于</w:t>
            </w:r>
            <w:r>
              <w:rPr>
                <w:rFonts w:hint="eastAsia" w:ascii="宋体" w:hAnsi="宋体" w:eastAsia="宋体" w:cs="宋体"/>
                <w:color w:val="auto"/>
                <w:sz w:val="24"/>
                <w:szCs w:val="24"/>
                <w:highlight w:val="none"/>
              </w:rPr>
              <w:t>质保期内服务、响应时间、质保期外服务内容、本地化服务能力、故障应急处置方案、维修保养服务体系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维修响应及故障解决时间等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情况</w:t>
            </w:r>
            <w:r>
              <w:rPr>
                <w:rFonts w:hint="eastAsia" w:ascii="宋体" w:hAnsi="宋体" w:eastAsia="宋体" w:cs="宋体"/>
                <w:color w:val="auto"/>
                <w:sz w:val="24"/>
                <w:szCs w:val="24"/>
                <w:highlight w:val="none"/>
              </w:rPr>
              <w:t>进行</w:t>
            </w:r>
            <w:r>
              <w:rPr>
                <w:rFonts w:hint="eastAsia" w:ascii="宋体" w:hAnsi="宋体" w:eastAsia="宋体" w:cs="宋体"/>
                <w:color w:val="auto"/>
                <w:sz w:val="24"/>
                <w:szCs w:val="24"/>
                <w:highlight w:val="none"/>
                <w:lang w:val="en-US" w:eastAsia="zh-CN"/>
              </w:rPr>
              <w:t>综合评审</w:t>
            </w:r>
            <w:r>
              <w:rPr>
                <w:rFonts w:hint="eastAsia" w:ascii="宋体" w:hAnsi="宋体" w:eastAsia="宋体" w:cs="宋体"/>
                <w:color w:val="auto"/>
                <w:sz w:val="24"/>
                <w:szCs w:val="24"/>
                <w:highlight w:val="none"/>
              </w:rPr>
              <w:t>。</w:t>
            </w:r>
          </w:p>
          <w:bookmarkEnd w:id="72"/>
          <w:p w14:paraId="3C093A63">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方案内容完整且无缺陷的得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分，每缺少一项扣</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每有一处有缺陷(缺陷是指:非专门针对本项目或不适用项目特性的情形、内容不完整或缺少关键节点、套用其他项目方案、内容前后矛盾、涉及的规范及标准错误、不利于项目实施、不可能实现的情形等任意一种情形。）扣</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扣完为止。</w:t>
            </w:r>
          </w:p>
        </w:tc>
      </w:tr>
      <w:tr w14:paraId="444FD1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1096" w:type="dxa"/>
            <w:vMerge w:val="continue"/>
            <w:tcBorders>
              <w:bottom w:val="nil"/>
            </w:tcBorders>
            <w:vAlign w:val="top"/>
          </w:tcPr>
          <w:p w14:paraId="65CCA5C2">
            <w:pPr>
              <w:bidi w:val="0"/>
              <w:rPr>
                <w:rFonts w:hint="eastAsia" w:ascii="宋体" w:hAnsi="宋体" w:eastAsia="宋体" w:cs="宋体"/>
                <w:color w:val="auto"/>
                <w:sz w:val="24"/>
                <w:szCs w:val="24"/>
                <w:highlight w:val="none"/>
              </w:rPr>
            </w:pPr>
          </w:p>
        </w:tc>
        <w:tc>
          <w:tcPr>
            <w:tcW w:w="1076" w:type="dxa"/>
            <w:vAlign w:val="top"/>
          </w:tcPr>
          <w:p w14:paraId="7D0FE962">
            <w:pPr>
              <w:bidi w:val="0"/>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7559" w:type="dxa"/>
            <w:vAlign w:val="top"/>
          </w:tcPr>
          <w:p w14:paraId="303E2351">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投标供应商符合质保期基本要求，质保期每增加</w:t>
            </w:r>
            <w:r>
              <w:rPr>
                <w:rFonts w:hint="eastAsia" w:ascii="宋体" w:hAnsi="宋体" w:eastAsia="宋体" w:cs="宋体"/>
                <w:color w:val="auto"/>
                <w:sz w:val="24"/>
                <w:szCs w:val="24"/>
                <w:highlight w:val="none"/>
                <w:lang w:val="en-US" w:eastAsia="zh-CN"/>
              </w:rPr>
              <w:t>一年</w:t>
            </w:r>
            <w:r>
              <w:rPr>
                <w:rFonts w:hint="eastAsia" w:ascii="宋体" w:hAnsi="宋体" w:eastAsia="宋体" w:cs="宋体"/>
                <w:color w:val="auto"/>
                <w:sz w:val="24"/>
                <w:szCs w:val="24"/>
                <w:highlight w:val="none"/>
              </w:rPr>
              <w:t>加 1分，最多加</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14:paraId="3A908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096" w:type="dxa"/>
            <w:tcBorders>
              <w:top w:val="nil"/>
              <w:bottom w:val="nil"/>
            </w:tcBorders>
            <w:vAlign w:val="top"/>
          </w:tcPr>
          <w:p w14:paraId="4D292EE7">
            <w:pPr>
              <w:bidi w:val="0"/>
              <w:rPr>
                <w:rFonts w:hint="eastAsia" w:ascii="宋体" w:hAnsi="宋体" w:eastAsia="宋体" w:cs="宋体"/>
                <w:color w:val="auto"/>
                <w:sz w:val="24"/>
                <w:szCs w:val="24"/>
                <w:highlight w:val="none"/>
              </w:rPr>
            </w:pPr>
          </w:p>
        </w:tc>
        <w:tc>
          <w:tcPr>
            <w:tcW w:w="1076" w:type="dxa"/>
            <w:vAlign w:val="top"/>
          </w:tcPr>
          <w:p w14:paraId="1630AC08">
            <w:pPr>
              <w:bidi w:val="0"/>
              <w:ind w:left="0" w:leftChars="0" w:firstLine="0" w:firstLineChars="0"/>
              <w:rPr>
                <w:rFonts w:hint="eastAsia" w:ascii="宋体" w:hAnsi="宋体" w:eastAsia="宋体" w:cs="宋体"/>
                <w:color w:val="auto"/>
                <w:sz w:val="24"/>
                <w:szCs w:val="24"/>
                <w:highlight w:val="none"/>
              </w:rPr>
            </w:pPr>
          </w:p>
          <w:p w14:paraId="55F77A22">
            <w:pPr>
              <w:bidi w:val="0"/>
              <w:ind w:left="0" w:leftChars="0" w:firstLine="0" w:firstLineChars="0"/>
              <w:rPr>
                <w:rFonts w:hint="eastAsia" w:ascii="宋体" w:hAnsi="宋体" w:eastAsia="宋体" w:cs="宋体"/>
                <w:color w:val="auto"/>
                <w:sz w:val="24"/>
                <w:szCs w:val="24"/>
                <w:highlight w:val="none"/>
              </w:rPr>
            </w:pPr>
          </w:p>
          <w:p w14:paraId="1BFB35B6">
            <w:pPr>
              <w:bidi w:val="0"/>
              <w:ind w:left="0" w:leftChars="0" w:firstLine="0" w:firstLineChars="0"/>
              <w:rPr>
                <w:rFonts w:hint="eastAsia" w:ascii="宋体" w:hAnsi="宋体" w:eastAsia="宋体" w:cs="宋体"/>
                <w:color w:val="auto"/>
                <w:sz w:val="24"/>
                <w:szCs w:val="24"/>
                <w:highlight w:val="none"/>
              </w:rPr>
            </w:pPr>
          </w:p>
          <w:p w14:paraId="113107BE">
            <w:pPr>
              <w:bidi w:val="0"/>
              <w:ind w:left="0" w:leftChars="0" w:firstLine="0" w:firstLineChars="0"/>
              <w:rPr>
                <w:rFonts w:hint="eastAsia" w:ascii="宋体" w:hAnsi="宋体" w:eastAsia="宋体" w:cs="宋体"/>
                <w:color w:val="auto"/>
                <w:sz w:val="24"/>
                <w:szCs w:val="24"/>
                <w:highlight w:val="none"/>
              </w:rPr>
            </w:pPr>
          </w:p>
          <w:p w14:paraId="058DAA14">
            <w:pPr>
              <w:bidi w:val="0"/>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节能环保（</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7559" w:type="dxa"/>
            <w:vAlign w:val="top"/>
          </w:tcPr>
          <w:p w14:paraId="72998264">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政府强制采购节能产品外，拟供产品列入《节能产品政府采购品目清单》并提供国家确定的认证机构出具的、处于有效期之内的节能产品认证证书的（或中国政府采购网节能产品查询结果截图），每有一项得0.5分，最多得1分，不提供的得 0 分。</w:t>
            </w:r>
          </w:p>
          <w:p w14:paraId="2455B8D2">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（2）拟供产品列入《环境标志产品政府采购品目清单》并提供国家确定的认证机构出具的、处于有效期之内的环境标志产品认证证书或中国政府采购网环境标志产品查询结果截图，每有一项得0.5分，最多得 1分，不提供的得 0 分。</w:t>
            </w:r>
          </w:p>
        </w:tc>
      </w:tr>
      <w:tr w14:paraId="715092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1096" w:type="dxa"/>
            <w:tcBorders>
              <w:top w:val="nil"/>
            </w:tcBorders>
            <w:vAlign w:val="top"/>
          </w:tcPr>
          <w:p w14:paraId="7521A72C">
            <w:pPr>
              <w:bidi w:val="0"/>
              <w:rPr>
                <w:rFonts w:hint="eastAsia" w:ascii="宋体" w:hAnsi="宋体" w:eastAsia="宋体" w:cs="宋体"/>
                <w:color w:val="auto"/>
                <w:sz w:val="24"/>
                <w:szCs w:val="24"/>
                <w:highlight w:val="none"/>
              </w:rPr>
            </w:pPr>
          </w:p>
        </w:tc>
        <w:tc>
          <w:tcPr>
            <w:tcW w:w="1076" w:type="dxa"/>
            <w:vAlign w:val="top"/>
          </w:tcPr>
          <w:p w14:paraId="3137606D">
            <w:pPr>
              <w:bidi w:val="0"/>
              <w:ind w:left="0" w:leftChars="0" w:firstLine="0" w:firstLineChars="0"/>
              <w:rPr>
                <w:rFonts w:hint="eastAsia" w:ascii="宋体" w:hAnsi="宋体" w:eastAsia="宋体" w:cs="宋体"/>
                <w:color w:val="auto"/>
                <w:sz w:val="24"/>
                <w:szCs w:val="24"/>
                <w:highlight w:val="none"/>
              </w:rPr>
            </w:pPr>
          </w:p>
          <w:p w14:paraId="2B118654">
            <w:pPr>
              <w:bidi w:val="0"/>
              <w:ind w:left="0" w:leftChars="0" w:firstLine="0" w:firstLineChars="0"/>
              <w:rPr>
                <w:rFonts w:hint="eastAsia" w:ascii="宋体" w:hAnsi="宋体" w:eastAsia="宋体" w:cs="宋体"/>
                <w:color w:val="auto"/>
                <w:sz w:val="24"/>
                <w:szCs w:val="24"/>
                <w:highlight w:val="none"/>
              </w:rPr>
            </w:pPr>
          </w:p>
          <w:p w14:paraId="6F1DE4A9">
            <w:pPr>
              <w:bidi w:val="0"/>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培训方案（5分）</w:t>
            </w:r>
          </w:p>
          <w:p w14:paraId="42BE5ACD">
            <w:pPr>
              <w:bidi w:val="0"/>
              <w:ind w:left="0" w:leftChars="0" w:firstLine="0" w:firstLineChars="0"/>
              <w:rPr>
                <w:rFonts w:hint="eastAsia" w:ascii="宋体" w:hAnsi="宋体" w:eastAsia="宋体" w:cs="宋体"/>
                <w:color w:val="auto"/>
                <w:sz w:val="24"/>
                <w:szCs w:val="24"/>
                <w:highlight w:val="none"/>
              </w:rPr>
            </w:pPr>
          </w:p>
        </w:tc>
        <w:tc>
          <w:tcPr>
            <w:tcW w:w="7559" w:type="dxa"/>
            <w:vAlign w:val="top"/>
          </w:tcPr>
          <w:p w14:paraId="552C911E">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根据供应商提供培训方案，主要包括对培训计划及方案的描述，能结合项目要求，提供培训目的、培训周期、培训承诺、培训体系、培训原则、培训考核等方面进行打分。</w:t>
            </w:r>
          </w:p>
          <w:p w14:paraId="51D5AEFC">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培训方案内容具体全面、可行性高、针对性强的得5分；</w:t>
            </w:r>
          </w:p>
          <w:p w14:paraId="1C213790">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培训方案内容较详细、可行性较高、针对性较强得3分；</w:t>
            </w:r>
          </w:p>
          <w:p w14:paraId="266D113F">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培训方案内容不详细、可行性较差、针对性较差得1分；</w:t>
            </w:r>
          </w:p>
          <w:p w14:paraId="2525C309">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未针对本项目描述或没有的得0分。</w:t>
            </w:r>
          </w:p>
        </w:tc>
      </w:tr>
    </w:tbl>
    <w:p w14:paraId="59521D25">
      <w:pPr>
        <w:spacing w:line="360" w:lineRule="auto"/>
        <w:ind w:firstLine="480" w:firstLineChars="200"/>
        <w:rPr>
          <w:rFonts w:hint="eastAsia" w:ascii="宋体" w:hAnsi="宋体" w:eastAsia="宋体" w:cs="宋体"/>
          <w:bCs/>
          <w:color w:val="auto"/>
          <w:sz w:val="24"/>
          <w:szCs w:val="24"/>
          <w:highlight w:val="none"/>
        </w:rPr>
      </w:pPr>
    </w:p>
    <w:p w14:paraId="2CC99BF9">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27</w:t>
      </w:r>
      <w:r>
        <w:rPr>
          <w:rFonts w:hint="eastAsia" w:ascii="宋体" w:hAnsi="宋体" w:eastAsia="宋体" w:cs="宋体"/>
          <w:color w:val="auto"/>
          <w:sz w:val="24"/>
          <w:szCs w:val="24"/>
          <w:highlight w:val="none"/>
        </w:rPr>
        <w:t>.8评审结束后，按照评审得分由高到低顺序推荐3名成交候选供应商，如符合《磋商管理办法》规定的相关情形的，推荐的成交候选供应商可以为2家。评审得分相同的，按照最后报价由低到高的顺序推荐，评审得分且最后报价相同的，按照技术指标优劣顺序推荐，并编写评审报告，评审报告经磋商小组全体成员签字确认。</w:t>
      </w:r>
    </w:p>
    <w:p w14:paraId="286D339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27</w:t>
      </w:r>
      <w:r>
        <w:rPr>
          <w:rFonts w:hint="eastAsia" w:ascii="宋体" w:hAnsi="宋体" w:eastAsia="宋体" w:cs="宋体"/>
          <w:color w:val="auto"/>
          <w:sz w:val="24"/>
          <w:szCs w:val="24"/>
          <w:highlight w:val="none"/>
        </w:rPr>
        <w:t>.9磋商小组经评审，认为所有响应文件都不符合磋商文件要求的，可以否决所有报价，采购人应当依法重新采购。</w:t>
      </w:r>
    </w:p>
    <w:p w14:paraId="6A42BC5B">
      <w:pPr>
        <w:pStyle w:val="4"/>
        <w:bidi w:val="0"/>
        <w:rPr>
          <w:rFonts w:hint="eastAsia" w:ascii="宋体" w:hAnsi="宋体" w:eastAsia="宋体" w:cs="宋体"/>
          <w:color w:val="auto"/>
          <w:sz w:val="24"/>
          <w:szCs w:val="24"/>
          <w:highlight w:val="none"/>
        </w:rPr>
      </w:pPr>
      <w:bookmarkStart w:id="73" w:name="_Toc449115779"/>
      <w:bookmarkStart w:id="74" w:name="_Toc449027479"/>
      <w:r>
        <w:rPr>
          <w:rFonts w:hint="eastAsia" w:ascii="宋体" w:hAnsi="宋体" w:eastAsia="宋体" w:cs="宋体"/>
          <w:color w:val="auto"/>
          <w:sz w:val="24"/>
          <w:szCs w:val="24"/>
          <w:highlight w:val="none"/>
        </w:rPr>
        <w:t>八、成交信息</w:t>
      </w:r>
      <w:bookmarkEnd w:id="73"/>
      <w:bookmarkEnd w:id="74"/>
    </w:p>
    <w:p w14:paraId="3753CDDE">
      <w:pPr>
        <w:spacing w:line="360" w:lineRule="auto"/>
        <w:ind w:firstLine="482" w:firstLineChars="200"/>
        <w:jc w:val="left"/>
        <w:rPr>
          <w:rFonts w:hint="eastAsia" w:ascii="宋体" w:hAnsi="宋体" w:eastAsia="宋体" w:cs="宋体"/>
          <w:b/>
          <w:color w:val="auto"/>
          <w:sz w:val="24"/>
          <w:szCs w:val="24"/>
          <w:highlight w:val="none"/>
        </w:rPr>
      </w:pPr>
      <w:bookmarkStart w:id="75" w:name="_Toc120344792"/>
      <w:bookmarkStart w:id="76" w:name="_Toc98041612"/>
      <w:bookmarkStart w:id="77" w:name="_Toc164567230"/>
      <w:r>
        <w:rPr>
          <w:rFonts w:hint="eastAsia" w:ascii="宋体" w:hAnsi="宋体" w:eastAsia="宋体" w:cs="宋体"/>
          <w:b/>
          <w:color w:val="auto"/>
          <w:sz w:val="24"/>
          <w:szCs w:val="24"/>
          <w:highlight w:val="none"/>
        </w:rPr>
        <w:t>28.成交信息</w:t>
      </w:r>
    </w:p>
    <w:p w14:paraId="4D26024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28.1采购人在评审结束后1个工作日内确定采购结果，并将采购结果在《河南省政府采购网》《郑州市公共资源交易中心》《上街区政府采购网》网上公告，同时向成交供应商发出成交通知书。</w:t>
      </w:r>
    </w:p>
    <w:p w14:paraId="097A1D7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28.2对未成交供应商，采购代理机构将不予退还其响应文件；</w:t>
      </w:r>
    </w:p>
    <w:p w14:paraId="3C54DB2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28.3《成交通知书》将作为签订合同的重要依据。</w:t>
      </w:r>
    </w:p>
    <w:p w14:paraId="226691B3">
      <w:pPr>
        <w:pStyle w:val="4"/>
        <w:bidi w:val="0"/>
        <w:rPr>
          <w:rFonts w:hint="eastAsia" w:ascii="宋体" w:hAnsi="宋体" w:eastAsia="宋体" w:cs="宋体"/>
          <w:color w:val="auto"/>
          <w:sz w:val="24"/>
          <w:szCs w:val="24"/>
          <w:highlight w:val="none"/>
        </w:rPr>
      </w:pPr>
      <w:bookmarkStart w:id="78" w:name="_Toc369002804"/>
      <w:bookmarkStart w:id="79" w:name="_Toc369002769"/>
      <w:bookmarkStart w:id="80" w:name="_Toc369002691"/>
      <w:bookmarkStart w:id="81" w:name="_Toc449115780"/>
      <w:bookmarkStart w:id="82" w:name="_Toc449027480"/>
      <w:r>
        <w:rPr>
          <w:rFonts w:hint="eastAsia" w:ascii="宋体" w:hAnsi="宋体" w:eastAsia="宋体" w:cs="宋体"/>
          <w:color w:val="auto"/>
          <w:sz w:val="24"/>
          <w:szCs w:val="24"/>
          <w:highlight w:val="none"/>
        </w:rPr>
        <w:t>九、</w:t>
      </w:r>
      <w:bookmarkEnd w:id="75"/>
      <w:bookmarkEnd w:id="76"/>
      <w:bookmarkEnd w:id="77"/>
      <w:r>
        <w:rPr>
          <w:rFonts w:hint="eastAsia" w:ascii="宋体" w:hAnsi="宋体" w:eastAsia="宋体" w:cs="宋体"/>
          <w:color w:val="auto"/>
          <w:sz w:val="24"/>
          <w:szCs w:val="24"/>
          <w:highlight w:val="none"/>
        </w:rPr>
        <w:t>授予合同</w:t>
      </w:r>
      <w:bookmarkEnd w:id="78"/>
      <w:bookmarkEnd w:id="79"/>
      <w:bookmarkEnd w:id="80"/>
      <w:bookmarkEnd w:id="81"/>
      <w:bookmarkEnd w:id="82"/>
    </w:p>
    <w:p w14:paraId="1AA55336">
      <w:pPr>
        <w:spacing w:line="360" w:lineRule="auto"/>
        <w:ind w:firstLine="465" w:firstLineChars="193"/>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29.</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rPr>
        <w:t>采购人将把合同授予最大限度满足磋商文件要求且具有履行合同能力的并经公告合格的供应商。</w:t>
      </w:r>
    </w:p>
    <w:p w14:paraId="1DEEA70C">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30．签订书面合同</w:t>
      </w:r>
    </w:p>
    <w:p w14:paraId="5F24E98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30.1采购人和成交供应商应当自成交通知书发出之日起2个工作日内按照磋商文件和成交供应商的响应文件订立书面合同； </w:t>
      </w:r>
    </w:p>
    <w:p w14:paraId="3FAECC7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30.2成交供应商应按采购人指定的地点与其签订合同。与采购人签订书面合同后1个工作日内将合同复印或扫描件报送至招标代理机构。政府采购合同中涉及国家秘密、商业秘密的内容，成交供应商应提前告知招标代理机构。</w:t>
      </w:r>
    </w:p>
    <w:p w14:paraId="4502201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30.3成交人因不可抗力或者自身原因不能履行政府采购合同的，采购人可以与排位在成交供应商之后第一位的成交候选人签订政府采购合同，也可以重新开展政府采购活动。</w:t>
      </w:r>
    </w:p>
    <w:p w14:paraId="7D3FC555">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31．履约保证金（详见供应商须知前附表）</w:t>
      </w:r>
    </w:p>
    <w:p w14:paraId="0B90F8B6">
      <w:pPr>
        <w:spacing w:line="360" w:lineRule="auto"/>
        <w:ind w:firstLine="475" w:firstLineChars="197"/>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32.</w:t>
      </w:r>
      <w:r>
        <w:rPr>
          <w:rFonts w:hint="eastAsia" w:ascii="宋体" w:hAnsi="宋体" w:eastAsia="宋体" w:cs="宋体"/>
          <w:b/>
          <w:bCs/>
          <w:color w:val="auto"/>
          <w:sz w:val="24"/>
          <w:szCs w:val="24"/>
          <w:highlight w:val="none"/>
        </w:rPr>
        <w:t>成交服务费</w:t>
      </w:r>
    </w:p>
    <w:p w14:paraId="0FE3C1C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成交人在领取成交通知书时，应依据前附表的收费标准向采购代理机构一次性交纳成交服务费。</w:t>
      </w:r>
    </w:p>
    <w:p w14:paraId="3D56D55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缴纳方式：从成交供应商的基本户账户中以转账、电汇</w:t>
      </w:r>
      <w:r>
        <w:rPr>
          <w:rFonts w:hint="eastAsia" w:cs="宋体"/>
          <w:color w:val="auto"/>
          <w:sz w:val="24"/>
          <w:szCs w:val="24"/>
          <w:highlight w:val="none"/>
          <w:lang w:eastAsia="zh-CN"/>
        </w:rPr>
        <w:t>、</w:t>
      </w:r>
      <w:r>
        <w:rPr>
          <w:rFonts w:hint="eastAsia" w:cs="宋体"/>
          <w:color w:val="auto"/>
          <w:sz w:val="24"/>
          <w:szCs w:val="24"/>
          <w:highlight w:val="none"/>
          <w:lang w:val="en-US" w:eastAsia="zh-CN"/>
        </w:rPr>
        <w:t>现金</w:t>
      </w:r>
      <w:r>
        <w:rPr>
          <w:rFonts w:hint="eastAsia" w:ascii="宋体" w:hAnsi="宋体" w:eastAsia="宋体" w:cs="宋体"/>
          <w:color w:val="auto"/>
          <w:sz w:val="24"/>
          <w:szCs w:val="24"/>
          <w:highlight w:val="none"/>
        </w:rPr>
        <w:t>等形式</w:t>
      </w:r>
      <w:r>
        <w:rPr>
          <w:rFonts w:hint="eastAsia" w:cs="宋体"/>
          <w:color w:val="auto"/>
          <w:sz w:val="24"/>
          <w:szCs w:val="24"/>
          <w:highlight w:val="none"/>
          <w:lang w:val="en-US" w:eastAsia="zh-CN"/>
        </w:rPr>
        <w:t>支付</w:t>
      </w:r>
      <w:r>
        <w:rPr>
          <w:rFonts w:hint="eastAsia" w:ascii="宋体" w:hAnsi="宋体" w:eastAsia="宋体" w:cs="宋体"/>
          <w:color w:val="auto"/>
          <w:sz w:val="24"/>
          <w:szCs w:val="24"/>
          <w:highlight w:val="none"/>
        </w:rPr>
        <w:t>（汇款信息需注明：项目编号）。</w:t>
      </w:r>
    </w:p>
    <w:p w14:paraId="71E0324E">
      <w:pPr>
        <w:pStyle w:val="4"/>
        <w:bidi w:val="0"/>
        <w:rPr>
          <w:rFonts w:hint="eastAsia" w:ascii="宋体" w:hAnsi="宋体" w:eastAsia="宋体" w:cs="宋体"/>
          <w:color w:val="auto"/>
          <w:sz w:val="24"/>
          <w:szCs w:val="24"/>
          <w:highlight w:val="none"/>
        </w:rPr>
      </w:pPr>
      <w:bookmarkStart w:id="83" w:name="_Toc369002770"/>
      <w:bookmarkStart w:id="84" w:name="_Toc369002805"/>
      <w:bookmarkStart w:id="85" w:name="_Toc449027481"/>
      <w:bookmarkStart w:id="86" w:name="_Toc449115781"/>
      <w:bookmarkStart w:id="87" w:name="_Toc369002692"/>
      <w:r>
        <w:rPr>
          <w:rFonts w:hint="eastAsia" w:ascii="宋体" w:hAnsi="宋体" w:eastAsia="宋体" w:cs="宋体"/>
          <w:color w:val="auto"/>
          <w:sz w:val="24"/>
          <w:szCs w:val="24"/>
          <w:highlight w:val="none"/>
        </w:rPr>
        <w:t>十、付款方式</w:t>
      </w:r>
      <w:bookmarkEnd w:id="83"/>
      <w:bookmarkEnd w:id="84"/>
      <w:bookmarkEnd w:id="85"/>
      <w:bookmarkEnd w:id="86"/>
      <w:bookmarkEnd w:id="87"/>
    </w:p>
    <w:p w14:paraId="61B2F2C7">
      <w:pPr>
        <w:adjustRightInd w:val="0"/>
        <w:snapToGrid w:val="0"/>
        <w:spacing w:line="360" w:lineRule="auto"/>
        <w:ind w:firstLine="482" w:firstLineChars="200"/>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33.付款方式：</w:t>
      </w:r>
      <w:bookmarkStart w:id="88" w:name="_Toc449115782"/>
      <w:bookmarkStart w:id="89" w:name="_Toc6487309"/>
      <w:bookmarkStart w:id="90" w:name="_Toc9604"/>
      <w:bookmarkStart w:id="91" w:name="_Toc349"/>
      <w:r>
        <w:rPr>
          <w:rFonts w:hint="eastAsia" w:cs="宋体"/>
          <w:color w:val="auto"/>
          <w:sz w:val="24"/>
          <w:szCs w:val="24"/>
          <w:highlight w:val="none"/>
          <w:lang w:eastAsia="zh-CN"/>
        </w:rPr>
        <w:t>项目完成供货、调试，经甲方组织验收合格第一年内支付70%合同额；第二年内支付20%合同额；第三年内，质保期结束后产品无质量等问题支付10%合同额（根据采购人要求开具发票）。</w:t>
      </w:r>
    </w:p>
    <w:p w14:paraId="17474521">
      <w:pPr>
        <w:rPr>
          <w:rFonts w:hint="eastAsia" w:ascii="宋体" w:hAnsi="宋体" w:eastAsia="宋体" w:cs="宋体"/>
          <w:color w:val="auto"/>
          <w:kern w:val="2"/>
          <w:sz w:val="24"/>
          <w:szCs w:val="24"/>
          <w:highlight w:val="none"/>
        </w:rPr>
      </w:pPr>
    </w:p>
    <w:p w14:paraId="4ED7D024">
      <w:pPr>
        <w:spacing w:before="63" w:line="224" w:lineRule="auto"/>
        <w:ind w:left="51"/>
        <w:rPr>
          <w:rFonts w:ascii="宋体" w:hAnsi="宋体" w:eastAsia="宋体" w:cs="宋体"/>
          <w:color w:val="auto"/>
          <w:spacing w:val="6"/>
          <w:sz w:val="31"/>
          <w:szCs w:val="31"/>
          <w:highlight w:val="none"/>
        </w:rPr>
      </w:pPr>
    </w:p>
    <w:p w14:paraId="21F7FA5C">
      <w:pPr>
        <w:spacing w:before="63" w:line="224" w:lineRule="auto"/>
        <w:ind w:left="51"/>
        <w:rPr>
          <w:rFonts w:ascii="宋体" w:hAnsi="宋体" w:eastAsia="宋体" w:cs="宋体"/>
          <w:color w:val="auto"/>
          <w:spacing w:val="6"/>
          <w:sz w:val="31"/>
          <w:szCs w:val="31"/>
          <w:highlight w:val="none"/>
        </w:rPr>
      </w:pPr>
    </w:p>
    <w:p w14:paraId="024329F6">
      <w:pPr>
        <w:spacing w:before="63" w:line="224" w:lineRule="auto"/>
        <w:ind w:left="51"/>
        <w:rPr>
          <w:rFonts w:ascii="宋体" w:hAnsi="宋体" w:eastAsia="宋体" w:cs="宋体"/>
          <w:color w:val="auto"/>
          <w:spacing w:val="6"/>
          <w:sz w:val="31"/>
          <w:szCs w:val="31"/>
          <w:highlight w:val="none"/>
        </w:rPr>
      </w:pPr>
    </w:p>
    <w:p w14:paraId="75B6653B">
      <w:pPr>
        <w:spacing w:before="63" w:line="224" w:lineRule="auto"/>
        <w:ind w:left="51"/>
        <w:rPr>
          <w:rFonts w:ascii="宋体" w:hAnsi="宋体" w:eastAsia="宋体" w:cs="宋体"/>
          <w:color w:val="auto"/>
          <w:spacing w:val="6"/>
          <w:sz w:val="31"/>
          <w:szCs w:val="31"/>
          <w:highlight w:val="none"/>
        </w:rPr>
      </w:pPr>
    </w:p>
    <w:p w14:paraId="53D889E8">
      <w:pPr>
        <w:spacing w:before="63" w:line="224" w:lineRule="auto"/>
        <w:ind w:left="51"/>
        <w:rPr>
          <w:rFonts w:ascii="宋体" w:hAnsi="宋体" w:eastAsia="宋体" w:cs="宋体"/>
          <w:color w:val="auto"/>
          <w:spacing w:val="6"/>
          <w:sz w:val="31"/>
          <w:szCs w:val="31"/>
          <w:highlight w:val="none"/>
        </w:rPr>
      </w:pPr>
    </w:p>
    <w:p w14:paraId="12EC176C">
      <w:pPr>
        <w:spacing w:before="63" w:line="224" w:lineRule="auto"/>
        <w:ind w:left="51"/>
        <w:rPr>
          <w:rFonts w:ascii="宋体" w:hAnsi="宋体" w:eastAsia="宋体" w:cs="宋体"/>
          <w:color w:val="auto"/>
          <w:spacing w:val="6"/>
          <w:sz w:val="31"/>
          <w:szCs w:val="31"/>
          <w:highlight w:val="none"/>
        </w:rPr>
      </w:pPr>
    </w:p>
    <w:p w14:paraId="070FA7AA">
      <w:pPr>
        <w:spacing w:before="63" w:line="224" w:lineRule="auto"/>
        <w:ind w:left="51"/>
        <w:rPr>
          <w:rFonts w:ascii="宋体" w:hAnsi="宋体" w:eastAsia="宋体" w:cs="宋体"/>
          <w:color w:val="auto"/>
          <w:spacing w:val="6"/>
          <w:sz w:val="31"/>
          <w:szCs w:val="31"/>
          <w:highlight w:val="none"/>
        </w:rPr>
      </w:pPr>
    </w:p>
    <w:p w14:paraId="563D61BE">
      <w:pPr>
        <w:spacing w:before="63" w:line="224" w:lineRule="auto"/>
        <w:ind w:left="51"/>
        <w:rPr>
          <w:rFonts w:ascii="宋体" w:hAnsi="宋体" w:eastAsia="宋体" w:cs="宋体"/>
          <w:color w:val="auto"/>
          <w:spacing w:val="6"/>
          <w:sz w:val="31"/>
          <w:szCs w:val="31"/>
          <w:highlight w:val="none"/>
        </w:rPr>
      </w:pPr>
    </w:p>
    <w:p w14:paraId="3607FB04">
      <w:pPr>
        <w:spacing w:before="63" w:line="224" w:lineRule="auto"/>
        <w:ind w:left="51"/>
        <w:rPr>
          <w:rFonts w:ascii="宋体" w:hAnsi="宋体" w:eastAsia="宋体" w:cs="宋体"/>
          <w:color w:val="auto"/>
          <w:spacing w:val="6"/>
          <w:sz w:val="31"/>
          <w:szCs w:val="31"/>
          <w:highlight w:val="none"/>
        </w:rPr>
      </w:pPr>
    </w:p>
    <w:p w14:paraId="6F7A2055">
      <w:pPr>
        <w:spacing w:before="63" w:line="224" w:lineRule="auto"/>
        <w:ind w:left="51"/>
        <w:rPr>
          <w:rFonts w:ascii="宋体" w:hAnsi="宋体" w:eastAsia="宋体" w:cs="宋体"/>
          <w:color w:val="auto"/>
          <w:spacing w:val="6"/>
          <w:sz w:val="31"/>
          <w:szCs w:val="31"/>
          <w:highlight w:val="none"/>
        </w:rPr>
      </w:pPr>
    </w:p>
    <w:p w14:paraId="7A5C575E">
      <w:pPr>
        <w:spacing w:before="63" w:line="224" w:lineRule="auto"/>
        <w:ind w:left="51"/>
        <w:rPr>
          <w:rFonts w:ascii="宋体" w:hAnsi="宋体" w:eastAsia="宋体" w:cs="宋体"/>
          <w:color w:val="auto"/>
          <w:spacing w:val="6"/>
          <w:sz w:val="31"/>
          <w:szCs w:val="31"/>
          <w:highlight w:val="none"/>
        </w:rPr>
      </w:pPr>
    </w:p>
    <w:p w14:paraId="165A1660">
      <w:pPr>
        <w:spacing w:before="63" w:line="224" w:lineRule="auto"/>
        <w:ind w:left="51"/>
        <w:rPr>
          <w:rFonts w:ascii="宋体" w:hAnsi="宋体" w:eastAsia="宋体" w:cs="宋体"/>
          <w:color w:val="auto"/>
          <w:spacing w:val="6"/>
          <w:sz w:val="31"/>
          <w:szCs w:val="31"/>
          <w:highlight w:val="none"/>
        </w:rPr>
      </w:pPr>
    </w:p>
    <w:p w14:paraId="049C2EFB">
      <w:pPr>
        <w:spacing w:before="63" w:line="224" w:lineRule="auto"/>
        <w:ind w:left="0" w:leftChars="0" w:firstLine="0" w:firstLineChars="0"/>
        <w:rPr>
          <w:rFonts w:ascii="宋体" w:hAnsi="宋体" w:eastAsia="宋体" w:cs="宋体"/>
          <w:color w:val="auto"/>
          <w:spacing w:val="6"/>
          <w:sz w:val="31"/>
          <w:szCs w:val="31"/>
          <w:highlight w:val="none"/>
        </w:rPr>
      </w:pPr>
    </w:p>
    <w:p w14:paraId="2B7024CA">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附件：废标的条件</w:t>
      </w:r>
    </w:p>
    <w:p w14:paraId="3A3902D7">
      <w:pPr>
        <w:adjustRightInd w:val="0"/>
        <w:snapToGrid w:val="0"/>
        <w:spacing w:line="360" w:lineRule="auto"/>
        <w:ind w:firstLine="480" w:firstLineChars="200"/>
        <w:rPr>
          <w:rFonts w:hint="eastAsia" w:ascii="宋体" w:hAnsi="宋体" w:eastAsia="宋体" w:cs="宋体"/>
          <w:color w:val="auto"/>
          <w:sz w:val="24"/>
          <w:szCs w:val="24"/>
          <w:highlight w:val="none"/>
        </w:rPr>
      </w:pPr>
    </w:p>
    <w:p w14:paraId="2AB089F3">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1.投标文件的关键内容字迹模糊，无法辨认的；</w:t>
      </w:r>
    </w:p>
    <w:p w14:paraId="7D746BEB">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2.供应商递交两份或两份以上内容不同又未在投标文件中声明哪一份为有效 的投标文件的；</w:t>
      </w:r>
    </w:p>
    <w:p w14:paraId="455E69C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3.未通过评标办法初步评审的；</w:t>
      </w:r>
    </w:p>
    <w:p w14:paraId="06D619F9">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4.不按评标委员会要求澄清、说明或补正的； </w:t>
      </w:r>
    </w:p>
    <w:p w14:paraId="2CF39102">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5.投标有效期不满足</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要求的；</w:t>
      </w:r>
    </w:p>
    <w:p w14:paraId="5E12436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6.投标报价有算术性错误，供应商不接受修正价格的；</w:t>
      </w:r>
    </w:p>
    <w:p w14:paraId="1CF2B93A">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7.以他人的名义投标、以行贿手段谋取中标或者以其他弄虚作假方式投标的； </w:t>
      </w:r>
    </w:p>
    <w:p w14:paraId="4BFF399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8.属于串（围）标行为的；</w:t>
      </w:r>
    </w:p>
    <w:p w14:paraId="518F7145">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sectPr>
          <w:footerReference r:id="rId12" w:type="default"/>
          <w:pgSz w:w="11906" w:h="16839"/>
          <w:pgMar w:top="1440" w:right="1080" w:bottom="1440" w:left="1080" w:header="0" w:footer="0" w:gutter="0"/>
          <w:pgNumType w:fmt="decimal"/>
          <w:cols w:space="720" w:num="1"/>
        </w:sectPr>
      </w:pPr>
      <w:r>
        <w:rPr>
          <w:rFonts w:hint="eastAsia" w:ascii="宋体" w:hAnsi="宋体" w:eastAsia="宋体" w:cs="宋体"/>
          <w:color w:val="auto"/>
          <w:sz w:val="24"/>
          <w:szCs w:val="24"/>
          <w:highlight w:val="none"/>
        </w:rPr>
        <w:t>9.不符合</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规定的其他实质性要求及相关法律、法规或规章规定可以否决投标的其他情形</w:t>
      </w:r>
      <w:r>
        <w:rPr>
          <w:rFonts w:hint="eastAsia" w:ascii="宋体" w:hAnsi="宋体" w:eastAsia="宋体" w:cs="宋体"/>
          <w:color w:val="auto"/>
          <w:sz w:val="24"/>
          <w:szCs w:val="24"/>
          <w:highlight w:val="none"/>
          <w:lang w:eastAsia="zh-CN"/>
        </w:rPr>
        <w:t>。</w:t>
      </w:r>
    </w:p>
    <w:p w14:paraId="5F9240C7">
      <w:pPr>
        <w:pStyle w:val="2"/>
        <w:numPr>
          <w:ilvl w:val="0"/>
          <w:numId w:val="0"/>
        </w:numPr>
        <w:jc w:val="center"/>
        <w:rPr>
          <w:rFonts w:hint="eastAsia" w:ascii="宋体" w:hAnsi="宋体" w:eastAsia="宋体" w:cs="宋体"/>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SA"/>
        </w:rPr>
        <w:t>第</w:t>
      </w:r>
      <w:r>
        <w:rPr>
          <w:rFonts w:hint="eastAsia" w:cs="宋体"/>
          <w:b/>
          <w:bCs w:val="0"/>
          <w:color w:val="auto"/>
          <w:kern w:val="2"/>
          <w:sz w:val="28"/>
          <w:szCs w:val="28"/>
          <w:highlight w:val="none"/>
          <w:lang w:val="en-US" w:eastAsia="zh-CN" w:bidi="ar-SA"/>
        </w:rPr>
        <w:t>三</w:t>
      </w:r>
      <w:r>
        <w:rPr>
          <w:rFonts w:hint="eastAsia" w:ascii="宋体" w:hAnsi="宋体" w:eastAsia="宋体" w:cs="宋体"/>
          <w:b/>
          <w:bCs w:val="0"/>
          <w:color w:val="auto"/>
          <w:kern w:val="2"/>
          <w:sz w:val="28"/>
          <w:szCs w:val="28"/>
          <w:highlight w:val="none"/>
          <w:lang w:val="en-US" w:eastAsia="zh-CN" w:bidi="ar-SA"/>
        </w:rPr>
        <w:t>章</w:t>
      </w:r>
      <w:r>
        <w:rPr>
          <w:rFonts w:hint="eastAsia" w:cs="宋体"/>
          <w:b/>
          <w:bCs w:val="0"/>
          <w:color w:val="auto"/>
          <w:kern w:val="2"/>
          <w:sz w:val="28"/>
          <w:szCs w:val="28"/>
          <w:highlight w:val="none"/>
          <w:lang w:val="en-US" w:eastAsia="zh-CN" w:bidi="ar-SA"/>
        </w:rPr>
        <w:t xml:space="preserve"> </w:t>
      </w:r>
      <w:r>
        <w:rPr>
          <w:rFonts w:hint="eastAsia" w:ascii="宋体" w:hAnsi="宋体" w:eastAsia="宋体" w:cs="宋体"/>
          <w:bCs w:val="0"/>
          <w:color w:val="auto"/>
          <w:kern w:val="2"/>
          <w:sz w:val="28"/>
          <w:szCs w:val="28"/>
          <w:highlight w:val="none"/>
        </w:rPr>
        <w:t>采购人需求及技术要求</w:t>
      </w:r>
    </w:p>
    <w:p w14:paraId="409BB9C4">
      <w:pPr>
        <w:snapToGrid w:val="0"/>
        <w:spacing w:line="360" w:lineRule="auto"/>
        <w:rPr>
          <w:rFonts w:hint="eastAsia" w:ascii="宋体" w:hAnsi="宋体" w:eastAsia="宋体" w:cs="宋体"/>
          <w:color w:val="auto"/>
          <w:highlight w:val="none"/>
        </w:rPr>
      </w:pPr>
      <w:r>
        <w:rPr>
          <w:rFonts w:hint="eastAsia" w:ascii="宋体" w:hAnsi="宋体" w:eastAsia="宋体" w:cs="宋体"/>
          <w:b/>
          <w:bCs/>
          <w:color w:val="auto"/>
          <w:szCs w:val="21"/>
          <w:highlight w:val="none"/>
        </w:rPr>
        <w:t>一、技术参数要求</w:t>
      </w:r>
    </w:p>
    <w:tbl>
      <w:tblPr>
        <w:tblStyle w:val="62"/>
        <w:tblW w:w="8800"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0"/>
        <w:gridCol w:w="1023"/>
        <w:gridCol w:w="6171"/>
        <w:gridCol w:w="547"/>
        <w:gridCol w:w="539"/>
      </w:tblGrid>
      <w:tr w14:paraId="096DA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20" w:type="dxa"/>
            <w:noWrap w:val="0"/>
            <w:vAlign w:val="center"/>
          </w:tcPr>
          <w:p w14:paraId="51CE8108">
            <w:pPr>
              <w:widowControl w:val="0"/>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vertAlign w:val="baseline"/>
                <w:lang w:val="en-US" w:eastAsia="zh-CN"/>
              </w:rPr>
              <w:t>序号</w:t>
            </w:r>
          </w:p>
        </w:tc>
        <w:tc>
          <w:tcPr>
            <w:tcW w:w="1023" w:type="dxa"/>
            <w:noWrap w:val="0"/>
            <w:vAlign w:val="center"/>
          </w:tcPr>
          <w:p w14:paraId="20BB3FFB">
            <w:pPr>
              <w:widowControl w:val="0"/>
              <w:ind w:left="0" w:leftChars="0" w:firstLine="0" w:firstLineChars="0"/>
              <w:jc w:val="both"/>
              <w:rPr>
                <w:rFonts w:hint="eastAsia" w:ascii="宋体" w:hAnsi="宋体" w:eastAsia="宋体" w:cs="宋体"/>
                <w:b/>
                <w:color w:val="auto"/>
                <w:kern w:val="0"/>
                <w:sz w:val="24"/>
                <w:szCs w:val="24"/>
                <w:highlight w:val="none"/>
                <w:lang w:val="en-US" w:eastAsia="zh-CN" w:bidi="zh-CN"/>
              </w:rPr>
            </w:pPr>
            <w:r>
              <w:rPr>
                <w:rFonts w:hint="eastAsia" w:ascii="宋体" w:hAnsi="宋体" w:eastAsia="宋体" w:cs="宋体"/>
                <w:b/>
                <w:bCs/>
                <w:color w:val="auto"/>
                <w:sz w:val="24"/>
                <w:szCs w:val="24"/>
                <w:highlight w:val="none"/>
                <w:vertAlign w:val="baseline"/>
                <w:lang w:val="en-US" w:eastAsia="zh-CN"/>
              </w:rPr>
              <w:t>设备名称</w:t>
            </w:r>
          </w:p>
        </w:tc>
        <w:tc>
          <w:tcPr>
            <w:tcW w:w="6171" w:type="dxa"/>
            <w:noWrap w:val="0"/>
            <w:vAlign w:val="center"/>
          </w:tcPr>
          <w:p w14:paraId="6B1B5FB3">
            <w:pPr>
              <w:widowControl w:val="0"/>
              <w:ind w:left="0" w:leftChars="0" w:firstLine="0" w:firstLineChars="0"/>
              <w:jc w:val="center"/>
              <w:rPr>
                <w:rFonts w:hint="eastAsia" w:ascii="宋体" w:hAnsi="宋体" w:eastAsia="宋体" w:cs="宋体"/>
                <w:b/>
                <w:color w:val="auto"/>
                <w:kern w:val="0"/>
                <w:sz w:val="24"/>
                <w:szCs w:val="24"/>
                <w:highlight w:val="none"/>
                <w:lang w:val="en-US" w:eastAsia="zh-CN" w:bidi="zh-CN"/>
              </w:rPr>
            </w:pPr>
            <w:r>
              <w:rPr>
                <w:rFonts w:hint="eastAsia" w:ascii="宋体" w:hAnsi="宋体" w:eastAsia="宋体" w:cs="宋体"/>
                <w:b/>
                <w:bCs/>
                <w:color w:val="auto"/>
                <w:sz w:val="24"/>
                <w:szCs w:val="24"/>
                <w:highlight w:val="none"/>
                <w:vertAlign w:val="baseline"/>
                <w:lang w:val="en-US" w:eastAsia="zh-CN"/>
              </w:rPr>
              <w:t>规格参数</w:t>
            </w:r>
          </w:p>
        </w:tc>
        <w:tc>
          <w:tcPr>
            <w:tcW w:w="547" w:type="dxa"/>
            <w:noWrap w:val="0"/>
            <w:vAlign w:val="center"/>
          </w:tcPr>
          <w:p w14:paraId="0874A0EC">
            <w:pPr>
              <w:widowControl w:val="0"/>
              <w:ind w:left="0" w:leftChars="0"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vertAlign w:val="baseline"/>
                <w:lang w:val="en-US" w:eastAsia="zh-CN"/>
              </w:rPr>
              <w:t>单位</w:t>
            </w:r>
          </w:p>
        </w:tc>
        <w:tc>
          <w:tcPr>
            <w:tcW w:w="539" w:type="dxa"/>
            <w:noWrap w:val="0"/>
            <w:vAlign w:val="center"/>
          </w:tcPr>
          <w:p w14:paraId="5E6AFABA">
            <w:pPr>
              <w:widowControl w:val="0"/>
              <w:ind w:left="0" w:leftChars="0" w:firstLine="0" w:firstLineChars="0"/>
              <w:jc w:val="both"/>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vertAlign w:val="baseline"/>
                <w:lang w:val="en-US" w:eastAsia="zh-CN"/>
              </w:rPr>
              <w:t>数量</w:t>
            </w:r>
          </w:p>
        </w:tc>
      </w:tr>
      <w:tr w14:paraId="2E311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20" w:type="dxa"/>
            <w:noWrap w:val="0"/>
            <w:vAlign w:val="center"/>
          </w:tcPr>
          <w:p w14:paraId="1CBF1D9C">
            <w:pPr>
              <w:widowControl w:val="0"/>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vertAlign w:val="baseline"/>
                <w:lang w:val="en-US" w:eastAsia="zh-CN"/>
              </w:rPr>
              <w:t>1</w:t>
            </w:r>
          </w:p>
        </w:tc>
        <w:tc>
          <w:tcPr>
            <w:tcW w:w="1023" w:type="dxa"/>
            <w:noWrap w:val="0"/>
            <w:vAlign w:val="center"/>
          </w:tcPr>
          <w:p w14:paraId="3B0DA93F">
            <w:pPr>
              <w:widowControl w:val="0"/>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vertAlign w:val="baseline"/>
                <w:lang w:val="en-US" w:eastAsia="zh-CN"/>
              </w:rPr>
              <w:t>智慧黑板</w:t>
            </w:r>
          </w:p>
        </w:tc>
        <w:tc>
          <w:tcPr>
            <w:tcW w:w="6171" w:type="dxa"/>
            <w:noWrap w:val="0"/>
            <w:vAlign w:val="top"/>
          </w:tcPr>
          <w:p w14:paraId="6054F8A0">
            <w:pPr>
              <w:widowControl w:val="0"/>
              <w:numPr>
                <w:ilvl w:val="0"/>
                <w:numId w:val="0"/>
              </w:numPr>
              <w:ind w:lef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A.显示部分要求</w:t>
            </w:r>
          </w:p>
          <w:p w14:paraId="7B6F9D4B">
            <w:pPr>
              <w:widowControl w:val="0"/>
              <w:numPr>
                <w:ilvl w:val="0"/>
                <w:numId w:val="2"/>
              </w:numPr>
              <w:ind w:left="425" w:leftChars="0" w:hanging="425" w:firstLineChars="0"/>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eastAsia="zh-CN"/>
              </w:rPr>
              <w:t>智慧黑板</w:t>
            </w:r>
            <w:r>
              <w:rPr>
                <w:rFonts w:hint="eastAsia" w:ascii="宋体" w:hAnsi="宋体" w:eastAsia="宋体" w:cs="宋体"/>
                <w:color w:val="auto"/>
                <w:sz w:val="24"/>
                <w:szCs w:val="24"/>
                <w:highlight w:val="none"/>
                <w:vertAlign w:val="baseline"/>
              </w:rPr>
              <w:t>显示尺寸≥86英寸，分辨率</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3840*2160。</w:t>
            </w:r>
          </w:p>
          <w:p w14:paraId="6B5ED37F">
            <w:pPr>
              <w:widowControl w:val="0"/>
              <w:numPr>
                <w:ilvl w:val="0"/>
                <w:numId w:val="2"/>
              </w:numPr>
              <w:ind w:left="425" w:leftChars="0" w:hanging="425" w:firstLineChars="0"/>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eastAsia="zh-CN"/>
              </w:rPr>
              <w:t>智慧黑板</w:t>
            </w:r>
            <w:r>
              <w:rPr>
                <w:rFonts w:hint="eastAsia" w:ascii="宋体" w:hAnsi="宋体" w:eastAsia="宋体" w:cs="宋体"/>
                <w:color w:val="auto"/>
                <w:sz w:val="24"/>
                <w:szCs w:val="24"/>
                <w:highlight w:val="none"/>
                <w:vertAlign w:val="baseline"/>
              </w:rPr>
              <w:t>表面玻璃</w:t>
            </w:r>
            <w:r>
              <w:rPr>
                <w:rFonts w:hint="eastAsia" w:ascii="宋体" w:hAnsi="宋体" w:eastAsia="宋体" w:cs="宋体"/>
                <w:color w:val="auto"/>
                <w:sz w:val="24"/>
                <w:szCs w:val="24"/>
                <w:highlight w:val="none"/>
                <w:vertAlign w:val="baseline"/>
                <w:lang w:val="en-US" w:eastAsia="zh-CN"/>
              </w:rPr>
              <w:t>须</w:t>
            </w:r>
            <w:r>
              <w:rPr>
                <w:rFonts w:hint="eastAsia" w:ascii="宋体" w:hAnsi="宋体" w:eastAsia="宋体" w:cs="宋体"/>
                <w:color w:val="auto"/>
                <w:sz w:val="24"/>
                <w:szCs w:val="24"/>
                <w:highlight w:val="none"/>
                <w:vertAlign w:val="baseline"/>
              </w:rPr>
              <w:t>采用高强度钢化玻璃，防眩光，厚度</w:t>
            </w:r>
            <w:r>
              <w:rPr>
                <w:rFonts w:hint="eastAsia" w:ascii="宋体" w:hAnsi="宋体" w:eastAsia="宋体" w:cs="宋体"/>
                <w:color w:val="auto"/>
                <w:sz w:val="24"/>
                <w:szCs w:val="24"/>
                <w:highlight w:val="none"/>
                <w:vertAlign w:val="baseline"/>
                <w:lang w:val="en-US" w:eastAsia="zh-CN"/>
              </w:rPr>
              <w:t>不超过</w:t>
            </w:r>
            <w:r>
              <w:rPr>
                <w:rFonts w:hint="eastAsia" w:ascii="宋体" w:hAnsi="宋体" w:eastAsia="宋体" w:cs="宋体"/>
                <w:color w:val="auto"/>
                <w:sz w:val="24"/>
                <w:szCs w:val="24"/>
                <w:highlight w:val="none"/>
                <w:vertAlign w:val="baseline"/>
              </w:rPr>
              <w:t>3.</w:t>
            </w:r>
            <w:r>
              <w:rPr>
                <w:rFonts w:hint="eastAsia" w:ascii="宋体" w:hAnsi="宋体" w:eastAsia="宋体" w:cs="宋体"/>
                <w:color w:val="auto"/>
                <w:sz w:val="24"/>
                <w:szCs w:val="24"/>
                <w:highlight w:val="none"/>
                <w:vertAlign w:val="baseline"/>
                <w:lang w:val="en-US" w:eastAsia="zh-CN"/>
              </w:rPr>
              <w:t>5</w:t>
            </w:r>
            <w:r>
              <w:rPr>
                <w:rFonts w:hint="eastAsia" w:ascii="宋体" w:hAnsi="宋体" w:eastAsia="宋体" w:cs="宋体"/>
                <w:color w:val="auto"/>
                <w:sz w:val="24"/>
                <w:szCs w:val="24"/>
                <w:highlight w:val="none"/>
                <w:vertAlign w:val="baseline"/>
              </w:rPr>
              <w:t>mm，硬度</w:t>
            </w:r>
            <w:r>
              <w:rPr>
                <w:rFonts w:hint="eastAsia" w:ascii="宋体" w:hAnsi="宋体" w:eastAsia="宋体" w:cs="宋体"/>
                <w:color w:val="auto"/>
                <w:sz w:val="24"/>
                <w:szCs w:val="24"/>
                <w:highlight w:val="none"/>
                <w:vertAlign w:val="baseline"/>
                <w:lang w:val="en-US" w:eastAsia="zh-CN"/>
              </w:rPr>
              <w:t>不低于</w:t>
            </w:r>
            <w:r>
              <w:rPr>
                <w:rFonts w:hint="eastAsia" w:ascii="宋体" w:hAnsi="宋体" w:eastAsia="宋体" w:cs="宋体"/>
                <w:color w:val="auto"/>
                <w:sz w:val="24"/>
                <w:szCs w:val="24"/>
                <w:highlight w:val="none"/>
                <w:vertAlign w:val="baseline"/>
              </w:rPr>
              <w:t>莫氏7级。</w:t>
            </w:r>
          </w:p>
          <w:p w14:paraId="4F2CCD17">
            <w:pPr>
              <w:widowControl w:val="0"/>
              <w:numPr>
                <w:ilvl w:val="0"/>
                <w:numId w:val="2"/>
              </w:numPr>
              <w:ind w:left="425" w:leftChars="0" w:hanging="425" w:firstLine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eastAsia="zh-CN"/>
              </w:rPr>
              <w:t>智慧黑板</w:t>
            </w:r>
            <w:r>
              <w:rPr>
                <w:rFonts w:hint="eastAsia" w:ascii="宋体" w:hAnsi="宋体" w:eastAsia="宋体" w:cs="宋体"/>
                <w:color w:val="auto"/>
                <w:sz w:val="24"/>
                <w:szCs w:val="24"/>
                <w:highlight w:val="none"/>
                <w:vertAlign w:val="baseline"/>
              </w:rPr>
              <w:t>背光系统</w:t>
            </w:r>
            <w:r>
              <w:rPr>
                <w:rFonts w:hint="eastAsia" w:ascii="宋体" w:hAnsi="宋体" w:eastAsia="宋体" w:cs="宋体"/>
                <w:color w:val="auto"/>
                <w:sz w:val="24"/>
                <w:szCs w:val="24"/>
                <w:highlight w:val="none"/>
                <w:vertAlign w:val="baseline"/>
                <w:lang w:val="en-US" w:eastAsia="zh-CN"/>
              </w:rPr>
              <w:t>需</w:t>
            </w:r>
            <w:r>
              <w:rPr>
                <w:rFonts w:hint="eastAsia" w:ascii="宋体" w:hAnsi="宋体" w:eastAsia="宋体" w:cs="宋体"/>
                <w:color w:val="auto"/>
                <w:sz w:val="24"/>
                <w:szCs w:val="24"/>
                <w:highlight w:val="none"/>
                <w:vertAlign w:val="baseline"/>
              </w:rPr>
              <w:t>支持多级亮度调节，拍摄时画面无条纹闪烁。光源稳定无频闪，防止眼睛疲劳</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lang w:val="en-US" w:eastAsia="zh-CN"/>
              </w:rPr>
              <w:t>需具备开机默认防蓝光功能无需按键调节</w:t>
            </w:r>
            <w:r>
              <w:rPr>
                <w:rFonts w:hint="eastAsia" w:ascii="宋体" w:hAnsi="宋体" w:eastAsia="宋体" w:cs="宋体"/>
                <w:color w:val="auto"/>
                <w:sz w:val="24"/>
                <w:szCs w:val="24"/>
                <w:highlight w:val="none"/>
                <w:vertAlign w:val="baseline"/>
              </w:rPr>
              <w:t>。</w:t>
            </w:r>
          </w:p>
          <w:p w14:paraId="042C26C0">
            <w:pPr>
              <w:widowControl w:val="0"/>
              <w:numPr>
                <w:ilvl w:val="0"/>
                <w:numId w:val="0"/>
              </w:numPr>
              <w:ind w:lef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B.触控部分要求</w:t>
            </w:r>
          </w:p>
          <w:p w14:paraId="60E46717">
            <w:pPr>
              <w:widowControl w:val="0"/>
              <w:numPr>
                <w:ilvl w:val="0"/>
                <w:numId w:val="3"/>
              </w:numPr>
              <w:ind w:left="425" w:leftChars="0" w:hanging="425" w:firstLineChars="0"/>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采用</w:t>
            </w:r>
            <w:r>
              <w:rPr>
                <w:rFonts w:hint="eastAsia" w:ascii="宋体" w:hAnsi="宋体" w:eastAsia="宋体" w:cs="宋体"/>
                <w:color w:val="auto"/>
                <w:sz w:val="24"/>
                <w:szCs w:val="24"/>
                <w:highlight w:val="none"/>
                <w:vertAlign w:val="baseline"/>
                <w:lang w:val="en-US" w:eastAsia="zh-CN"/>
              </w:rPr>
              <w:t>多点</w:t>
            </w:r>
            <w:r>
              <w:rPr>
                <w:rFonts w:hint="eastAsia" w:ascii="宋体" w:hAnsi="宋体" w:eastAsia="宋体" w:cs="宋体"/>
                <w:color w:val="auto"/>
                <w:sz w:val="24"/>
                <w:szCs w:val="24"/>
                <w:highlight w:val="none"/>
                <w:vertAlign w:val="baseline"/>
              </w:rPr>
              <w:t>触控技术，在</w:t>
            </w:r>
            <w:r>
              <w:rPr>
                <w:rFonts w:hint="eastAsia" w:ascii="宋体" w:hAnsi="宋体" w:eastAsia="宋体" w:cs="宋体"/>
                <w:color w:val="auto"/>
                <w:sz w:val="24"/>
                <w:szCs w:val="24"/>
                <w:highlight w:val="none"/>
                <w:vertAlign w:val="baseline"/>
                <w:lang w:val="en-US" w:eastAsia="zh-CN"/>
              </w:rPr>
              <w:t>安卓和WINDOWS</w:t>
            </w:r>
            <w:r>
              <w:rPr>
                <w:rFonts w:hint="eastAsia" w:ascii="宋体" w:hAnsi="宋体" w:eastAsia="宋体" w:cs="宋体"/>
                <w:color w:val="auto"/>
                <w:sz w:val="24"/>
                <w:szCs w:val="24"/>
                <w:highlight w:val="none"/>
                <w:vertAlign w:val="baseline"/>
              </w:rPr>
              <w:t>双系统下</w:t>
            </w:r>
            <w:r>
              <w:rPr>
                <w:rFonts w:hint="eastAsia" w:ascii="宋体" w:hAnsi="宋体" w:eastAsia="宋体" w:cs="宋体"/>
                <w:color w:val="auto"/>
                <w:sz w:val="24"/>
                <w:szCs w:val="24"/>
                <w:highlight w:val="none"/>
                <w:vertAlign w:val="baseline"/>
                <w:lang w:val="en-US" w:eastAsia="zh-CN"/>
              </w:rPr>
              <w:t>需</w:t>
            </w:r>
            <w:r>
              <w:rPr>
                <w:rFonts w:hint="eastAsia" w:ascii="宋体" w:hAnsi="宋体" w:eastAsia="宋体" w:cs="宋体"/>
                <w:color w:val="auto"/>
                <w:sz w:val="24"/>
                <w:szCs w:val="24"/>
                <w:highlight w:val="none"/>
                <w:vertAlign w:val="baseline"/>
              </w:rPr>
              <w:t>支持</w:t>
            </w:r>
            <w:r>
              <w:rPr>
                <w:rFonts w:hint="eastAsia" w:ascii="宋体" w:hAnsi="宋体" w:eastAsia="宋体" w:cs="宋体"/>
                <w:color w:val="auto"/>
                <w:sz w:val="24"/>
                <w:szCs w:val="24"/>
                <w:highlight w:val="none"/>
                <w:vertAlign w:val="baseline"/>
                <w:lang w:val="en-US" w:eastAsia="zh-CN"/>
              </w:rPr>
              <w:t>不少于</w:t>
            </w:r>
            <w:r>
              <w:rPr>
                <w:rFonts w:hint="eastAsia" w:ascii="宋体" w:hAnsi="宋体" w:eastAsia="宋体" w:cs="宋体"/>
                <w:color w:val="auto"/>
                <w:sz w:val="24"/>
                <w:szCs w:val="24"/>
                <w:highlight w:val="none"/>
                <w:vertAlign w:val="baseline"/>
              </w:rPr>
              <w:t>40点触控</w:t>
            </w:r>
            <w:r>
              <w:rPr>
                <w:rFonts w:hint="eastAsia" w:ascii="宋体" w:hAnsi="宋体" w:eastAsia="宋体" w:cs="宋体"/>
                <w:color w:val="auto"/>
                <w:sz w:val="24"/>
                <w:szCs w:val="24"/>
                <w:highlight w:val="none"/>
                <w:vertAlign w:val="baseline"/>
                <w:lang w:val="en-US" w:eastAsia="zh-CN"/>
              </w:rPr>
              <w:t>和</w:t>
            </w:r>
            <w:r>
              <w:rPr>
                <w:rFonts w:hint="eastAsia" w:ascii="宋体" w:hAnsi="宋体" w:eastAsia="宋体" w:cs="宋体"/>
                <w:color w:val="auto"/>
                <w:sz w:val="24"/>
                <w:szCs w:val="24"/>
                <w:highlight w:val="none"/>
                <w:vertAlign w:val="baseline"/>
              </w:rPr>
              <w:t>书写</w:t>
            </w:r>
            <w:r>
              <w:rPr>
                <w:rFonts w:hint="eastAsia" w:ascii="宋体" w:hAnsi="宋体" w:eastAsia="宋体" w:cs="宋体"/>
                <w:color w:val="auto"/>
                <w:sz w:val="24"/>
                <w:szCs w:val="24"/>
                <w:highlight w:val="none"/>
                <w:vertAlign w:val="baseline"/>
                <w:lang w:val="en-US" w:eastAsia="zh-CN"/>
              </w:rPr>
              <w:t>；</w:t>
            </w:r>
          </w:p>
          <w:p w14:paraId="13C5D537">
            <w:pPr>
              <w:widowControl w:val="0"/>
              <w:numPr>
                <w:ilvl w:val="0"/>
                <w:numId w:val="0"/>
              </w:numPr>
              <w:ind w:leftChars="0"/>
              <w:rPr>
                <w:rFonts w:hint="eastAsia" w:ascii="宋体" w:hAnsi="宋体" w:eastAsia="宋体" w:cs="宋体"/>
                <w:color w:val="auto"/>
                <w:sz w:val="24"/>
                <w:szCs w:val="24"/>
                <w:highlight w:val="none"/>
                <w:vertAlign w:val="baseline"/>
                <w:lang w:val="en-US"/>
              </w:rPr>
            </w:pPr>
            <w:r>
              <w:rPr>
                <w:rFonts w:hint="eastAsia" w:ascii="宋体" w:hAnsi="宋体" w:eastAsia="宋体" w:cs="宋体"/>
                <w:color w:val="auto"/>
                <w:sz w:val="24"/>
                <w:szCs w:val="24"/>
                <w:highlight w:val="none"/>
                <w:vertAlign w:val="baseline"/>
                <w:lang w:val="en-US" w:eastAsia="zh-CN"/>
              </w:rPr>
              <w:t>C.整机安全性要求</w:t>
            </w:r>
          </w:p>
          <w:p w14:paraId="5F4CE850">
            <w:pPr>
              <w:widowControl w:val="0"/>
              <w:numPr>
                <w:ilvl w:val="0"/>
                <w:numId w:val="4"/>
              </w:numPr>
              <w:ind w:left="425" w:leftChars="0" w:hanging="425" w:firstLineChars="0"/>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整机</w:t>
            </w:r>
            <w:r>
              <w:rPr>
                <w:rFonts w:hint="eastAsia" w:ascii="宋体" w:hAnsi="宋体" w:eastAsia="宋体" w:cs="宋体"/>
                <w:color w:val="auto"/>
                <w:sz w:val="24"/>
                <w:szCs w:val="24"/>
                <w:highlight w:val="none"/>
                <w:vertAlign w:val="baseline"/>
                <w:lang w:val="en-US" w:eastAsia="zh-CN"/>
              </w:rPr>
              <w:t>需支持</w:t>
            </w:r>
            <w:r>
              <w:rPr>
                <w:rFonts w:hint="eastAsia" w:ascii="宋体" w:hAnsi="宋体" w:eastAsia="宋体" w:cs="宋体"/>
                <w:color w:val="auto"/>
                <w:sz w:val="24"/>
                <w:szCs w:val="24"/>
                <w:highlight w:val="none"/>
                <w:vertAlign w:val="baseline"/>
              </w:rPr>
              <w:t>硬件自检，包括对系统内存、存储、触控系统、光感系统、内置电脑、屏体信息、主板型号、CPU型号、CPU使用率、设备名称等进行状态提示及故障提示。</w:t>
            </w:r>
          </w:p>
          <w:p w14:paraId="36C80A62">
            <w:pPr>
              <w:widowControl w:val="0"/>
              <w:numPr>
                <w:ilvl w:val="0"/>
                <w:numId w:val="4"/>
              </w:numPr>
              <w:ind w:left="425" w:leftChars="0" w:hanging="425" w:firstLineChars="0"/>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w:t>
            </w:r>
            <w:r>
              <w:rPr>
                <w:rFonts w:hint="eastAsia" w:ascii="宋体" w:hAnsi="宋体" w:eastAsia="宋体" w:cs="宋体"/>
                <w:color w:val="auto"/>
                <w:sz w:val="24"/>
                <w:szCs w:val="24"/>
                <w:highlight w:val="none"/>
                <w:vertAlign w:val="baseline"/>
                <w:lang w:val="en-US" w:eastAsia="zh-CN"/>
              </w:rPr>
              <w:t>需</w:t>
            </w:r>
            <w:r>
              <w:rPr>
                <w:rFonts w:hint="eastAsia" w:ascii="宋体" w:hAnsi="宋体" w:eastAsia="宋体" w:cs="宋体"/>
                <w:color w:val="auto"/>
                <w:sz w:val="24"/>
                <w:szCs w:val="24"/>
                <w:highlight w:val="none"/>
                <w:vertAlign w:val="baseline"/>
              </w:rPr>
              <w:t>满足GB 40070-2021儿童青少年学习用品近视防控卫生要求。（需提供</w:t>
            </w:r>
            <w:r>
              <w:rPr>
                <w:rFonts w:hint="eastAsia" w:ascii="宋体" w:hAnsi="宋体" w:eastAsia="宋体" w:cs="宋体"/>
                <w:color w:val="auto"/>
                <w:sz w:val="24"/>
                <w:szCs w:val="24"/>
                <w:highlight w:val="none"/>
                <w:vertAlign w:val="baseline"/>
                <w:lang w:val="en-US" w:eastAsia="zh-CN"/>
              </w:rPr>
              <w:t>对应的</w:t>
            </w:r>
            <w:r>
              <w:rPr>
                <w:rFonts w:hint="eastAsia" w:ascii="宋体" w:hAnsi="宋体" w:eastAsia="宋体" w:cs="宋体"/>
                <w:color w:val="auto"/>
                <w:sz w:val="24"/>
                <w:szCs w:val="24"/>
                <w:highlight w:val="none"/>
                <w:vertAlign w:val="baseline"/>
              </w:rPr>
              <w:t>证书并加盖公章）</w:t>
            </w:r>
          </w:p>
          <w:p w14:paraId="0638197D">
            <w:pPr>
              <w:widowControl w:val="0"/>
              <w:numPr>
                <w:ilvl w:val="0"/>
                <w:numId w:val="4"/>
              </w:numPr>
              <w:ind w:left="425" w:leftChars="0" w:hanging="425" w:firstLineChars="0"/>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eastAsia="zh-CN"/>
              </w:rPr>
              <w:t>智慧黑板</w:t>
            </w:r>
            <w:r>
              <w:rPr>
                <w:rFonts w:hint="eastAsia" w:ascii="宋体" w:hAnsi="宋体" w:eastAsia="宋体" w:cs="宋体"/>
                <w:color w:val="auto"/>
                <w:sz w:val="24"/>
                <w:szCs w:val="24"/>
                <w:highlight w:val="none"/>
                <w:vertAlign w:val="baseline"/>
                <w:lang w:val="en-US" w:eastAsia="zh-CN"/>
              </w:rPr>
              <w:t>需</w:t>
            </w:r>
            <w:r>
              <w:rPr>
                <w:rFonts w:hint="eastAsia" w:ascii="宋体" w:hAnsi="宋体" w:eastAsia="宋体" w:cs="宋体"/>
                <w:color w:val="auto"/>
                <w:sz w:val="24"/>
                <w:szCs w:val="24"/>
                <w:highlight w:val="none"/>
                <w:vertAlign w:val="baseline"/>
              </w:rPr>
              <w:t>支持纸质护眼模式，可实现画面纹理的实时调整；支持透明度调节与色温调节。</w:t>
            </w:r>
          </w:p>
          <w:p w14:paraId="68A087B9">
            <w:pPr>
              <w:widowControl w:val="0"/>
              <w:numPr>
                <w:ilvl w:val="0"/>
                <w:numId w:val="4"/>
              </w:numPr>
              <w:ind w:left="425" w:leftChars="0" w:hanging="425" w:firstLineChars="0"/>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★依据GB 21520-2023标准，</w:t>
            </w:r>
            <w:r>
              <w:rPr>
                <w:rFonts w:hint="eastAsia" w:ascii="宋体" w:hAnsi="宋体" w:eastAsia="宋体" w:cs="宋体"/>
                <w:color w:val="auto"/>
                <w:sz w:val="24"/>
                <w:szCs w:val="24"/>
                <w:highlight w:val="none"/>
                <w:vertAlign w:val="baseline"/>
                <w:lang w:val="en-US" w:eastAsia="zh-CN"/>
              </w:rPr>
              <w:t>设备</w:t>
            </w:r>
            <w:r>
              <w:rPr>
                <w:rFonts w:hint="eastAsia" w:ascii="宋体" w:hAnsi="宋体" w:eastAsia="宋体" w:cs="宋体"/>
                <w:color w:val="auto"/>
                <w:sz w:val="24"/>
                <w:szCs w:val="24"/>
                <w:highlight w:val="none"/>
                <w:vertAlign w:val="baseline"/>
              </w:rPr>
              <w:t>能效等级</w:t>
            </w:r>
            <w:r>
              <w:rPr>
                <w:rFonts w:hint="eastAsia" w:ascii="宋体" w:hAnsi="宋体" w:eastAsia="宋体" w:cs="宋体"/>
                <w:color w:val="auto"/>
                <w:sz w:val="24"/>
                <w:szCs w:val="24"/>
                <w:highlight w:val="none"/>
                <w:vertAlign w:val="baseline"/>
                <w:lang w:val="en-US" w:eastAsia="zh-CN"/>
              </w:rPr>
              <w:t>需</w:t>
            </w:r>
            <w:r>
              <w:rPr>
                <w:rFonts w:hint="eastAsia" w:ascii="宋体" w:hAnsi="宋体" w:eastAsia="宋体" w:cs="宋体"/>
                <w:color w:val="auto"/>
                <w:sz w:val="24"/>
                <w:szCs w:val="24"/>
                <w:highlight w:val="none"/>
                <w:vertAlign w:val="baseline"/>
              </w:rPr>
              <w:t>达到1级（需提供</w:t>
            </w:r>
            <w:r>
              <w:rPr>
                <w:rFonts w:hint="eastAsia" w:ascii="宋体" w:hAnsi="宋体" w:eastAsia="宋体" w:cs="宋体"/>
                <w:color w:val="auto"/>
                <w:sz w:val="24"/>
                <w:szCs w:val="24"/>
                <w:highlight w:val="none"/>
                <w:vertAlign w:val="baseline"/>
                <w:lang w:val="en-US" w:eastAsia="zh-CN"/>
              </w:rPr>
              <w:t>对应的</w:t>
            </w:r>
            <w:r>
              <w:rPr>
                <w:rFonts w:hint="eastAsia" w:ascii="宋体" w:hAnsi="宋体" w:eastAsia="宋体" w:cs="宋体"/>
                <w:color w:val="auto"/>
                <w:sz w:val="24"/>
                <w:szCs w:val="24"/>
                <w:highlight w:val="none"/>
                <w:vertAlign w:val="baseline"/>
              </w:rPr>
              <w:t>节能证书能效等级体现并加盖公章）。</w:t>
            </w:r>
          </w:p>
          <w:p w14:paraId="2C8CB7B7">
            <w:pPr>
              <w:widowControl w:val="0"/>
              <w:numPr>
                <w:ilvl w:val="0"/>
                <w:numId w:val="4"/>
              </w:numPr>
              <w:ind w:left="425" w:leftChars="0" w:hanging="425" w:firstLineChars="0"/>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eastAsia="zh-CN"/>
              </w:rPr>
              <w:t>智慧黑板</w:t>
            </w:r>
            <w:r>
              <w:rPr>
                <w:rFonts w:hint="eastAsia" w:ascii="宋体" w:hAnsi="宋体" w:eastAsia="宋体" w:cs="宋体"/>
                <w:color w:val="auto"/>
                <w:sz w:val="24"/>
                <w:szCs w:val="24"/>
                <w:highlight w:val="none"/>
                <w:vertAlign w:val="baseline"/>
                <w:lang w:val="en-US" w:eastAsia="zh-CN"/>
              </w:rPr>
              <w:t>需</w:t>
            </w:r>
            <w:r>
              <w:rPr>
                <w:rFonts w:hint="eastAsia" w:ascii="宋体" w:hAnsi="宋体" w:eastAsia="宋体" w:cs="宋体"/>
                <w:color w:val="auto"/>
                <w:sz w:val="24"/>
                <w:szCs w:val="24"/>
                <w:highlight w:val="none"/>
                <w:vertAlign w:val="baseline"/>
              </w:rPr>
              <w:t>具备屏体温度实时监控、高温预警及断电保护等功能。</w:t>
            </w:r>
          </w:p>
          <w:p w14:paraId="000125F3">
            <w:pPr>
              <w:widowControl w:val="0"/>
              <w:numPr>
                <w:ilvl w:val="0"/>
                <w:numId w:val="0"/>
              </w:numPr>
              <w:ind w:lef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D.整机接口按键要求</w:t>
            </w:r>
          </w:p>
          <w:p w14:paraId="6C299AFB">
            <w:pPr>
              <w:widowControl w:val="0"/>
              <w:numPr>
                <w:ilvl w:val="0"/>
                <w:numId w:val="5"/>
              </w:numPr>
              <w:ind w:left="425" w:leftChars="0" w:hanging="425" w:firstLineChars="0"/>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★为方便外接拓展设备</w:t>
            </w:r>
            <w:r>
              <w:rPr>
                <w:rFonts w:hint="eastAsia" w:ascii="宋体" w:hAnsi="宋体" w:eastAsia="宋体" w:cs="宋体"/>
                <w:color w:val="auto"/>
                <w:sz w:val="24"/>
                <w:szCs w:val="24"/>
                <w:highlight w:val="none"/>
                <w:vertAlign w:val="baseline"/>
                <w:lang w:eastAsia="zh-CN"/>
              </w:rPr>
              <w:t>，智慧黑板</w:t>
            </w:r>
            <w:r>
              <w:rPr>
                <w:rFonts w:hint="eastAsia" w:ascii="宋体" w:hAnsi="宋体" w:eastAsia="宋体" w:cs="宋体"/>
                <w:color w:val="auto"/>
                <w:sz w:val="24"/>
                <w:szCs w:val="24"/>
                <w:highlight w:val="none"/>
                <w:vertAlign w:val="baseline"/>
              </w:rPr>
              <w:t>前面板</w:t>
            </w:r>
            <w:r>
              <w:rPr>
                <w:rFonts w:hint="eastAsia" w:ascii="宋体" w:hAnsi="宋体" w:eastAsia="宋体" w:cs="宋体"/>
                <w:color w:val="auto"/>
                <w:sz w:val="24"/>
                <w:szCs w:val="24"/>
                <w:highlight w:val="none"/>
                <w:vertAlign w:val="baseline"/>
                <w:lang w:val="en-US" w:eastAsia="zh-CN"/>
              </w:rPr>
              <w:t>需</w:t>
            </w:r>
            <w:r>
              <w:rPr>
                <w:rFonts w:hint="eastAsia" w:ascii="宋体" w:hAnsi="宋体" w:eastAsia="宋体" w:cs="宋体"/>
                <w:color w:val="auto"/>
                <w:sz w:val="24"/>
                <w:szCs w:val="24"/>
                <w:highlight w:val="none"/>
                <w:vertAlign w:val="baseline"/>
              </w:rPr>
              <w:t>具备</w:t>
            </w:r>
            <w:r>
              <w:rPr>
                <w:rFonts w:hint="eastAsia" w:ascii="宋体" w:hAnsi="宋体" w:eastAsia="宋体" w:cs="宋体"/>
                <w:color w:val="auto"/>
                <w:sz w:val="24"/>
                <w:szCs w:val="24"/>
                <w:highlight w:val="none"/>
                <w:vertAlign w:val="baseline"/>
                <w:lang w:val="en-US" w:eastAsia="zh-CN"/>
              </w:rPr>
              <w:t>带相关标识的接口，不少于</w:t>
            </w:r>
            <w:r>
              <w:rPr>
                <w:rFonts w:hint="eastAsia" w:ascii="宋体" w:hAnsi="宋体" w:eastAsia="宋体" w:cs="宋体"/>
                <w:color w:val="auto"/>
                <w:sz w:val="24"/>
                <w:szCs w:val="24"/>
                <w:highlight w:val="none"/>
                <w:vertAlign w:val="baseline"/>
              </w:rPr>
              <w:t>2路USB3.0接口</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1路Type-C</w:t>
            </w:r>
            <w:r>
              <w:rPr>
                <w:rFonts w:hint="eastAsia" w:ascii="宋体" w:hAnsi="宋体" w:eastAsia="宋体" w:cs="宋体"/>
                <w:color w:val="auto"/>
                <w:sz w:val="24"/>
                <w:szCs w:val="24"/>
                <w:highlight w:val="none"/>
                <w:vertAlign w:val="baseline"/>
                <w:lang w:val="en-US" w:eastAsia="zh-CN"/>
              </w:rPr>
              <w:t>接口</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lang w:val="en-US" w:eastAsia="zh-CN"/>
              </w:rPr>
              <w:t>1路标准</w:t>
            </w:r>
            <w:r>
              <w:rPr>
                <w:rFonts w:hint="eastAsia" w:ascii="宋体" w:hAnsi="宋体" w:eastAsia="宋体" w:cs="宋体"/>
                <w:color w:val="auto"/>
                <w:sz w:val="24"/>
                <w:szCs w:val="24"/>
                <w:highlight w:val="none"/>
                <w:vertAlign w:val="baseline"/>
              </w:rPr>
              <w:t>HDMI接口。后置标配非扩展</w:t>
            </w:r>
            <w:r>
              <w:rPr>
                <w:rFonts w:hint="eastAsia" w:ascii="宋体" w:hAnsi="宋体" w:eastAsia="宋体" w:cs="宋体"/>
                <w:color w:val="auto"/>
                <w:sz w:val="24"/>
                <w:szCs w:val="24"/>
                <w:highlight w:val="none"/>
                <w:vertAlign w:val="baseline"/>
                <w:lang w:val="en-US" w:eastAsia="zh-CN"/>
              </w:rPr>
              <w:t>接口不少于2路</w:t>
            </w:r>
            <w:r>
              <w:rPr>
                <w:rFonts w:hint="eastAsia" w:ascii="宋体" w:hAnsi="宋体" w:eastAsia="宋体" w:cs="宋体"/>
                <w:color w:val="auto"/>
                <w:sz w:val="24"/>
                <w:szCs w:val="24"/>
                <w:highlight w:val="none"/>
                <w:vertAlign w:val="baseline"/>
              </w:rPr>
              <w:t>HDMI输入，</w:t>
            </w:r>
            <w:r>
              <w:rPr>
                <w:rFonts w:hint="eastAsia" w:ascii="宋体" w:hAnsi="宋体" w:eastAsia="宋体" w:cs="宋体"/>
                <w:color w:val="auto"/>
                <w:sz w:val="24"/>
                <w:szCs w:val="24"/>
                <w:highlight w:val="none"/>
                <w:vertAlign w:val="baseline"/>
                <w:lang w:val="en-US" w:eastAsia="zh-CN"/>
              </w:rPr>
              <w:t>1路</w:t>
            </w:r>
            <w:r>
              <w:rPr>
                <w:rFonts w:hint="eastAsia" w:ascii="宋体" w:hAnsi="宋体" w:eastAsia="宋体" w:cs="宋体"/>
                <w:color w:val="auto"/>
                <w:sz w:val="24"/>
                <w:szCs w:val="24"/>
                <w:highlight w:val="none"/>
                <w:vertAlign w:val="baseline"/>
              </w:rPr>
              <w:t>HDMI输出。（需提供CMA或CNAS认证检测机构出具的检测报告并加盖公章）</w:t>
            </w:r>
          </w:p>
          <w:p w14:paraId="071A4C1C">
            <w:pPr>
              <w:widowControl w:val="0"/>
              <w:numPr>
                <w:ilvl w:val="0"/>
                <w:numId w:val="5"/>
              </w:numPr>
              <w:ind w:left="425" w:leftChars="0" w:hanging="425" w:firstLineChars="0"/>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w:t>
            </w:r>
            <w:r>
              <w:rPr>
                <w:rFonts w:hint="eastAsia" w:ascii="宋体" w:hAnsi="宋体" w:eastAsia="宋体" w:cs="宋体"/>
                <w:color w:val="auto"/>
                <w:sz w:val="24"/>
                <w:szCs w:val="24"/>
                <w:highlight w:val="none"/>
                <w:vertAlign w:val="baseline"/>
                <w:lang w:eastAsia="zh-CN"/>
              </w:rPr>
              <w:t>智慧黑板</w:t>
            </w:r>
            <w:r>
              <w:rPr>
                <w:rFonts w:hint="eastAsia" w:ascii="宋体" w:hAnsi="宋体" w:eastAsia="宋体" w:cs="宋体"/>
                <w:color w:val="auto"/>
                <w:sz w:val="24"/>
                <w:szCs w:val="24"/>
                <w:highlight w:val="none"/>
                <w:vertAlign w:val="baseline"/>
              </w:rPr>
              <w:t>前置按键</w:t>
            </w:r>
            <w:r>
              <w:rPr>
                <w:rFonts w:hint="eastAsia" w:ascii="宋体" w:hAnsi="宋体" w:eastAsia="宋体" w:cs="宋体"/>
                <w:color w:val="auto"/>
                <w:sz w:val="24"/>
                <w:szCs w:val="24"/>
                <w:highlight w:val="none"/>
                <w:vertAlign w:val="baseline"/>
                <w:lang w:val="en-US" w:eastAsia="zh-CN"/>
              </w:rPr>
              <w:t>需</w:t>
            </w:r>
            <w:r>
              <w:rPr>
                <w:rFonts w:hint="eastAsia" w:ascii="宋体" w:hAnsi="宋体" w:eastAsia="宋体" w:cs="宋体"/>
                <w:color w:val="auto"/>
                <w:sz w:val="24"/>
                <w:szCs w:val="24"/>
                <w:highlight w:val="none"/>
                <w:vertAlign w:val="baseline"/>
              </w:rPr>
              <w:t>实现音量加减、窗口关闭、触控开关</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电脑还原按键等</w:t>
            </w:r>
            <w:r>
              <w:rPr>
                <w:rFonts w:hint="eastAsia" w:ascii="宋体" w:hAnsi="宋体" w:eastAsia="宋体" w:cs="宋体"/>
                <w:color w:val="auto"/>
                <w:sz w:val="24"/>
                <w:szCs w:val="24"/>
                <w:highlight w:val="none"/>
                <w:vertAlign w:val="baseline"/>
                <w:lang w:val="en-US" w:eastAsia="zh-CN"/>
              </w:rPr>
              <w:t>六个以上具有中文标识的常用按键</w:t>
            </w:r>
            <w:r>
              <w:rPr>
                <w:rFonts w:hint="eastAsia" w:ascii="宋体" w:hAnsi="宋体" w:eastAsia="宋体" w:cs="宋体"/>
                <w:color w:val="auto"/>
                <w:sz w:val="24"/>
                <w:szCs w:val="24"/>
                <w:highlight w:val="none"/>
                <w:vertAlign w:val="baseline"/>
              </w:rPr>
              <w:t>。(需提供CMA或CNAS认证检测机构出具的检测报告并加盖公章)</w:t>
            </w:r>
          </w:p>
          <w:p w14:paraId="7D82D569">
            <w:pPr>
              <w:widowControl w:val="0"/>
              <w:numPr>
                <w:ilvl w:val="0"/>
                <w:numId w:val="0"/>
              </w:numPr>
              <w:ind w:lef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E.安卓系统要求</w:t>
            </w:r>
          </w:p>
          <w:p w14:paraId="14607B36">
            <w:pPr>
              <w:widowControl w:val="0"/>
              <w:numPr>
                <w:ilvl w:val="0"/>
                <w:numId w:val="6"/>
              </w:numPr>
              <w:ind w:left="425" w:leftChars="0" w:hanging="425" w:firstLineChars="0"/>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eastAsia="zh-CN"/>
              </w:rPr>
              <w:t>智慧黑板</w:t>
            </w:r>
            <w:r>
              <w:rPr>
                <w:rFonts w:hint="eastAsia" w:ascii="宋体" w:hAnsi="宋体" w:eastAsia="宋体" w:cs="宋体"/>
                <w:color w:val="auto"/>
                <w:sz w:val="24"/>
                <w:szCs w:val="24"/>
                <w:highlight w:val="none"/>
                <w:vertAlign w:val="baseline"/>
                <w:lang w:val="en-US" w:eastAsia="zh-CN"/>
              </w:rPr>
              <w:t>需</w:t>
            </w:r>
            <w:r>
              <w:rPr>
                <w:rFonts w:hint="eastAsia" w:ascii="宋体" w:hAnsi="宋体" w:eastAsia="宋体" w:cs="宋体"/>
                <w:color w:val="auto"/>
                <w:sz w:val="24"/>
                <w:szCs w:val="24"/>
                <w:highlight w:val="none"/>
                <w:vertAlign w:val="baseline"/>
              </w:rPr>
              <w:t>具备国产化芯片，</w:t>
            </w:r>
            <w:r>
              <w:rPr>
                <w:rFonts w:hint="eastAsia" w:ascii="宋体" w:hAnsi="宋体" w:eastAsia="宋体" w:cs="宋体"/>
                <w:color w:val="auto"/>
                <w:sz w:val="24"/>
                <w:szCs w:val="24"/>
                <w:highlight w:val="none"/>
                <w:vertAlign w:val="baseline"/>
                <w:lang w:val="en-US" w:eastAsia="zh-CN"/>
              </w:rPr>
              <w:t>不低于</w:t>
            </w:r>
            <w:r>
              <w:rPr>
                <w:rFonts w:hint="eastAsia" w:ascii="宋体" w:hAnsi="宋体" w:eastAsia="宋体" w:cs="宋体"/>
                <w:color w:val="auto"/>
                <w:sz w:val="24"/>
                <w:szCs w:val="24"/>
                <w:highlight w:val="none"/>
                <w:vertAlign w:val="baseline"/>
              </w:rPr>
              <w:t>8核CPU、4核GPU。</w:t>
            </w:r>
            <w:r>
              <w:rPr>
                <w:rFonts w:hint="eastAsia" w:ascii="宋体" w:hAnsi="宋体" w:eastAsia="宋体" w:cs="宋体"/>
                <w:color w:val="auto"/>
                <w:sz w:val="24"/>
                <w:szCs w:val="24"/>
                <w:highlight w:val="none"/>
                <w:vertAlign w:val="baseline"/>
                <w:lang w:val="en-US" w:eastAsia="zh-CN"/>
              </w:rPr>
              <w:t>安卓</w:t>
            </w:r>
            <w:r>
              <w:rPr>
                <w:rFonts w:hint="eastAsia" w:ascii="宋体" w:hAnsi="宋体" w:eastAsia="宋体" w:cs="宋体"/>
                <w:color w:val="auto"/>
                <w:sz w:val="24"/>
                <w:szCs w:val="24"/>
                <w:highlight w:val="none"/>
                <w:vertAlign w:val="baseline"/>
              </w:rPr>
              <w:t>系统版本</w:t>
            </w:r>
            <w:r>
              <w:rPr>
                <w:rFonts w:hint="eastAsia" w:ascii="宋体" w:hAnsi="宋体" w:eastAsia="宋体" w:cs="宋体"/>
                <w:color w:val="auto"/>
                <w:sz w:val="24"/>
                <w:szCs w:val="24"/>
                <w:highlight w:val="none"/>
                <w:vertAlign w:val="baseline"/>
                <w:lang w:val="en-US" w:eastAsia="zh-CN"/>
              </w:rPr>
              <w:t>不低于</w:t>
            </w:r>
            <w:r>
              <w:rPr>
                <w:rFonts w:hint="eastAsia" w:ascii="宋体" w:hAnsi="宋体" w:eastAsia="宋体" w:cs="宋体"/>
                <w:color w:val="auto"/>
                <w:sz w:val="24"/>
                <w:szCs w:val="24"/>
                <w:highlight w:val="none"/>
                <w:vertAlign w:val="baseline"/>
              </w:rPr>
              <w:t>14.0，内存</w:t>
            </w:r>
            <w:r>
              <w:rPr>
                <w:rFonts w:hint="eastAsia" w:ascii="宋体" w:hAnsi="宋体" w:eastAsia="宋体" w:cs="宋体"/>
                <w:color w:val="auto"/>
                <w:sz w:val="24"/>
                <w:szCs w:val="24"/>
                <w:highlight w:val="none"/>
                <w:vertAlign w:val="baseline"/>
                <w:lang w:val="en-US" w:eastAsia="zh-CN"/>
              </w:rPr>
              <w:t>不小于</w:t>
            </w:r>
            <w:r>
              <w:rPr>
                <w:rFonts w:hint="eastAsia" w:ascii="宋体" w:hAnsi="宋体" w:eastAsia="宋体" w:cs="宋体"/>
                <w:color w:val="auto"/>
                <w:sz w:val="24"/>
                <w:szCs w:val="24"/>
                <w:highlight w:val="none"/>
                <w:vertAlign w:val="baseline"/>
              </w:rPr>
              <w:t>2G，存储</w:t>
            </w:r>
            <w:r>
              <w:rPr>
                <w:rFonts w:hint="eastAsia" w:ascii="宋体" w:hAnsi="宋体" w:eastAsia="宋体" w:cs="宋体"/>
                <w:color w:val="auto"/>
                <w:sz w:val="24"/>
                <w:szCs w:val="24"/>
                <w:highlight w:val="none"/>
                <w:vertAlign w:val="baseline"/>
                <w:lang w:val="en-US" w:eastAsia="zh-CN"/>
              </w:rPr>
              <w:t>不小于</w:t>
            </w:r>
            <w:r>
              <w:rPr>
                <w:rFonts w:hint="eastAsia" w:ascii="宋体" w:hAnsi="宋体" w:eastAsia="宋体" w:cs="宋体"/>
                <w:color w:val="auto"/>
                <w:sz w:val="24"/>
                <w:szCs w:val="24"/>
                <w:highlight w:val="none"/>
                <w:vertAlign w:val="baseline"/>
              </w:rPr>
              <w:t>8G。</w:t>
            </w:r>
          </w:p>
          <w:p w14:paraId="1F9159C2">
            <w:pPr>
              <w:widowControl w:val="0"/>
              <w:numPr>
                <w:ilvl w:val="0"/>
                <w:numId w:val="0"/>
              </w:numPr>
              <w:ind w:lef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F.整机音视频要求</w:t>
            </w:r>
          </w:p>
          <w:p w14:paraId="6DA4509D">
            <w:pPr>
              <w:widowControl w:val="0"/>
              <w:numPr>
                <w:ilvl w:val="0"/>
                <w:numId w:val="7"/>
              </w:numPr>
              <w:ind w:left="425" w:leftChars="0" w:hanging="425" w:firstLineChars="0"/>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需</w:t>
            </w:r>
            <w:r>
              <w:rPr>
                <w:rFonts w:hint="eastAsia" w:ascii="宋体" w:hAnsi="宋体" w:eastAsia="宋体" w:cs="宋体"/>
                <w:color w:val="auto"/>
                <w:sz w:val="24"/>
                <w:szCs w:val="24"/>
                <w:highlight w:val="none"/>
                <w:vertAlign w:val="baseline"/>
              </w:rPr>
              <w:t>采用2.2声道，</w:t>
            </w:r>
            <w:r>
              <w:rPr>
                <w:rFonts w:hint="eastAsia" w:ascii="宋体" w:hAnsi="宋体" w:eastAsia="宋体" w:cs="宋体"/>
                <w:color w:val="auto"/>
                <w:sz w:val="24"/>
                <w:szCs w:val="24"/>
                <w:highlight w:val="none"/>
                <w:vertAlign w:val="baseline"/>
                <w:lang w:val="en-US" w:eastAsia="zh-CN"/>
              </w:rPr>
              <w:t>不少于</w:t>
            </w:r>
            <w:r>
              <w:rPr>
                <w:rFonts w:hint="eastAsia" w:ascii="宋体" w:hAnsi="宋体" w:eastAsia="宋体" w:cs="宋体"/>
                <w:color w:val="auto"/>
                <w:sz w:val="24"/>
                <w:szCs w:val="24"/>
                <w:highlight w:val="none"/>
                <w:vertAlign w:val="baseline"/>
              </w:rPr>
              <w:t>6个发声单元，功率</w:t>
            </w:r>
            <w:r>
              <w:rPr>
                <w:rFonts w:hint="eastAsia" w:ascii="宋体" w:hAnsi="宋体" w:eastAsia="宋体" w:cs="宋体"/>
                <w:color w:val="auto"/>
                <w:sz w:val="24"/>
                <w:szCs w:val="24"/>
                <w:highlight w:val="none"/>
                <w:vertAlign w:val="baseline"/>
                <w:lang w:val="en-US" w:eastAsia="zh-CN"/>
              </w:rPr>
              <w:t>不小于</w:t>
            </w:r>
            <w:r>
              <w:rPr>
                <w:rFonts w:hint="eastAsia" w:ascii="宋体" w:hAnsi="宋体" w:eastAsia="宋体" w:cs="宋体"/>
                <w:color w:val="auto"/>
                <w:sz w:val="24"/>
                <w:szCs w:val="24"/>
                <w:highlight w:val="none"/>
                <w:vertAlign w:val="baseline"/>
              </w:rPr>
              <w:t>80W。</w:t>
            </w:r>
          </w:p>
          <w:p w14:paraId="73DF5351">
            <w:pPr>
              <w:widowControl w:val="0"/>
              <w:numPr>
                <w:ilvl w:val="0"/>
                <w:numId w:val="7"/>
              </w:numPr>
              <w:ind w:left="425" w:leftChars="0" w:hanging="425" w:firstLineChars="0"/>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需</w:t>
            </w:r>
            <w:r>
              <w:rPr>
                <w:rFonts w:hint="eastAsia" w:ascii="宋体" w:hAnsi="宋体" w:eastAsia="宋体" w:cs="宋体"/>
                <w:color w:val="auto"/>
                <w:sz w:val="24"/>
                <w:szCs w:val="24"/>
                <w:highlight w:val="none"/>
                <w:vertAlign w:val="baseline"/>
              </w:rPr>
              <w:t>内置一体化超高清摄像头，摄像头</w:t>
            </w:r>
            <w:r>
              <w:rPr>
                <w:rFonts w:hint="eastAsia" w:ascii="宋体" w:hAnsi="宋体" w:eastAsia="宋体" w:cs="宋体"/>
                <w:color w:val="auto"/>
                <w:sz w:val="24"/>
                <w:szCs w:val="24"/>
                <w:highlight w:val="none"/>
                <w:vertAlign w:val="baseline"/>
                <w:lang w:val="en-US" w:eastAsia="zh-CN"/>
              </w:rPr>
              <w:t>不低于4K且不低于</w:t>
            </w:r>
            <w:r>
              <w:rPr>
                <w:rFonts w:hint="eastAsia" w:ascii="宋体" w:hAnsi="宋体" w:eastAsia="宋体" w:cs="宋体"/>
                <w:color w:val="auto"/>
                <w:sz w:val="24"/>
                <w:szCs w:val="24"/>
                <w:highlight w:val="none"/>
                <w:vertAlign w:val="baseline"/>
              </w:rPr>
              <w:t>1</w:t>
            </w:r>
            <w:r>
              <w:rPr>
                <w:rFonts w:hint="eastAsia" w:ascii="宋体" w:hAnsi="宋体" w:eastAsia="宋体" w:cs="宋体"/>
                <w:color w:val="auto"/>
                <w:sz w:val="24"/>
                <w:szCs w:val="24"/>
                <w:highlight w:val="none"/>
                <w:vertAlign w:val="baseline"/>
                <w:lang w:val="en-US" w:eastAsia="zh-CN"/>
              </w:rPr>
              <w:t>8</w:t>
            </w:r>
            <w:r>
              <w:rPr>
                <w:rFonts w:hint="eastAsia" w:ascii="宋体" w:hAnsi="宋体" w:eastAsia="宋体" w:cs="宋体"/>
                <w:color w:val="auto"/>
                <w:sz w:val="24"/>
                <w:szCs w:val="24"/>
                <w:highlight w:val="none"/>
                <w:vertAlign w:val="baseline"/>
              </w:rPr>
              <w:t>00W像素</w:t>
            </w:r>
            <w:r>
              <w:rPr>
                <w:rFonts w:hint="eastAsia" w:ascii="宋体" w:hAnsi="宋体" w:eastAsia="宋体" w:cs="宋体"/>
                <w:color w:val="auto"/>
                <w:sz w:val="24"/>
                <w:szCs w:val="24"/>
                <w:highlight w:val="none"/>
                <w:vertAlign w:val="baseline"/>
                <w:lang w:val="en-US" w:eastAsia="zh-CN"/>
              </w:rPr>
              <w:t>,</w:t>
            </w:r>
            <w:r>
              <w:rPr>
                <w:rFonts w:hint="eastAsia" w:ascii="宋体" w:hAnsi="宋体" w:eastAsia="宋体" w:cs="宋体"/>
                <w:color w:val="auto"/>
                <w:sz w:val="24"/>
                <w:szCs w:val="24"/>
                <w:highlight w:val="none"/>
                <w:vertAlign w:val="baseline"/>
              </w:rPr>
              <w:t>镜头</w:t>
            </w:r>
            <w:r>
              <w:rPr>
                <w:rFonts w:hint="eastAsia" w:ascii="宋体" w:hAnsi="宋体" w:eastAsia="宋体" w:cs="宋体"/>
                <w:color w:val="auto"/>
                <w:sz w:val="24"/>
                <w:szCs w:val="24"/>
                <w:highlight w:val="none"/>
                <w:vertAlign w:val="baseline"/>
                <w:lang w:val="en-US" w:eastAsia="zh-CN"/>
              </w:rPr>
              <w:t>能</w:t>
            </w:r>
            <w:r>
              <w:rPr>
                <w:rFonts w:hint="eastAsia" w:ascii="宋体" w:hAnsi="宋体" w:eastAsia="宋体" w:cs="宋体"/>
                <w:color w:val="auto"/>
                <w:sz w:val="24"/>
                <w:szCs w:val="24"/>
                <w:highlight w:val="none"/>
                <w:vertAlign w:val="baseline"/>
              </w:rPr>
              <w:t>向下倾斜</w:t>
            </w:r>
            <w:r>
              <w:rPr>
                <w:rFonts w:hint="eastAsia" w:ascii="宋体" w:hAnsi="宋体" w:eastAsia="宋体" w:cs="宋体"/>
                <w:color w:val="auto"/>
                <w:sz w:val="24"/>
                <w:szCs w:val="24"/>
                <w:highlight w:val="none"/>
                <w:vertAlign w:val="baseline"/>
                <w:lang w:eastAsia="zh-CN"/>
              </w:rPr>
              <w:t>。</w:t>
            </w:r>
          </w:p>
          <w:p w14:paraId="75A7FD1F">
            <w:pPr>
              <w:widowControl w:val="0"/>
              <w:numPr>
                <w:ilvl w:val="0"/>
                <w:numId w:val="7"/>
              </w:numPr>
              <w:ind w:left="425" w:leftChars="0" w:hanging="425" w:firstLineChars="0"/>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内置摄像头需</w:t>
            </w:r>
            <w:r>
              <w:rPr>
                <w:rFonts w:hint="eastAsia" w:ascii="宋体" w:hAnsi="宋体" w:eastAsia="宋体" w:cs="宋体"/>
                <w:color w:val="auto"/>
                <w:sz w:val="24"/>
                <w:szCs w:val="24"/>
                <w:highlight w:val="none"/>
                <w:vertAlign w:val="baseline"/>
              </w:rPr>
              <w:t>支持AI软件实现自动点名点数功能，支持远程巡课功能，具备指示灯工作状态提示。</w:t>
            </w:r>
          </w:p>
          <w:p w14:paraId="7E080465">
            <w:pPr>
              <w:widowControl w:val="0"/>
              <w:numPr>
                <w:ilvl w:val="0"/>
                <w:numId w:val="0"/>
              </w:numPr>
              <w:ind w:lef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G.其他与教学相关的常用功能</w:t>
            </w:r>
          </w:p>
          <w:p w14:paraId="094ACCB4">
            <w:pPr>
              <w:widowControl w:val="0"/>
              <w:numPr>
                <w:ilvl w:val="0"/>
                <w:numId w:val="8"/>
              </w:numPr>
              <w:ind w:left="425" w:leftChars="0" w:hanging="425" w:firstLineChars="0"/>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eastAsia="zh-CN"/>
              </w:rPr>
              <w:t>智慧黑板</w:t>
            </w:r>
            <w:r>
              <w:rPr>
                <w:rFonts w:hint="eastAsia" w:ascii="宋体" w:hAnsi="宋体" w:eastAsia="宋体" w:cs="宋体"/>
                <w:color w:val="auto"/>
                <w:sz w:val="24"/>
                <w:szCs w:val="24"/>
                <w:highlight w:val="none"/>
                <w:vertAlign w:val="baseline"/>
                <w:lang w:val="en-US" w:eastAsia="zh-CN"/>
              </w:rPr>
              <w:t>需</w:t>
            </w:r>
            <w:r>
              <w:rPr>
                <w:rFonts w:hint="eastAsia" w:ascii="宋体" w:hAnsi="宋体" w:eastAsia="宋体" w:cs="宋体"/>
                <w:color w:val="auto"/>
                <w:sz w:val="24"/>
                <w:szCs w:val="24"/>
                <w:highlight w:val="none"/>
                <w:vertAlign w:val="baseline"/>
              </w:rPr>
              <w:t>具有可放置书写笔、粉笔、水性笔</w:t>
            </w:r>
            <w:r>
              <w:rPr>
                <w:rFonts w:hint="eastAsia" w:ascii="宋体" w:hAnsi="宋体" w:eastAsia="宋体" w:cs="宋体"/>
                <w:color w:val="auto"/>
                <w:sz w:val="24"/>
                <w:szCs w:val="24"/>
                <w:highlight w:val="none"/>
                <w:vertAlign w:val="baseline"/>
                <w:lang w:val="en-US" w:eastAsia="zh-CN"/>
              </w:rPr>
              <w:t>的</w:t>
            </w:r>
            <w:r>
              <w:rPr>
                <w:rFonts w:hint="eastAsia" w:ascii="宋体" w:hAnsi="宋体" w:eastAsia="宋体" w:cs="宋体"/>
                <w:color w:val="auto"/>
                <w:sz w:val="24"/>
                <w:szCs w:val="24"/>
                <w:highlight w:val="none"/>
                <w:vertAlign w:val="baseline"/>
              </w:rPr>
              <w:t>笔槽，笔槽具有漏灰孔设计。</w:t>
            </w:r>
          </w:p>
          <w:p w14:paraId="69E8448B">
            <w:pPr>
              <w:widowControl w:val="0"/>
              <w:numPr>
                <w:ilvl w:val="0"/>
                <w:numId w:val="8"/>
              </w:numPr>
              <w:ind w:left="425" w:leftChars="0" w:hanging="425" w:firstLineChars="0"/>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在任意信号源下向上滑动，可调用快捷设置菜单；无需切换系统可快速调节Windows和</w:t>
            </w:r>
            <w:r>
              <w:rPr>
                <w:rFonts w:hint="eastAsia" w:ascii="宋体" w:hAnsi="宋体" w:eastAsia="宋体" w:cs="宋体"/>
                <w:color w:val="auto"/>
                <w:sz w:val="24"/>
                <w:szCs w:val="24"/>
                <w:highlight w:val="none"/>
                <w:vertAlign w:val="baseline"/>
                <w:lang w:val="en-US" w:eastAsia="zh-CN"/>
              </w:rPr>
              <w:t>安卓</w:t>
            </w:r>
            <w:r>
              <w:rPr>
                <w:rFonts w:hint="eastAsia" w:ascii="宋体" w:hAnsi="宋体" w:eastAsia="宋体" w:cs="宋体"/>
                <w:color w:val="auto"/>
                <w:sz w:val="24"/>
                <w:szCs w:val="24"/>
                <w:highlight w:val="none"/>
                <w:vertAlign w:val="baseline"/>
              </w:rPr>
              <w:t>的设置，如声音、亮度、网络等</w:t>
            </w:r>
            <w:r>
              <w:rPr>
                <w:rFonts w:hint="eastAsia" w:ascii="宋体" w:hAnsi="宋体" w:eastAsia="宋体" w:cs="宋体"/>
                <w:color w:val="auto"/>
                <w:sz w:val="24"/>
                <w:szCs w:val="24"/>
                <w:highlight w:val="none"/>
                <w:vertAlign w:val="baseline"/>
                <w:lang w:val="en-US" w:eastAsia="zh-CN"/>
              </w:rPr>
              <w:t>常用功能</w:t>
            </w:r>
            <w:r>
              <w:rPr>
                <w:rFonts w:hint="eastAsia" w:ascii="宋体" w:hAnsi="宋体" w:eastAsia="宋体" w:cs="宋体"/>
                <w:color w:val="auto"/>
                <w:sz w:val="24"/>
                <w:szCs w:val="24"/>
                <w:highlight w:val="none"/>
                <w:vertAlign w:val="baseline"/>
              </w:rPr>
              <w:t>。</w:t>
            </w:r>
          </w:p>
          <w:p w14:paraId="7C10B2D3">
            <w:pPr>
              <w:widowControl w:val="0"/>
              <w:numPr>
                <w:ilvl w:val="0"/>
                <w:numId w:val="8"/>
              </w:numPr>
              <w:ind w:left="425" w:leftChars="0" w:hanging="425" w:firstLineChars="0"/>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eastAsia="zh-CN"/>
              </w:rPr>
              <w:t>智慧黑板</w:t>
            </w:r>
            <w:r>
              <w:rPr>
                <w:rFonts w:hint="eastAsia" w:ascii="宋体" w:hAnsi="宋体" w:eastAsia="宋体" w:cs="宋体"/>
                <w:color w:val="auto"/>
                <w:sz w:val="24"/>
                <w:szCs w:val="24"/>
                <w:highlight w:val="none"/>
                <w:vertAlign w:val="baseline"/>
              </w:rPr>
              <w:t>左右两侧</w:t>
            </w:r>
            <w:r>
              <w:rPr>
                <w:rFonts w:hint="eastAsia" w:ascii="宋体" w:hAnsi="宋体" w:eastAsia="宋体" w:cs="宋体"/>
                <w:color w:val="auto"/>
                <w:sz w:val="24"/>
                <w:szCs w:val="24"/>
                <w:highlight w:val="none"/>
                <w:vertAlign w:val="baseline"/>
                <w:lang w:val="en-US" w:eastAsia="zh-CN"/>
              </w:rPr>
              <w:t>需各具备不少于10个</w:t>
            </w:r>
            <w:r>
              <w:rPr>
                <w:rFonts w:hint="eastAsia" w:ascii="宋体" w:hAnsi="宋体" w:eastAsia="宋体" w:cs="宋体"/>
                <w:color w:val="auto"/>
                <w:sz w:val="24"/>
                <w:szCs w:val="24"/>
                <w:highlight w:val="none"/>
                <w:vertAlign w:val="baseline"/>
              </w:rPr>
              <w:t>与教学应用密切相关的快捷键，支持自定义设置时间</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显示模式</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单侧显示、双侧同时显示，快捷键至少</w:t>
            </w:r>
            <w:r>
              <w:rPr>
                <w:rFonts w:hint="eastAsia" w:ascii="宋体" w:hAnsi="宋体" w:eastAsia="宋体" w:cs="宋体"/>
                <w:color w:val="auto"/>
                <w:sz w:val="24"/>
                <w:szCs w:val="24"/>
                <w:highlight w:val="none"/>
                <w:vertAlign w:val="baseline"/>
                <w:lang w:val="en-US" w:eastAsia="zh-CN"/>
              </w:rPr>
              <w:t>需</w:t>
            </w:r>
            <w:r>
              <w:rPr>
                <w:rFonts w:hint="eastAsia" w:ascii="宋体" w:hAnsi="宋体" w:eastAsia="宋体" w:cs="宋体"/>
                <w:color w:val="auto"/>
                <w:sz w:val="24"/>
                <w:szCs w:val="24"/>
                <w:highlight w:val="none"/>
                <w:vertAlign w:val="baseline"/>
              </w:rPr>
              <w:t>具</w:t>
            </w:r>
            <w:r>
              <w:rPr>
                <w:rFonts w:hint="eastAsia" w:ascii="宋体" w:hAnsi="宋体" w:eastAsia="宋体" w:cs="宋体"/>
                <w:color w:val="auto"/>
                <w:sz w:val="24"/>
                <w:szCs w:val="24"/>
                <w:highlight w:val="none"/>
                <w:vertAlign w:val="baseline"/>
                <w:lang w:val="en-US" w:eastAsia="zh-CN"/>
              </w:rPr>
              <w:t>备</w:t>
            </w:r>
            <w:r>
              <w:rPr>
                <w:rFonts w:hint="eastAsia" w:ascii="宋体" w:hAnsi="宋体" w:eastAsia="宋体" w:cs="宋体"/>
                <w:color w:val="auto"/>
                <w:sz w:val="24"/>
                <w:szCs w:val="24"/>
                <w:highlight w:val="none"/>
                <w:vertAlign w:val="baseline"/>
              </w:rPr>
              <w:t>关闭窗口、展台、桌面、多屏互动等教学常用</w:t>
            </w:r>
            <w:r>
              <w:rPr>
                <w:rFonts w:hint="eastAsia" w:ascii="宋体" w:hAnsi="宋体" w:eastAsia="宋体" w:cs="宋体"/>
                <w:color w:val="auto"/>
                <w:sz w:val="24"/>
                <w:szCs w:val="24"/>
                <w:highlight w:val="none"/>
                <w:vertAlign w:val="baseline"/>
                <w:lang w:val="en-US" w:eastAsia="zh-CN"/>
              </w:rPr>
              <w:t>功能</w:t>
            </w:r>
            <w:r>
              <w:rPr>
                <w:rFonts w:hint="eastAsia" w:ascii="宋体" w:hAnsi="宋体" w:eastAsia="宋体" w:cs="宋体"/>
                <w:color w:val="auto"/>
                <w:sz w:val="24"/>
                <w:szCs w:val="24"/>
                <w:highlight w:val="none"/>
                <w:vertAlign w:val="baseline"/>
              </w:rPr>
              <w:t>。</w:t>
            </w:r>
          </w:p>
          <w:p w14:paraId="20BB9223">
            <w:pPr>
              <w:widowControl w:val="0"/>
              <w:numPr>
                <w:ilvl w:val="0"/>
                <w:numId w:val="8"/>
              </w:numPr>
              <w:ind w:left="425" w:leftChars="0" w:hanging="425" w:firstLineChars="0"/>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eastAsia="zh-CN"/>
              </w:rPr>
              <w:t>智慧黑板</w:t>
            </w:r>
            <w:r>
              <w:rPr>
                <w:rFonts w:hint="eastAsia" w:ascii="宋体" w:hAnsi="宋体" w:eastAsia="宋体" w:cs="宋体"/>
                <w:color w:val="auto"/>
                <w:sz w:val="24"/>
                <w:szCs w:val="24"/>
                <w:highlight w:val="none"/>
                <w:vertAlign w:val="baseline"/>
              </w:rPr>
              <w:t>具有</w:t>
            </w:r>
            <w:r>
              <w:rPr>
                <w:rFonts w:hint="eastAsia" w:ascii="宋体" w:hAnsi="宋体" w:eastAsia="宋体" w:cs="宋体"/>
                <w:color w:val="auto"/>
                <w:sz w:val="24"/>
                <w:szCs w:val="24"/>
                <w:highlight w:val="none"/>
                <w:vertAlign w:val="baseline"/>
                <w:lang w:val="en-US" w:eastAsia="zh-CN"/>
              </w:rPr>
              <w:t>快捷</w:t>
            </w:r>
            <w:r>
              <w:rPr>
                <w:rFonts w:hint="eastAsia" w:ascii="宋体" w:hAnsi="宋体" w:eastAsia="宋体" w:cs="宋体"/>
                <w:color w:val="auto"/>
                <w:sz w:val="24"/>
                <w:szCs w:val="24"/>
                <w:highlight w:val="none"/>
                <w:vertAlign w:val="baseline"/>
              </w:rPr>
              <w:t>悬浮菜单，</w:t>
            </w:r>
            <w:r>
              <w:rPr>
                <w:rFonts w:hint="eastAsia" w:ascii="宋体" w:hAnsi="宋体" w:eastAsia="宋体" w:cs="宋体"/>
                <w:color w:val="auto"/>
                <w:sz w:val="24"/>
                <w:szCs w:val="24"/>
                <w:highlight w:val="none"/>
                <w:vertAlign w:val="baseline"/>
                <w:lang w:val="en-US" w:eastAsia="zh-CN"/>
              </w:rPr>
              <w:t>通过两指长按能</w:t>
            </w:r>
            <w:r>
              <w:rPr>
                <w:rFonts w:hint="eastAsia" w:ascii="宋体" w:hAnsi="宋体" w:eastAsia="宋体" w:cs="宋体"/>
                <w:color w:val="auto"/>
                <w:sz w:val="24"/>
                <w:szCs w:val="24"/>
                <w:highlight w:val="none"/>
                <w:vertAlign w:val="baseline"/>
              </w:rPr>
              <w:t>快速移动悬浮菜单至按压位置，悬浮菜单</w:t>
            </w:r>
            <w:r>
              <w:rPr>
                <w:rFonts w:hint="eastAsia" w:ascii="宋体" w:hAnsi="宋体" w:eastAsia="宋体" w:cs="宋体"/>
                <w:color w:val="auto"/>
                <w:sz w:val="24"/>
                <w:szCs w:val="24"/>
                <w:highlight w:val="none"/>
                <w:vertAlign w:val="baseline"/>
                <w:lang w:val="en-US" w:eastAsia="zh-CN"/>
              </w:rPr>
              <w:t>能</w:t>
            </w:r>
            <w:r>
              <w:rPr>
                <w:rFonts w:hint="eastAsia" w:ascii="宋体" w:hAnsi="宋体" w:eastAsia="宋体" w:cs="宋体"/>
                <w:color w:val="auto"/>
                <w:sz w:val="24"/>
                <w:szCs w:val="24"/>
                <w:highlight w:val="none"/>
                <w:vertAlign w:val="baseline"/>
              </w:rPr>
              <w:t>进行自定义分组，</w:t>
            </w:r>
            <w:r>
              <w:rPr>
                <w:rFonts w:hint="eastAsia" w:ascii="宋体" w:hAnsi="宋体" w:eastAsia="宋体" w:cs="宋体"/>
                <w:color w:val="auto"/>
                <w:sz w:val="24"/>
                <w:szCs w:val="24"/>
                <w:highlight w:val="none"/>
                <w:vertAlign w:val="baseline"/>
                <w:lang w:val="en-US" w:eastAsia="zh-CN"/>
              </w:rPr>
              <w:t>能够</w:t>
            </w:r>
            <w:r>
              <w:rPr>
                <w:rFonts w:hint="eastAsia" w:ascii="宋体" w:hAnsi="宋体" w:eastAsia="宋体" w:cs="宋体"/>
                <w:color w:val="auto"/>
                <w:sz w:val="24"/>
                <w:szCs w:val="24"/>
                <w:highlight w:val="none"/>
                <w:vertAlign w:val="baseline"/>
              </w:rPr>
              <w:t>添加不少于</w:t>
            </w:r>
            <w:r>
              <w:rPr>
                <w:rFonts w:hint="eastAsia" w:ascii="宋体" w:hAnsi="宋体" w:eastAsia="宋体" w:cs="宋体"/>
                <w:color w:val="auto"/>
                <w:sz w:val="24"/>
                <w:szCs w:val="24"/>
                <w:highlight w:val="none"/>
                <w:vertAlign w:val="baseline"/>
                <w:lang w:val="en-US" w:eastAsia="zh-CN"/>
              </w:rPr>
              <w:t>三十</w:t>
            </w:r>
            <w:r>
              <w:rPr>
                <w:rFonts w:hint="eastAsia" w:ascii="宋体" w:hAnsi="宋体" w:eastAsia="宋体" w:cs="宋体"/>
                <w:color w:val="auto"/>
                <w:sz w:val="24"/>
                <w:szCs w:val="24"/>
                <w:highlight w:val="none"/>
                <w:vertAlign w:val="baseline"/>
              </w:rPr>
              <w:t>个应用。</w:t>
            </w:r>
          </w:p>
          <w:p w14:paraId="743E8FAB">
            <w:pPr>
              <w:widowControl w:val="0"/>
              <w:numPr>
                <w:ilvl w:val="0"/>
                <w:numId w:val="8"/>
              </w:numPr>
              <w:ind w:left="425" w:leftChars="0" w:hanging="425" w:firstLineChars="0"/>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需</w:t>
            </w:r>
            <w:r>
              <w:rPr>
                <w:rFonts w:hint="eastAsia" w:ascii="宋体" w:hAnsi="宋体" w:eastAsia="宋体" w:cs="宋体"/>
                <w:color w:val="auto"/>
                <w:sz w:val="24"/>
                <w:szCs w:val="24"/>
                <w:highlight w:val="none"/>
                <w:vertAlign w:val="baseline"/>
              </w:rPr>
              <w:t>支持手势实现悬浮窗快速调用、屏幕息屏或亮屏、屏幕下移、多任务等功能，方便</w:t>
            </w:r>
            <w:r>
              <w:rPr>
                <w:rFonts w:hint="eastAsia" w:ascii="宋体" w:hAnsi="宋体" w:eastAsia="宋体" w:cs="宋体"/>
                <w:color w:val="auto"/>
                <w:sz w:val="24"/>
                <w:szCs w:val="24"/>
                <w:highlight w:val="none"/>
                <w:vertAlign w:val="baseline"/>
                <w:lang w:val="en-US" w:eastAsia="zh-CN"/>
              </w:rPr>
              <w:t>课堂</w:t>
            </w:r>
            <w:r>
              <w:rPr>
                <w:rFonts w:hint="eastAsia" w:ascii="宋体" w:hAnsi="宋体" w:eastAsia="宋体" w:cs="宋体"/>
                <w:color w:val="auto"/>
                <w:sz w:val="24"/>
                <w:szCs w:val="24"/>
                <w:highlight w:val="none"/>
                <w:vertAlign w:val="baseline"/>
              </w:rPr>
              <w:t>操作。</w:t>
            </w:r>
          </w:p>
          <w:p w14:paraId="17F62A5B">
            <w:pPr>
              <w:widowControl w:val="0"/>
              <w:numPr>
                <w:ilvl w:val="0"/>
                <w:numId w:val="8"/>
              </w:numPr>
              <w:ind w:left="425" w:leftChars="0" w:hanging="425" w:firstLineChars="0"/>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eastAsia="zh-CN"/>
              </w:rPr>
              <w:t>智慧黑板</w:t>
            </w:r>
            <w:r>
              <w:rPr>
                <w:rFonts w:hint="eastAsia" w:ascii="宋体" w:hAnsi="宋体" w:eastAsia="宋体" w:cs="宋体"/>
                <w:color w:val="auto"/>
                <w:sz w:val="24"/>
                <w:szCs w:val="24"/>
                <w:highlight w:val="none"/>
                <w:vertAlign w:val="baseline"/>
              </w:rPr>
              <w:t>支持远程升级，及时给用户推送新版应用。</w:t>
            </w:r>
          </w:p>
          <w:p w14:paraId="793393D9">
            <w:pPr>
              <w:widowControl w:val="0"/>
              <w:numPr>
                <w:ilvl w:val="0"/>
                <w:numId w:val="0"/>
              </w:numPr>
              <w:ind w:lef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H.书写侧板要求</w:t>
            </w:r>
          </w:p>
          <w:p w14:paraId="7F78A86E">
            <w:pPr>
              <w:widowControl w:val="0"/>
              <w:numPr>
                <w:ilvl w:val="0"/>
                <w:numId w:val="9"/>
              </w:numPr>
              <w:ind w:left="425" w:leftChars="0" w:hanging="425" w:firstLineChars="0"/>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书写侧板板面支持磁性材质教具吸附。</w:t>
            </w:r>
          </w:p>
          <w:p w14:paraId="4C43BCE2">
            <w:pPr>
              <w:widowControl w:val="0"/>
              <w:numPr>
                <w:ilvl w:val="0"/>
                <w:numId w:val="9"/>
              </w:numPr>
              <w:ind w:left="425" w:leftChars="0" w:hanging="425" w:firstLineChars="0"/>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书写侧板板面光泽度需符合 GB28231-2011 标准，不高于8光泽度以免产生眩光。</w:t>
            </w:r>
          </w:p>
          <w:p w14:paraId="37062952">
            <w:pPr>
              <w:widowControl w:val="0"/>
              <w:numPr>
                <w:ilvl w:val="0"/>
                <w:numId w:val="9"/>
              </w:numPr>
              <w:ind w:left="425" w:leftChars="0" w:hanging="425" w:firstLineChars="0"/>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书写侧板板面符合 GB/T9286-2021标准，支持色漆和清漆漆膜的划格试验，脱漆面积不明显大于 5%达到0级标准。</w:t>
            </w:r>
          </w:p>
          <w:p w14:paraId="7E442EEC">
            <w:pPr>
              <w:widowControl w:val="0"/>
              <w:numPr>
                <w:ilvl w:val="0"/>
                <w:numId w:val="9"/>
              </w:numPr>
              <w:ind w:left="425" w:leftChars="0" w:hanging="425" w:firstLineChars="0"/>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书写侧板板面抗冲击性需符合GB/T 1732-2020标准，漆膜耐冲击无裂纹现象。</w:t>
            </w:r>
          </w:p>
          <w:p w14:paraId="41AE45B4">
            <w:pPr>
              <w:widowControl w:val="0"/>
              <w:numPr>
                <w:ilvl w:val="0"/>
                <w:numId w:val="9"/>
              </w:numPr>
              <w:ind w:left="425" w:leftChars="0" w:hanging="425" w:firstLineChars="0"/>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书写侧板无按键</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需支持板书记忆功能，板面</w:t>
            </w:r>
            <w:r>
              <w:rPr>
                <w:rFonts w:hint="eastAsia" w:ascii="宋体" w:hAnsi="宋体" w:eastAsia="宋体" w:cs="宋体"/>
                <w:color w:val="auto"/>
                <w:sz w:val="24"/>
                <w:szCs w:val="24"/>
                <w:highlight w:val="none"/>
                <w:vertAlign w:val="baseline"/>
                <w:lang w:val="en-US" w:eastAsia="zh-CN"/>
              </w:rPr>
              <w:t>需</w:t>
            </w:r>
            <w:r>
              <w:rPr>
                <w:rFonts w:hint="eastAsia" w:ascii="宋体" w:hAnsi="宋体" w:eastAsia="宋体" w:cs="宋体"/>
                <w:color w:val="auto"/>
                <w:sz w:val="24"/>
                <w:szCs w:val="24"/>
                <w:highlight w:val="none"/>
                <w:vertAlign w:val="baseline"/>
              </w:rPr>
              <w:t>支持各类书写笔，</w:t>
            </w:r>
            <w:r>
              <w:rPr>
                <w:rFonts w:hint="eastAsia" w:ascii="宋体" w:hAnsi="宋体" w:eastAsia="宋体" w:cs="宋体"/>
                <w:color w:val="auto"/>
                <w:sz w:val="24"/>
                <w:szCs w:val="24"/>
                <w:highlight w:val="none"/>
                <w:vertAlign w:val="baseline"/>
                <w:lang w:val="en-US" w:eastAsia="zh-CN"/>
              </w:rPr>
              <w:t>需</w:t>
            </w:r>
            <w:r>
              <w:rPr>
                <w:rFonts w:hint="eastAsia" w:ascii="宋体" w:hAnsi="宋体" w:eastAsia="宋体" w:cs="宋体"/>
                <w:color w:val="auto"/>
                <w:sz w:val="24"/>
                <w:szCs w:val="24"/>
                <w:highlight w:val="none"/>
                <w:vertAlign w:val="baseline"/>
              </w:rPr>
              <w:t>将侧板上的板书实时同步至黑板主屏显示，</w:t>
            </w:r>
            <w:r>
              <w:rPr>
                <w:rFonts w:hint="eastAsia" w:ascii="宋体" w:hAnsi="宋体" w:eastAsia="宋体" w:cs="宋体"/>
                <w:color w:val="auto"/>
                <w:sz w:val="24"/>
                <w:szCs w:val="24"/>
                <w:highlight w:val="none"/>
                <w:vertAlign w:val="baseline"/>
                <w:lang w:val="en-US" w:eastAsia="zh-CN"/>
              </w:rPr>
              <w:t>需</w:t>
            </w:r>
            <w:r>
              <w:rPr>
                <w:rFonts w:hint="eastAsia" w:ascii="宋体" w:hAnsi="宋体" w:eastAsia="宋体" w:cs="宋体"/>
                <w:color w:val="auto"/>
                <w:sz w:val="24"/>
                <w:szCs w:val="24"/>
                <w:highlight w:val="none"/>
                <w:vertAlign w:val="baseline"/>
              </w:rPr>
              <w:t>直接保存至本地，并进行二维码分享。</w:t>
            </w:r>
          </w:p>
          <w:p w14:paraId="40357AC1">
            <w:pPr>
              <w:widowControl w:val="0"/>
              <w:numPr>
                <w:ilvl w:val="0"/>
                <w:numId w:val="9"/>
              </w:numPr>
              <w:ind w:left="425" w:leftChars="0" w:hanging="425" w:firstLineChars="0"/>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书写侧板</w:t>
            </w:r>
            <w:r>
              <w:rPr>
                <w:rFonts w:hint="eastAsia" w:ascii="宋体" w:hAnsi="宋体" w:eastAsia="宋体" w:cs="宋体"/>
                <w:color w:val="auto"/>
                <w:sz w:val="24"/>
                <w:szCs w:val="24"/>
                <w:highlight w:val="none"/>
                <w:vertAlign w:val="baseline"/>
                <w:lang w:val="en-US" w:eastAsia="zh-CN"/>
              </w:rPr>
              <w:t>能</w:t>
            </w:r>
            <w:r>
              <w:rPr>
                <w:rFonts w:hint="eastAsia" w:ascii="宋体" w:hAnsi="宋体" w:eastAsia="宋体" w:cs="宋体"/>
                <w:color w:val="auto"/>
                <w:sz w:val="24"/>
                <w:szCs w:val="24"/>
                <w:highlight w:val="none"/>
                <w:vertAlign w:val="baseline"/>
              </w:rPr>
              <w:t>智能</w:t>
            </w:r>
            <w:r>
              <w:rPr>
                <w:rFonts w:hint="eastAsia" w:ascii="宋体" w:hAnsi="宋体" w:eastAsia="宋体" w:cs="宋体"/>
                <w:color w:val="auto"/>
                <w:sz w:val="24"/>
                <w:szCs w:val="24"/>
                <w:highlight w:val="none"/>
                <w:vertAlign w:val="baseline"/>
                <w:lang w:val="en-US" w:eastAsia="zh-CN"/>
              </w:rPr>
              <w:t>感应</w:t>
            </w:r>
            <w:r>
              <w:rPr>
                <w:rFonts w:hint="eastAsia" w:ascii="宋体" w:hAnsi="宋体" w:eastAsia="宋体" w:cs="宋体"/>
                <w:color w:val="auto"/>
                <w:sz w:val="24"/>
                <w:szCs w:val="24"/>
                <w:highlight w:val="none"/>
                <w:vertAlign w:val="baseline"/>
              </w:rPr>
              <w:t>指关节与粉笔对板面的操作，指关节敲击书写板面</w:t>
            </w:r>
            <w:r>
              <w:rPr>
                <w:rFonts w:hint="eastAsia" w:ascii="宋体" w:hAnsi="宋体" w:eastAsia="宋体" w:cs="宋体"/>
                <w:color w:val="auto"/>
                <w:sz w:val="24"/>
                <w:szCs w:val="24"/>
                <w:highlight w:val="none"/>
                <w:vertAlign w:val="baseline"/>
                <w:lang w:val="en-US" w:eastAsia="zh-CN"/>
              </w:rPr>
              <w:t>能</w:t>
            </w:r>
            <w:r>
              <w:rPr>
                <w:rFonts w:hint="eastAsia" w:ascii="宋体" w:hAnsi="宋体" w:eastAsia="宋体" w:cs="宋体"/>
                <w:color w:val="auto"/>
                <w:sz w:val="24"/>
                <w:szCs w:val="24"/>
                <w:highlight w:val="none"/>
                <w:vertAlign w:val="baseline"/>
              </w:rPr>
              <w:t>快速启动板书记忆</w:t>
            </w:r>
            <w:r>
              <w:rPr>
                <w:rFonts w:hint="eastAsia" w:ascii="宋体" w:hAnsi="宋体" w:eastAsia="宋体" w:cs="宋体"/>
                <w:color w:val="auto"/>
                <w:sz w:val="24"/>
                <w:szCs w:val="24"/>
                <w:highlight w:val="none"/>
                <w:vertAlign w:val="baseline"/>
                <w:lang w:val="en-US" w:eastAsia="zh-CN"/>
              </w:rPr>
              <w:t>功能</w:t>
            </w:r>
            <w:r>
              <w:rPr>
                <w:rFonts w:hint="eastAsia" w:ascii="宋体" w:hAnsi="宋体" w:eastAsia="宋体" w:cs="宋体"/>
                <w:color w:val="auto"/>
                <w:sz w:val="24"/>
                <w:szCs w:val="24"/>
                <w:highlight w:val="none"/>
                <w:vertAlign w:val="baseline"/>
              </w:rPr>
              <w:t>。</w:t>
            </w:r>
          </w:p>
          <w:p w14:paraId="4B1C4BBC">
            <w:pPr>
              <w:widowControl w:val="0"/>
              <w:numPr>
                <w:ilvl w:val="0"/>
                <w:numId w:val="9"/>
              </w:numPr>
              <w:ind w:left="425" w:leftChars="0" w:hanging="425" w:firstLineChars="0"/>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书写侧板与显示触摸屏为同品牌一体化设计，板书面积最大化，</w:t>
            </w:r>
            <w:r>
              <w:rPr>
                <w:rFonts w:hint="eastAsia" w:ascii="宋体" w:hAnsi="宋体" w:eastAsia="宋体" w:cs="宋体"/>
                <w:color w:val="auto"/>
                <w:sz w:val="24"/>
                <w:szCs w:val="24"/>
                <w:highlight w:val="none"/>
                <w:vertAlign w:val="baseline"/>
              </w:rPr>
              <w:t>整体</w:t>
            </w:r>
            <w:r>
              <w:rPr>
                <w:rFonts w:hint="eastAsia" w:ascii="宋体" w:hAnsi="宋体" w:eastAsia="宋体" w:cs="宋体"/>
                <w:color w:val="auto"/>
                <w:sz w:val="24"/>
                <w:szCs w:val="24"/>
                <w:highlight w:val="none"/>
                <w:vertAlign w:val="baseline"/>
                <w:lang w:val="en-US" w:eastAsia="zh-CN"/>
              </w:rPr>
              <w:t>为三拼接，长</w:t>
            </w:r>
            <w:r>
              <w:rPr>
                <w:rFonts w:hint="eastAsia" w:ascii="宋体" w:hAnsi="宋体" w:eastAsia="宋体" w:cs="宋体"/>
                <w:color w:val="auto"/>
                <w:sz w:val="24"/>
                <w:szCs w:val="24"/>
                <w:highlight w:val="none"/>
                <w:vertAlign w:val="baseline"/>
              </w:rPr>
              <w:t>度不小于4</w:t>
            </w:r>
            <w:r>
              <w:rPr>
                <w:rFonts w:hint="eastAsia" w:cs="宋体"/>
                <w:color w:val="auto"/>
                <w:sz w:val="24"/>
                <w:szCs w:val="24"/>
                <w:highlight w:val="none"/>
                <w:vertAlign w:val="baseline"/>
                <w:lang w:val="en-US" w:eastAsia="zh-CN"/>
              </w:rPr>
              <w:t>2</w:t>
            </w:r>
            <w:r>
              <w:rPr>
                <w:rFonts w:hint="eastAsia" w:ascii="宋体" w:hAnsi="宋体" w:eastAsia="宋体" w:cs="宋体"/>
                <w:color w:val="auto"/>
                <w:sz w:val="24"/>
                <w:szCs w:val="24"/>
                <w:highlight w:val="none"/>
                <w:vertAlign w:val="baseline"/>
              </w:rPr>
              <w:t>00mm。</w:t>
            </w:r>
          </w:p>
          <w:p w14:paraId="1A2F7865">
            <w:pPr>
              <w:widowControl w:val="0"/>
              <w:numPr>
                <w:ilvl w:val="0"/>
                <w:numId w:val="0"/>
              </w:numPr>
              <w:ind w:lef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I.内置电脑配置要求</w:t>
            </w:r>
          </w:p>
          <w:p w14:paraId="7F3C2F3A">
            <w:pPr>
              <w:widowControl w:val="0"/>
              <w:numPr>
                <w:ilvl w:val="0"/>
                <w:numId w:val="10"/>
              </w:numPr>
              <w:ind w:left="425" w:leftChars="0" w:hanging="425" w:firstLine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整机需易于维护，满足80pin通用标准接口，卡扣设计。</w:t>
            </w:r>
          </w:p>
          <w:p w14:paraId="76E094B0">
            <w:pPr>
              <w:widowControl w:val="0"/>
              <w:numPr>
                <w:ilvl w:val="0"/>
                <w:numId w:val="10"/>
              </w:numPr>
              <w:ind w:left="425" w:leftChars="0" w:hanging="425" w:firstLine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芯片采用不低于第12代及以上平台I5处理器，8核12线程，内存不低于16G DDR4，硬盘不低于512G SSD固态。内置电脑具备独立复位按键。</w:t>
            </w:r>
          </w:p>
          <w:p w14:paraId="339A1EB3">
            <w:pPr>
              <w:widowControl w:val="0"/>
              <w:numPr>
                <w:ilvl w:val="0"/>
                <w:numId w:val="10"/>
              </w:numPr>
              <w:ind w:left="425" w:leftChars="0" w:hanging="425" w:firstLineChars="0"/>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整机非外扩展接口，不少于六个USB接口；输出接口不少于1路HDMI、1路3.5mm圆孔接口、2路LED状态指示灯、1路line out、1路RJ45。</w:t>
            </w:r>
          </w:p>
          <w:p w14:paraId="4004E116">
            <w:pPr>
              <w:widowControl w:val="0"/>
              <w:numPr>
                <w:ilvl w:val="0"/>
                <w:numId w:val="10"/>
              </w:numPr>
              <w:ind w:left="425" w:leftChars="0" w:hanging="425" w:firstLineChars="0"/>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支持对接各类通用的开放式人工智能大模型应用，用以辅助和优化教师备授课等人机交互和教学管理等工作。</w:t>
            </w:r>
          </w:p>
          <w:p w14:paraId="3E3999A2">
            <w:pPr>
              <w:widowControl w:val="0"/>
              <w:numPr>
                <w:ilvl w:val="0"/>
                <w:numId w:val="0"/>
              </w:numPr>
              <w:ind w:leftChars="0"/>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J.教学软件功能要求</w:t>
            </w:r>
          </w:p>
          <w:p w14:paraId="6957EEC6">
            <w:pPr>
              <w:widowControl w:val="0"/>
              <w:ind w:left="0" w:leftChars="0" w:firstLine="0" w:firstLineChars="0"/>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备课模式</w:t>
            </w:r>
          </w:p>
          <w:p w14:paraId="79F8AC26">
            <w:pPr>
              <w:widowControl w:val="0"/>
              <w:numPr>
                <w:ilvl w:val="0"/>
                <w:numId w:val="11"/>
              </w:numPr>
              <w:ind w:left="425" w:leftChars="0" w:hanging="425" w:firstLineChars="0"/>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教师</w:t>
            </w:r>
            <w:r>
              <w:rPr>
                <w:rFonts w:hint="eastAsia" w:ascii="宋体" w:hAnsi="宋体" w:eastAsia="宋体" w:cs="宋体"/>
                <w:color w:val="auto"/>
                <w:sz w:val="24"/>
                <w:szCs w:val="24"/>
                <w:highlight w:val="none"/>
                <w:vertAlign w:val="baseline"/>
              </w:rPr>
              <w:t>个人账号无需完成特定任务，即可获取不少于200GB云端存储空间，可扩展至3TB</w:t>
            </w:r>
            <w:r>
              <w:rPr>
                <w:rFonts w:hint="eastAsia" w:ascii="宋体" w:hAnsi="宋体" w:eastAsia="宋体" w:cs="宋体"/>
                <w:color w:val="auto"/>
                <w:sz w:val="24"/>
                <w:szCs w:val="24"/>
                <w:highlight w:val="none"/>
                <w:vertAlign w:val="baseline"/>
                <w:lang w:val="en-US" w:eastAsia="zh-CN"/>
              </w:rPr>
              <w:t>或以上</w:t>
            </w:r>
            <w:r>
              <w:rPr>
                <w:rFonts w:hint="eastAsia" w:ascii="宋体" w:hAnsi="宋体" w:eastAsia="宋体" w:cs="宋体"/>
                <w:color w:val="auto"/>
                <w:sz w:val="24"/>
                <w:szCs w:val="24"/>
                <w:highlight w:val="none"/>
                <w:vertAlign w:val="baseline"/>
              </w:rPr>
              <w:t>云存储空间。</w:t>
            </w:r>
          </w:p>
          <w:p w14:paraId="6A82D3DD">
            <w:pPr>
              <w:widowControl w:val="0"/>
              <w:numPr>
                <w:ilvl w:val="0"/>
                <w:numId w:val="11"/>
              </w:numPr>
              <w:ind w:left="425" w:leftChars="0" w:hanging="425" w:firstLineChars="0"/>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需</w:t>
            </w:r>
            <w:r>
              <w:rPr>
                <w:rFonts w:hint="eastAsia" w:ascii="宋体" w:hAnsi="宋体" w:eastAsia="宋体" w:cs="宋体"/>
                <w:color w:val="auto"/>
                <w:sz w:val="24"/>
                <w:szCs w:val="24"/>
                <w:highlight w:val="none"/>
                <w:vertAlign w:val="baseline"/>
              </w:rPr>
              <w:t>提供预置的课件素材，允许</w:t>
            </w:r>
            <w:r>
              <w:rPr>
                <w:rFonts w:hint="eastAsia" w:ascii="宋体" w:hAnsi="宋体" w:eastAsia="宋体" w:cs="宋体"/>
                <w:color w:val="auto"/>
                <w:sz w:val="24"/>
                <w:szCs w:val="24"/>
                <w:highlight w:val="none"/>
                <w:vertAlign w:val="baseline"/>
                <w:lang w:val="en-US" w:eastAsia="zh-CN"/>
              </w:rPr>
              <w:t>教师</w:t>
            </w:r>
            <w:r>
              <w:rPr>
                <w:rFonts w:hint="eastAsia" w:ascii="宋体" w:hAnsi="宋体" w:eastAsia="宋体" w:cs="宋体"/>
                <w:color w:val="auto"/>
                <w:sz w:val="24"/>
                <w:szCs w:val="24"/>
                <w:highlight w:val="none"/>
                <w:vertAlign w:val="baseline"/>
              </w:rPr>
              <w:t>在网页端、移动端、电脑端进行内容的选择与组合，快速生成课件并浏览，所有制作的课件均实时保存至云端，登录即可查看。</w:t>
            </w:r>
          </w:p>
          <w:p w14:paraId="2358AA6F">
            <w:pPr>
              <w:widowControl w:val="0"/>
              <w:numPr>
                <w:ilvl w:val="0"/>
                <w:numId w:val="11"/>
              </w:numPr>
              <w:ind w:left="425" w:leftChars="0" w:hanging="425" w:firstLineChars="0"/>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需</w:t>
            </w:r>
            <w:r>
              <w:rPr>
                <w:rFonts w:hint="eastAsia" w:ascii="宋体" w:hAnsi="宋体" w:eastAsia="宋体" w:cs="宋体"/>
                <w:color w:val="auto"/>
                <w:sz w:val="24"/>
                <w:szCs w:val="24"/>
                <w:highlight w:val="none"/>
                <w:vertAlign w:val="baseline"/>
              </w:rPr>
              <w:t>支持</w:t>
            </w:r>
            <w:r>
              <w:rPr>
                <w:rFonts w:hint="eastAsia" w:ascii="宋体" w:hAnsi="宋体" w:eastAsia="宋体" w:cs="宋体"/>
                <w:color w:val="auto"/>
                <w:sz w:val="24"/>
                <w:szCs w:val="24"/>
                <w:highlight w:val="none"/>
                <w:vertAlign w:val="baseline"/>
                <w:lang w:val="en-US" w:eastAsia="zh-CN"/>
              </w:rPr>
              <w:t>教师</w:t>
            </w:r>
            <w:r>
              <w:rPr>
                <w:rFonts w:hint="eastAsia" w:ascii="宋体" w:hAnsi="宋体" w:eastAsia="宋体" w:cs="宋体"/>
                <w:color w:val="auto"/>
                <w:sz w:val="24"/>
                <w:szCs w:val="24"/>
                <w:highlight w:val="none"/>
                <w:vertAlign w:val="baseline"/>
              </w:rPr>
              <w:t>根据教材章节目录、知识点选择对应的教学内容。</w:t>
            </w:r>
            <w:r>
              <w:rPr>
                <w:rFonts w:hint="eastAsia" w:ascii="宋体" w:hAnsi="宋体" w:eastAsia="宋体" w:cs="宋体"/>
                <w:color w:val="auto"/>
                <w:sz w:val="24"/>
                <w:szCs w:val="24"/>
                <w:highlight w:val="none"/>
                <w:vertAlign w:val="baseline"/>
                <w:lang w:val="en-US" w:eastAsia="zh-CN"/>
              </w:rPr>
              <w:t>教师</w:t>
            </w:r>
            <w:r>
              <w:rPr>
                <w:rFonts w:hint="eastAsia" w:ascii="宋体" w:hAnsi="宋体" w:eastAsia="宋体" w:cs="宋体"/>
                <w:color w:val="auto"/>
                <w:sz w:val="24"/>
                <w:szCs w:val="24"/>
                <w:highlight w:val="none"/>
                <w:vertAlign w:val="baseline"/>
              </w:rPr>
              <w:t>仅需要按每个教学环节选择所需的教学模块即可快速生成一份课件。每个课时均提供过量的教学内容模块，满足</w:t>
            </w:r>
            <w:r>
              <w:rPr>
                <w:rFonts w:hint="eastAsia" w:ascii="宋体" w:hAnsi="宋体" w:eastAsia="宋体" w:cs="宋体"/>
                <w:color w:val="auto"/>
                <w:sz w:val="24"/>
                <w:szCs w:val="24"/>
                <w:highlight w:val="none"/>
                <w:vertAlign w:val="baseline"/>
                <w:lang w:val="en-US" w:eastAsia="zh-CN"/>
              </w:rPr>
              <w:t>教师</w:t>
            </w:r>
            <w:r>
              <w:rPr>
                <w:rFonts w:hint="eastAsia" w:ascii="宋体" w:hAnsi="宋体" w:eastAsia="宋体" w:cs="宋体"/>
                <w:color w:val="auto"/>
                <w:sz w:val="24"/>
                <w:szCs w:val="24"/>
                <w:highlight w:val="none"/>
                <w:vertAlign w:val="baseline"/>
              </w:rPr>
              <w:t>的个性化需求。</w:t>
            </w:r>
          </w:p>
          <w:p w14:paraId="797BEA2B">
            <w:pPr>
              <w:widowControl w:val="0"/>
              <w:numPr>
                <w:ilvl w:val="0"/>
                <w:numId w:val="11"/>
              </w:numPr>
              <w:ind w:left="425" w:leftChars="0" w:hanging="425" w:firstLineChars="0"/>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需</w:t>
            </w:r>
            <w:r>
              <w:rPr>
                <w:rFonts w:hint="eastAsia" w:ascii="宋体" w:hAnsi="宋体" w:eastAsia="宋体" w:cs="宋体"/>
                <w:color w:val="auto"/>
                <w:sz w:val="24"/>
                <w:szCs w:val="24"/>
                <w:highlight w:val="none"/>
                <w:vertAlign w:val="baseline"/>
              </w:rPr>
              <w:t>提供模块化的课件素材和教案，课件支持组选：课堂导入，知识讲解，例题与变式，拓展延伸，课外活动等。</w:t>
            </w:r>
          </w:p>
          <w:p w14:paraId="019C74FF">
            <w:pPr>
              <w:widowControl w:val="0"/>
              <w:numPr>
                <w:ilvl w:val="0"/>
                <w:numId w:val="11"/>
              </w:numPr>
              <w:ind w:left="425" w:leftChars="0" w:hanging="425" w:firstLineChars="0"/>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需</w:t>
            </w:r>
            <w:r>
              <w:rPr>
                <w:rFonts w:hint="eastAsia" w:ascii="宋体" w:hAnsi="宋体" w:eastAsia="宋体" w:cs="宋体"/>
                <w:color w:val="auto"/>
                <w:sz w:val="24"/>
                <w:szCs w:val="24"/>
                <w:highlight w:val="none"/>
                <w:vertAlign w:val="baseline"/>
              </w:rPr>
              <w:t>支持插入音频，对音频的剪辑，可拖动或输入音频的开始和结束位置。插入表格，表格支持设置行列数，在表格上可以进行行列的添加、删除、合并和拆分，可编辑文字格式和表格格式。插入思维导图，包括逻辑图、鱼骨图和组织结构图，思维导图可添加同级节点、下级节点、上级节点，可编辑文字格式和思维导图格式。</w:t>
            </w:r>
          </w:p>
          <w:p w14:paraId="07993E5D">
            <w:pPr>
              <w:widowControl w:val="0"/>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授课模式</w:t>
            </w:r>
          </w:p>
          <w:p w14:paraId="1F53BD79">
            <w:pPr>
              <w:widowControl w:val="0"/>
              <w:numPr>
                <w:ilvl w:val="0"/>
                <w:numId w:val="12"/>
              </w:numPr>
              <w:ind w:left="425" w:leftChars="0" w:hanging="425" w:firstLineChars="0"/>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需</w:t>
            </w:r>
            <w:r>
              <w:rPr>
                <w:rFonts w:hint="eastAsia" w:ascii="宋体" w:hAnsi="宋体" w:eastAsia="宋体" w:cs="宋体"/>
                <w:color w:val="auto"/>
                <w:sz w:val="24"/>
                <w:szCs w:val="24"/>
                <w:highlight w:val="none"/>
                <w:vertAlign w:val="baseline"/>
              </w:rPr>
              <w:t>支持显示文件、工具和应用的便捷入口，当开始批注且有笔迹时，自动隐藏便捷入口，清除笔迹时，自动恢复显示便捷入口。</w:t>
            </w:r>
          </w:p>
          <w:p w14:paraId="7AE4D631">
            <w:pPr>
              <w:widowControl w:val="0"/>
              <w:numPr>
                <w:ilvl w:val="0"/>
                <w:numId w:val="12"/>
              </w:numPr>
              <w:ind w:left="425" w:leftChars="0" w:hanging="425" w:firstLineChars="0"/>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需</w:t>
            </w:r>
            <w:r>
              <w:rPr>
                <w:rFonts w:hint="eastAsia" w:ascii="宋体" w:hAnsi="宋体" w:eastAsia="宋体" w:cs="宋体"/>
                <w:color w:val="auto"/>
                <w:sz w:val="24"/>
                <w:szCs w:val="24"/>
                <w:highlight w:val="none"/>
                <w:vertAlign w:val="baseline"/>
              </w:rPr>
              <w:t>支持</w:t>
            </w:r>
            <w:r>
              <w:rPr>
                <w:rFonts w:hint="eastAsia" w:ascii="宋体" w:hAnsi="宋体" w:eastAsia="宋体" w:cs="宋体"/>
                <w:color w:val="auto"/>
                <w:sz w:val="24"/>
                <w:szCs w:val="24"/>
                <w:highlight w:val="none"/>
                <w:vertAlign w:val="baseline"/>
                <w:lang w:val="en-US" w:eastAsia="zh-CN"/>
              </w:rPr>
              <w:t>多种</w:t>
            </w:r>
            <w:r>
              <w:rPr>
                <w:rFonts w:hint="eastAsia" w:ascii="宋体" w:hAnsi="宋体" w:eastAsia="宋体" w:cs="宋体"/>
                <w:color w:val="auto"/>
                <w:sz w:val="24"/>
                <w:szCs w:val="24"/>
                <w:highlight w:val="none"/>
                <w:vertAlign w:val="baseline"/>
              </w:rPr>
              <w:t>教辅工具，包含截图、时钟、放大镜、聚光灯、黑屏、随机数、骰子和大转盘</w:t>
            </w:r>
            <w:r>
              <w:rPr>
                <w:rFonts w:hint="eastAsia" w:ascii="宋体" w:hAnsi="宋体" w:eastAsia="宋体" w:cs="宋体"/>
                <w:color w:val="auto"/>
                <w:sz w:val="24"/>
                <w:szCs w:val="24"/>
                <w:highlight w:val="none"/>
                <w:vertAlign w:val="baseline"/>
                <w:lang w:val="en-US" w:eastAsia="zh-CN"/>
              </w:rPr>
              <w:t>等</w:t>
            </w:r>
            <w:r>
              <w:rPr>
                <w:rFonts w:hint="eastAsia" w:ascii="宋体" w:hAnsi="宋体" w:eastAsia="宋体" w:cs="宋体"/>
                <w:color w:val="auto"/>
                <w:sz w:val="24"/>
                <w:szCs w:val="24"/>
                <w:highlight w:val="none"/>
                <w:vertAlign w:val="baseline"/>
              </w:rPr>
              <w:t>。</w:t>
            </w:r>
          </w:p>
          <w:p w14:paraId="089CDFD9">
            <w:pPr>
              <w:widowControl w:val="0"/>
              <w:numPr>
                <w:ilvl w:val="0"/>
                <w:numId w:val="12"/>
              </w:numPr>
              <w:ind w:left="425" w:leftChars="0" w:hanging="425" w:firstLineChars="0"/>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需</w:t>
            </w:r>
            <w:r>
              <w:rPr>
                <w:rFonts w:hint="eastAsia" w:ascii="宋体" w:hAnsi="宋体" w:eastAsia="宋体" w:cs="宋体"/>
                <w:color w:val="auto"/>
                <w:sz w:val="24"/>
                <w:szCs w:val="24"/>
                <w:highlight w:val="none"/>
                <w:vertAlign w:val="baseline"/>
              </w:rPr>
              <w:t>支持打开本机文件、U盘文件等本地文件；不需导入，可直接打开本地视频、音频、图片、离线教学课件、PPT</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PPTX、PDF文件、DOC</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DOCX文件及swf文件</w:t>
            </w:r>
            <w:r>
              <w:rPr>
                <w:rFonts w:hint="eastAsia" w:ascii="宋体" w:hAnsi="宋体" w:eastAsia="宋体" w:cs="宋体"/>
                <w:color w:val="auto"/>
                <w:sz w:val="24"/>
                <w:szCs w:val="24"/>
                <w:highlight w:val="none"/>
                <w:vertAlign w:val="baseline"/>
                <w:lang w:val="en-US" w:eastAsia="zh-CN"/>
              </w:rPr>
              <w:t>等</w:t>
            </w:r>
            <w:r>
              <w:rPr>
                <w:rFonts w:hint="eastAsia" w:ascii="宋体" w:hAnsi="宋体" w:eastAsia="宋体" w:cs="宋体"/>
                <w:color w:val="auto"/>
                <w:sz w:val="24"/>
                <w:szCs w:val="24"/>
                <w:highlight w:val="none"/>
                <w:vertAlign w:val="baseline"/>
              </w:rPr>
              <w:t>；</w:t>
            </w:r>
            <w:r>
              <w:rPr>
                <w:rFonts w:hint="eastAsia" w:ascii="宋体" w:hAnsi="宋体" w:eastAsia="宋体" w:cs="宋体"/>
                <w:color w:val="auto"/>
                <w:sz w:val="24"/>
                <w:szCs w:val="24"/>
                <w:highlight w:val="none"/>
                <w:vertAlign w:val="baseline"/>
                <w:lang w:val="en-US" w:eastAsia="zh-CN"/>
              </w:rPr>
              <w:t>需</w:t>
            </w:r>
            <w:r>
              <w:rPr>
                <w:rFonts w:hint="eastAsia" w:ascii="宋体" w:hAnsi="宋体" w:eastAsia="宋体" w:cs="宋体"/>
                <w:color w:val="auto"/>
                <w:sz w:val="24"/>
                <w:szCs w:val="24"/>
                <w:highlight w:val="none"/>
                <w:vertAlign w:val="baseline"/>
              </w:rPr>
              <w:t>支持</w:t>
            </w:r>
            <w:r>
              <w:rPr>
                <w:rFonts w:hint="eastAsia" w:ascii="宋体" w:hAnsi="宋体" w:eastAsia="宋体" w:cs="宋体"/>
                <w:color w:val="auto"/>
                <w:sz w:val="24"/>
                <w:szCs w:val="24"/>
                <w:highlight w:val="none"/>
                <w:vertAlign w:val="baseline"/>
                <w:lang w:val="en-US" w:eastAsia="zh-CN"/>
              </w:rPr>
              <w:t>多</w:t>
            </w:r>
            <w:r>
              <w:rPr>
                <w:rFonts w:hint="eastAsia" w:ascii="宋体" w:hAnsi="宋体" w:eastAsia="宋体" w:cs="宋体"/>
                <w:color w:val="auto"/>
                <w:sz w:val="24"/>
                <w:szCs w:val="24"/>
                <w:highlight w:val="none"/>
                <w:vertAlign w:val="baseline"/>
              </w:rPr>
              <w:t>个文件窗口同屏播放显示，满足多素材授课需求。支持批注的文件类型包含PPT</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PPTX、图片、PDF、DOC</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DOCX。</w:t>
            </w:r>
          </w:p>
          <w:p w14:paraId="02DDD8F5">
            <w:pPr>
              <w:widowControl w:val="0"/>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录课助手</w:t>
            </w:r>
          </w:p>
          <w:p w14:paraId="1CFC2BCC">
            <w:pPr>
              <w:widowControl w:val="0"/>
              <w:numPr>
                <w:ilvl w:val="0"/>
                <w:numId w:val="13"/>
              </w:numPr>
              <w:ind w:left="425" w:leftChars="0" w:hanging="425" w:firstLineChars="0"/>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需</w:t>
            </w:r>
            <w:r>
              <w:rPr>
                <w:rFonts w:hint="eastAsia" w:ascii="宋体" w:hAnsi="宋体" w:eastAsia="宋体" w:cs="宋体"/>
                <w:color w:val="auto"/>
                <w:sz w:val="24"/>
                <w:szCs w:val="24"/>
                <w:highlight w:val="none"/>
                <w:vertAlign w:val="baseline"/>
              </w:rPr>
              <w:t>支持屏幕、屏幕+摄像头等多种形式的录制，也可结合录播系统进行全景录制。</w:t>
            </w:r>
            <w:r>
              <w:rPr>
                <w:rFonts w:hint="eastAsia" w:ascii="宋体" w:hAnsi="宋体" w:eastAsia="宋体" w:cs="宋体"/>
                <w:color w:val="auto"/>
                <w:sz w:val="24"/>
                <w:szCs w:val="24"/>
                <w:highlight w:val="none"/>
                <w:vertAlign w:val="baseline"/>
                <w:lang w:val="en-US" w:eastAsia="zh-CN"/>
              </w:rPr>
              <w:t>需</w:t>
            </w:r>
            <w:r>
              <w:rPr>
                <w:rFonts w:hint="eastAsia" w:ascii="宋体" w:hAnsi="宋体" w:eastAsia="宋体" w:cs="宋体"/>
                <w:color w:val="auto"/>
                <w:sz w:val="24"/>
                <w:szCs w:val="24"/>
                <w:highlight w:val="none"/>
                <w:vertAlign w:val="baseline"/>
              </w:rPr>
              <w:t>支持对视频清晰度的调整，提供高清、超清、超高清的切换，方便在手机、电脑或者大屏上观看。</w:t>
            </w:r>
          </w:p>
          <w:p w14:paraId="1B4FC440">
            <w:pPr>
              <w:widowControl w:val="0"/>
              <w:numPr>
                <w:ilvl w:val="0"/>
                <w:numId w:val="13"/>
              </w:numPr>
              <w:ind w:left="425" w:leftChars="0" w:hanging="425" w:firstLineChars="0"/>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需支持</w:t>
            </w:r>
            <w:r>
              <w:rPr>
                <w:rFonts w:hint="eastAsia" w:ascii="宋体" w:hAnsi="宋体" w:eastAsia="宋体" w:cs="宋体"/>
                <w:color w:val="auto"/>
                <w:sz w:val="24"/>
                <w:szCs w:val="24"/>
                <w:highlight w:val="none"/>
                <w:vertAlign w:val="baseline"/>
              </w:rPr>
              <w:t>快速录制，可移动，</w:t>
            </w:r>
            <w:r>
              <w:rPr>
                <w:rFonts w:hint="eastAsia" w:ascii="宋体" w:hAnsi="宋体" w:eastAsia="宋体" w:cs="宋体"/>
                <w:color w:val="auto"/>
                <w:sz w:val="24"/>
                <w:szCs w:val="24"/>
                <w:highlight w:val="none"/>
                <w:vertAlign w:val="baseline"/>
                <w:lang w:val="en-US" w:eastAsia="zh-CN"/>
              </w:rPr>
              <w:t>三秒</w:t>
            </w:r>
            <w:r>
              <w:rPr>
                <w:rFonts w:hint="eastAsia" w:ascii="宋体" w:hAnsi="宋体" w:eastAsia="宋体" w:cs="宋体"/>
                <w:color w:val="auto"/>
                <w:sz w:val="24"/>
                <w:szCs w:val="24"/>
                <w:highlight w:val="none"/>
                <w:vertAlign w:val="baseline"/>
              </w:rPr>
              <w:t>无操作即变为半透明；可实时查看录制进度，进行暂停、 开始、结束操作。</w:t>
            </w:r>
          </w:p>
          <w:p w14:paraId="0779752B">
            <w:pPr>
              <w:widowControl w:val="0"/>
              <w:numPr>
                <w:ilvl w:val="0"/>
                <w:numId w:val="13"/>
              </w:numPr>
              <w:ind w:left="425" w:leftChars="0" w:hanging="425" w:firstLineChars="0"/>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需</w:t>
            </w:r>
            <w:r>
              <w:rPr>
                <w:rFonts w:hint="eastAsia" w:ascii="宋体" w:hAnsi="宋体" w:eastAsia="宋体" w:cs="宋体"/>
                <w:color w:val="auto"/>
                <w:sz w:val="24"/>
                <w:szCs w:val="24"/>
                <w:highlight w:val="none"/>
                <w:vertAlign w:val="baseline"/>
              </w:rPr>
              <w:t>支持随时开启分享功能，实现即时直播，听课端无需下载软件，扫描二维码即可进入直播课堂并进行互动。开通直播后生成直播海报、直播码，易于分享，多人观看无压力，且支持手机端、PC端观看直播，可实现课堂实时评论。</w:t>
            </w:r>
          </w:p>
          <w:p w14:paraId="1F486680">
            <w:pPr>
              <w:widowControl w:val="0"/>
              <w:numPr>
                <w:ilvl w:val="0"/>
                <w:numId w:val="13"/>
              </w:numPr>
              <w:ind w:left="425" w:leftChars="0" w:hanging="425" w:firstLineChars="0"/>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在桌面及摄像头录制场景下，能自动侦测摄像头，可识别出展台摄像头，同时支持摄像头 画面的切换、移动及大小的调整。录制视频可自动保存在本地，也可上传至云端教师空间，结束录制即生成回看视频，可快速浏览录制情况。</w:t>
            </w:r>
          </w:p>
          <w:p w14:paraId="6D869E6F">
            <w:pPr>
              <w:widowControl w:val="0"/>
              <w:numPr>
                <w:ilvl w:val="0"/>
                <w:numId w:val="13"/>
              </w:numPr>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vertAlign w:val="baseline"/>
              </w:rPr>
              <w:t>录制列表支持按时间查找所有已录制视频并可查看录制详情，包括录制日期、文件大小、 上传状态，同时可扫码回看所有已上传视频。录制视频支持点播、分享、编辑等功能，也可将视频共享到学校空间，方便校本资源的建设和管理。</w:t>
            </w:r>
          </w:p>
        </w:tc>
        <w:tc>
          <w:tcPr>
            <w:tcW w:w="547" w:type="dxa"/>
            <w:noWrap w:val="0"/>
            <w:vAlign w:val="center"/>
          </w:tcPr>
          <w:p w14:paraId="7753DEF2">
            <w:pPr>
              <w:widowControl w:val="0"/>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vertAlign w:val="baseline"/>
                <w:lang w:val="en-US" w:eastAsia="zh-CN"/>
              </w:rPr>
              <w:t>套</w:t>
            </w:r>
          </w:p>
        </w:tc>
        <w:tc>
          <w:tcPr>
            <w:tcW w:w="539" w:type="dxa"/>
            <w:noWrap w:val="0"/>
            <w:vAlign w:val="center"/>
          </w:tcPr>
          <w:p w14:paraId="074CB155">
            <w:pPr>
              <w:widowControl w:val="0"/>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vertAlign w:val="baseline"/>
                <w:lang w:val="en-US" w:eastAsia="zh-CN"/>
              </w:rPr>
              <w:t>30</w:t>
            </w:r>
          </w:p>
        </w:tc>
      </w:tr>
      <w:tr w14:paraId="4EE3D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2" w:hRule="atLeast"/>
        </w:trPr>
        <w:tc>
          <w:tcPr>
            <w:tcW w:w="520" w:type="dxa"/>
            <w:noWrap w:val="0"/>
            <w:vAlign w:val="center"/>
          </w:tcPr>
          <w:p w14:paraId="1CE085B8">
            <w:pPr>
              <w:widowControl w:val="0"/>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vertAlign w:val="baseline"/>
                <w:lang w:val="en-US" w:eastAsia="zh-CN"/>
              </w:rPr>
              <w:t>2</w:t>
            </w:r>
          </w:p>
        </w:tc>
        <w:tc>
          <w:tcPr>
            <w:tcW w:w="1023" w:type="dxa"/>
            <w:noWrap w:val="0"/>
            <w:vAlign w:val="center"/>
          </w:tcPr>
          <w:p w14:paraId="09F23C42">
            <w:pPr>
              <w:widowControl w:val="0"/>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vertAlign w:val="baseline"/>
                <w:lang w:val="en-US" w:eastAsia="zh-CN"/>
              </w:rPr>
              <w:t>中小学德育平台</w:t>
            </w:r>
          </w:p>
        </w:tc>
        <w:tc>
          <w:tcPr>
            <w:tcW w:w="6171" w:type="dxa"/>
            <w:noWrap w:val="0"/>
            <w:vAlign w:val="top"/>
          </w:tcPr>
          <w:p w14:paraId="322F55D0">
            <w:pPr>
              <w:widowControl w:val="0"/>
              <w:numPr>
                <w:ilvl w:val="0"/>
                <w:numId w:val="14"/>
              </w:numPr>
              <w:ind w:left="425" w:leftChars="0" w:hanging="425" w:firstLine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系统资源符合国家《中小学德育工作指南》的总体和学段目标要求，系统内容栏目至少包括党史学习、 德育视频、学科参考、班主任工作、德育示范校、活动专区、实践基地等主架构栏目。其中德育视频中的精品资源至少包括理想信念教育、社会主义核心价值观教育、中华优秀传统文化教育、生态文明教育和心理健康教育等主题架构。</w:t>
            </w:r>
          </w:p>
          <w:p w14:paraId="4FE23948">
            <w:pPr>
              <w:widowControl w:val="0"/>
              <w:numPr>
                <w:ilvl w:val="0"/>
                <w:numId w:val="14"/>
              </w:numPr>
              <w:ind w:left="425" w:leftChars="0" w:hanging="425" w:firstLine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初装教学资源条目数不少于4000条，总播出时长不少于300小时,其中精品资源不少于1600条。</w:t>
            </w:r>
          </w:p>
          <w:p w14:paraId="5CBF3DD7">
            <w:pPr>
              <w:widowControl w:val="0"/>
              <w:numPr>
                <w:ilvl w:val="0"/>
                <w:numId w:val="14"/>
              </w:numPr>
              <w:ind w:left="425" w:leftChars="0" w:hanging="425" w:firstLine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支持互联网云端及本地化部署双模式，本地化部署时内容可一键升级，无需手动导入。</w:t>
            </w:r>
          </w:p>
          <w:p w14:paraId="5030718E">
            <w:pPr>
              <w:widowControl w:val="0"/>
              <w:numPr>
                <w:ilvl w:val="0"/>
                <w:numId w:val="14"/>
              </w:numPr>
              <w:ind w:left="425" w:leftChars="0" w:hanging="425" w:firstLine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rPr>
              <w:t>★</w:t>
            </w:r>
            <w:r>
              <w:rPr>
                <w:rFonts w:hint="eastAsia" w:ascii="宋体" w:hAnsi="宋体" w:eastAsia="宋体" w:cs="宋体"/>
                <w:color w:val="auto"/>
                <w:sz w:val="24"/>
                <w:szCs w:val="24"/>
                <w:highlight w:val="none"/>
                <w:vertAlign w:val="baseline"/>
                <w:lang w:val="en-US" w:eastAsia="zh-CN"/>
              </w:rPr>
              <w:t>精品资源视频在线播放时不借助第三方编辑工具可方便教师备课时剪切并下载保存于本地。（提供软件功能截图）</w:t>
            </w:r>
          </w:p>
          <w:p w14:paraId="0E17EAE2">
            <w:pPr>
              <w:widowControl w:val="0"/>
              <w:numPr>
                <w:ilvl w:val="0"/>
                <w:numId w:val="14"/>
              </w:numPr>
              <w:ind w:left="425" w:leftChars="0" w:hanging="425" w:firstLine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rPr>
              <w:t>★</w:t>
            </w:r>
            <w:r>
              <w:rPr>
                <w:rFonts w:hint="eastAsia" w:ascii="宋体" w:hAnsi="宋体" w:eastAsia="宋体" w:cs="宋体"/>
                <w:color w:val="auto"/>
                <w:sz w:val="24"/>
                <w:szCs w:val="24"/>
                <w:highlight w:val="none"/>
                <w:vertAlign w:val="baseline"/>
                <w:lang w:val="en-US" w:eastAsia="zh-CN"/>
              </w:rPr>
              <w:t>德育视频栏目包含德育大讲堂和精品资源两个模块，其中精品资源视频，分类清晰准确，视频资源来源渠道规范、权威（需提供标注视频出版社和出版号的页面截图）。</w:t>
            </w:r>
          </w:p>
          <w:p w14:paraId="094E19F5">
            <w:pPr>
              <w:widowControl w:val="0"/>
              <w:numPr>
                <w:ilvl w:val="0"/>
                <w:numId w:val="14"/>
              </w:numPr>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vertAlign w:val="baseline"/>
              </w:rPr>
              <w:t>★</w:t>
            </w:r>
            <w:r>
              <w:rPr>
                <w:rFonts w:hint="eastAsia" w:ascii="宋体" w:hAnsi="宋体" w:eastAsia="宋体" w:cs="宋体"/>
                <w:color w:val="auto"/>
                <w:sz w:val="24"/>
                <w:szCs w:val="24"/>
                <w:highlight w:val="none"/>
                <w:vertAlign w:val="baseline"/>
                <w:lang w:val="en-US" w:eastAsia="zh-CN"/>
              </w:rPr>
              <w:t>系统栏目需包含针对班主任的“班会案例”和“班主任培训”等版块，“班会案例”需包括说课资源、可二次加工的PPT课件和教学设计。“班会案例资源”按五大主题进行分类展示。“班主任培训”资源内容须包含班主任基本素养、班主任工作专题研讨、优秀班会案例三个部分，总课时数不少于50课时。（提供软件功能截图）</w:t>
            </w:r>
          </w:p>
        </w:tc>
        <w:tc>
          <w:tcPr>
            <w:tcW w:w="547" w:type="dxa"/>
            <w:noWrap w:val="0"/>
            <w:vAlign w:val="center"/>
          </w:tcPr>
          <w:p w14:paraId="33F763B8">
            <w:pPr>
              <w:widowControl w:val="0"/>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vertAlign w:val="baseline"/>
                <w:lang w:val="en-US" w:eastAsia="zh-CN"/>
              </w:rPr>
              <w:t>套</w:t>
            </w:r>
          </w:p>
        </w:tc>
        <w:tc>
          <w:tcPr>
            <w:tcW w:w="539" w:type="dxa"/>
            <w:noWrap w:val="0"/>
            <w:vAlign w:val="center"/>
          </w:tcPr>
          <w:p w14:paraId="3024C8B4">
            <w:pPr>
              <w:widowControl w:val="0"/>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vertAlign w:val="baseline"/>
                <w:lang w:val="en-US" w:eastAsia="zh-CN"/>
              </w:rPr>
              <w:t>30</w:t>
            </w:r>
          </w:p>
        </w:tc>
      </w:tr>
      <w:tr w14:paraId="13026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20" w:type="dxa"/>
            <w:noWrap w:val="0"/>
            <w:vAlign w:val="center"/>
          </w:tcPr>
          <w:p w14:paraId="76C94032">
            <w:pPr>
              <w:widowControl w:val="0"/>
              <w:ind w:left="0" w:leftChars="0" w:firstLine="0" w:firstLineChars="0"/>
              <w:jc w:val="both"/>
              <w:rPr>
                <w:rFonts w:hint="eastAsia" w:ascii="宋体" w:hAnsi="宋体" w:eastAsia="宋体" w:cs="宋体"/>
                <w:color w:val="auto"/>
                <w:w w:val="99"/>
                <w:sz w:val="24"/>
                <w:szCs w:val="24"/>
                <w:highlight w:val="none"/>
                <w:lang w:val="en-US" w:eastAsia="zh-CN"/>
              </w:rPr>
            </w:pPr>
            <w:r>
              <w:rPr>
                <w:rFonts w:hint="eastAsia" w:ascii="宋体" w:hAnsi="宋体" w:eastAsia="宋体" w:cs="宋体"/>
                <w:color w:val="auto"/>
                <w:sz w:val="24"/>
                <w:szCs w:val="24"/>
                <w:highlight w:val="none"/>
                <w:vertAlign w:val="baseline"/>
                <w:lang w:val="en-US" w:eastAsia="zh-CN"/>
              </w:rPr>
              <w:t>3</w:t>
            </w:r>
          </w:p>
        </w:tc>
        <w:tc>
          <w:tcPr>
            <w:tcW w:w="1023" w:type="dxa"/>
            <w:noWrap w:val="0"/>
            <w:vAlign w:val="center"/>
          </w:tcPr>
          <w:p w14:paraId="7F2BEB2C">
            <w:pPr>
              <w:widowControl w:val="0"/>
              <w:ind w:left="0" w:leftChars="0" w:firstLine="0" w:firstLine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vertAlign w:val="baseline"/>
                <w:lang w:val="en-US" w:eastAsia="zh-CN"/>
              </w:rPr>
              <w:t>多媒体运维管理软件</w:t>
            </w:r>
          </w:p>
        </w:tc>
        <w:tc>
          <w:tcPr>
            <w:tcW w:w="6171" w:type="dxa"/>
            <w:noWrap w:val="0"/>
            <w:vAlign w:val="top"/>
          </w:tcPr>
          <w:p w14:paraId="41065C41">
            <w:pPr>
              <w:widowControl w:val="0"/>
              <w:numPr>
                <w:ilvl w:val="0"/>
                <w:numId w:val="15"/>
              </w:numPr>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★支持B /S管理架构，可通过移动设备通过网页方式对机房进行远程管理，包括远程开关机、时间同步、系统切换、消息广播等操作；（提供具备CNAS标识的产品功能测试报告</w:t>
            </w:r>
            <w:r>
              <w:rPr>
                <w:rFonts w:hint="eastAsia" w:ascii="宋体" w:hAnsi="宋体" w:eastAsia="宋体" w:cs="宋体"/>
                <w:color w:val="auto"/>
                <w:sz w:val="24"/>
                <w:szCs w:val="24"/>
                <w:highlight w:val="none"/>
                <w:lang w:val="en-US" w:eastAsia="zh-CN"/>
              </w:rPr>
              <w:t>复印件加盖厂家公章</w:t>
            </w:r>
            <w:r>
              <w:rPr>
                <w:rFonts w:hint="eastAsia" w:ascii="宋体" w:hAnsi="宋体" w:eastAsia="宋体" w:cs="宋体"/>
                <w:color w:val="auto"/>
                <w:sz w:val="24"/>
                <w:szCs w:val="24"/>
                <w:highlight w:val="none"/>
              </w:rPr>
              <w:t xml:space="preserve">）   </w:t>
            </w:r>
          </w:p>
          <w:p w14:paraId="418D7FA4">
            <w:pPr>
              <w:widowControl w:val="0"/>
              <w:numPr>
                <w:ilvl w:val="0"/>
                <w:numId w:val="15"/>
              </w:numPr>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支持对Ubuntu、Redhat、Centos、Fedora等系统的立即还原和ip地址自动分配</w:t>
            </w:r>
            <w:r>
              <w:rPr>
                <w:rFonts w:hint="eastAsia" w:ascii="宋体" w:hAnsi="宋体" w:eastAsia="宋体" w:cs="宋体"/>
                <w:color w:val="auto"/>
                <w:sz w:val="24"/>
                <w:szCs w:val="24"/>
                <w:highlight w:val="none"/>
                <w:lang w:eastAsia="zh-CN"/>
              </w:rPr>
              <w:t>；</w:t>
            </w:r>
          </w:p>
          <w:p w14:paraId="055CA120">
            <w:pPr>
              <w:widowControl w:val="0"/>
              <w:numPr>
                <w:ilvl w:val="0"/>
                <w:numId w:val="15"/>
              </w:numPr>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支持电脑本地硬盘操作系统（</w:t>
            </w:r>
            <w:r>
              <w:rPr>
                <w:rFonts w:hint="eastAsia" w:ascii="宋体" w:hAnsi="宋体" w:eastAsia="宋体" w:cs="宋体"/>
                <w:color w:val="auto"/>
                <w:sz w:val="24"/>
                <w:szCs w:val="24"/>
                <w:highlight w:val="none"/>
                <w:lang w:val="en-US" w:eastAsia="zh-CN"/>
              </w:rPr>
              <w:t>windows</w:t>
            </w:r>
            <w:r>
              <w:rPr>
                <w:rFonts w:hint="eastAsia" w:ascii="宋体" w:hAnsi="宋体" w:eastAsia="宋体" w:cs="宋体"/>
                <w:color w:val="auto"/>
                <w:sz w:val="24"/>
                <w:szCs w:val="24"/>
                <w:highlight w:val="none"/>
              </w:rPr>
              <w:t>\linux）的立即还原和还原点瞬间创建</w:t>
            </w:r>
            <w:r>
              <w:rPr>
                <w:rFonts w:hint="eastAsia" w:ascii="宋体" w:hAnsi="宋体" w:eastAsia="宋体" w:cs="宋体"/>
                <w:color w:val="auto"/>
                <w:sz w:val="24"/>
                <w:szCs w:val="24"/>
                <w:highlight w:val="none"/>
                <w:lang w:eastAsia="zh-CN"/>
              </w:rPr>
              <w:t>；</w:t>
            </w:r>
          </w:p>
          <w:p w14:paraId="2A5A7E30">
            <w:pPr>
              <w:widowControl w:val="0"/>
              <w:numPr>
                <w:ilvl w:val="0"/>
                <w:numId w:val="15"/>
              </w:numPr>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支持MBR分区系统和GPT分区系统混合安装,可支持60个以上的不同操作系统</w:t>
            </w:r>
            <w:r>
              <w:rPr>
                <w:rFonts w:hint="eastAsia" w:ascii="宋体" w:hAnsi="宋体" w:eastAsia="宋体" w:cs="宋体"/>
                <w:color w:val="auto"/>
                <w:sz w:val="24"/>
                <w:szCs w:val="24"/>
                <w:highlight w:val="none"/>
                <w:lang w:eastAsia="zh-CN"/>
              </w:rPr>
              <w:t>；</w:t>
            </w:r>
          </w:p>
          <w:p w14:paraId="29BFC5EB">
            <w:pPr>
              <w:widowControl w:val="0"/>
              <w:numPr>
                <w:ilvl w:val="0"/>
                <w:numId w:val="15"/>
              </w:numPr>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★支持对客户端内多块硬盘进行分区、系统装载、还原、还原方式设置，满足多硬盘系统还原和管理；（提供具备CNAS标识的产品功能测试报告</w:t>
            </w:r>
            <w:r>
              <w:rPr>
                <w:rFonts w:hint="eastAsia" w:ascii="宋体" w:hAnsi="宋体" w:eastAsia="宋体" w:cs="宋体"/>
                <w:color w:val="auto"/>
                <w:sz w:val="24"/>
                <w:szCs w:val="24"/>
                <w:highlight w:val="none"/>
                <w:lang w:val="en-US" w:eastAsia="zh-CN"/>
              </w:rPr>
              <w:t>复印件加盖厂家公章</w:t>
            </w:r>
            <w:r>
              <w:rPr>
                <w:rFonts w:hint="eastAsia" w:ascii="宋体" w:hAnsi="宋体" w:eastAsia="宋体" w:cs="宋体"/>
                <w:color w:val="auto"/>
                <w:sz w:val="24"/>
                <w:szCs w:val="24"/>
                <w:highlight w:val="none"/>
              </w:rPr>
              <w:t xml:space="preserve">）   </w:t>
            </w:r>
          </w:p>
          <w:p w14:paraId="0215B208">
            <w:pPr>
              <w:widowControl w:val="0"/>
              <w:numPr>
                <w:ilvl w:val="0"/>
                <w:numId w:val="15"/>
              </w:numPr>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支持从WINDOWS界面对1000台以上的电脑进行数据差异拷贝，非增量拷贝、变量拷贝、进度同步等上一代部署方式。根据网络状况可选择广播、组播、单播等方式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（提供功能界面截图并加盖原厂公章）</w:t>
            </w:r>
          </w:p>
          <w:p w14:paraId="71E544B5">
            <w:pPr>
              <w:widowControl w:val="0"/>
              <w:numPr>
                <w:ilvl w:val="0"/>
                <w:numId w:val="15"/>
              </w:numPr>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支持差异拷贝接收端网络环境检测，可检测接收端网卡连接速度，提前发现问题网点，排查处理影响差异拷贝的终端；</w:t>
            </w:r>
          </w:p>
          <w:p w14:paraId="34C84F38">
            <w:pPr>
              <w:widowControl w:val="0"/>
              <w:numPr>
                <w:ilvl w:val="0"/>
                <w:numId w:val="15"/>
              </w:numPr>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支持操作系统分权管理，可分配不同的管理员管理不同的操作系统</w:t>
            </w:r>
            <w:r>
              <w:rPr>
                <w:rFonts w:hint="eastAsia" w:ascii="宋体" w:hAnsi="宋体" w:eastAsia="宋体" w:cs="宋体"/>
                <w:color w:val="auto"/>
                <w:sz w:val="24"/>
                <w:szCs w:val="24"/>
                <w:highlight w:val="none"/>
                <w:lang w:eastAsia="zh-CN"/>
              </w:rPr>
              <w:t>；</w:t>
            </w:r>
          </w:p>
          <w:p w14:paraId="7099FBA2">
            <w:pPr>
              <w:widowControl w:val="0"/>
              <w:numPr>
                <w:ilvl w:val="0"/>
                <w:numId w:val="15"/>
              </w:numPr>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★支持学期课表的编辑，可设置学期开始和结束时间，按学期课表时间自动启动相应的操作系统，支持操作系统拖拽式导入学期课表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(提供功能界面截图并加盖原厂公章)</w:t>
            </w:r>
          </w:p>
          <w:p w14:paraId="799A2BEB">
            <w:pPr>
              <w:widowControl w:val="0"/>
              <w:numPr>
                <w:ilvl w:val="0"/>
                <w:numId w:val="15"/>
              </w:numPr>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管理员可给教师单独分配用户名和密码，教师可凭此用户名和密码在教学的电脑上瞬间创建自己独立的备课系统，其他人员不可见，也不影响正常的教学系统</w:t>
            </w:r>
            <w:r>
              <w:rPr>
                <w:rFonts w:hint="eastAsia" w:ascii="宋体" w:hAnsi="宋体" w:eastAsia="宋体" w:cs="宋体"/>
                <w:color w:val="auto"/>
                <w:sz w:val="24"/>
                <w:szCs w:val="24"/>
                <w:highlight w:val="none"/>
                <w:lang w:eastAsia="zh-CN"/>
              </w:rPr>
              <w:t>；</w:t>
            </w:r>
          </w:p>
          <w:p w14:paraId="49B01D52">
            <w:pPr>
              <w:widowControl w:val="0"/>
              <w:numPr>
                <w:ilvl w:val="0"/>
                <w:numId w:val="15"/>
              </w:numPr>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支持将当前的教学系统，无需新增分区的情况下瞬间复制一个不保护的系统，用于学生自主实验或计算机等级考试</w:t>
            </w:r>
            <w:r>
              <w:rPr>
                <w:rFonts w:hint="eastAsia" w:ascii="宋体" w:hAnsi="宋体" w:eastAsia="宋体" w:cs="宋体"/>
                <w:color w:val="auto"/>
                <w:sz w:val="24"/>
                <w:szCs w:val="24"/>
                <w:highlight w:val="none"/>
                <w:lang w:eastAsia="zh-CN"/>
              </w:rPr>
              <w:t>；</w:t>
            </w:r>
          </w:p>
          <w:p w14:paraId="2B288F5A">
            <w:pPr>
              <w:widowControl w:val="0"/>
              <w:numPr>
                <w:ilvl w:val="0"/>
                <w:numId w:val="15"/>
              </w:numPr>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支持文件夹穿透，可在当前保护的分区下设定一个开放的文件夹,保存更新设置，重启分区还原其它数据还原，此文件夹中的数据不还原。</w:t>
            </w:r>
          </w:p>
          <w:p w14:paraId="1BC42CBE">
            <w:pPr>
              <w:widowControl w:val="0"/>
              <w:numPr>
                <w:ilvl w:val="0"/>
                <w:numId w:val="15"/>
              </w:numPr>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支持批量修改Windows用户登录名、计算机名和IP地址；   </w:t>
            </w:r>
          </w:p>
          <w:p w14:paraId="1C7C7EAA">
            <w:pPr>
              <w:widowControl w:val="0"/>
              <w:numPr>
                <w:ilvl w:val="0"/>
                <w:numId w:val="15"/>
              </w:numPr>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支持硬件虚拟化功能，针对硬件识别码的软件可实现软件统一注册，大幅度降低激活软件带来的工作量；</w:t>
            </w:r>
          </w:p>
          <w:p w14:paraId="038CBDE3">
            <w:pPr>
              <w:widowControl w:val="0"/>
              <w:numPr>
                <w:ilvl w:val="0"/>
                <w:numId w:val="15"/>
              </w:numPr>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支持流量限制策略，能够设定上行流量、下行流量，并可设置流量限制生效时间；</w:t>
            </w:r>
          </w:p>
          <w:p w14:paraId="5957C968">
            <w:pPr>
              <w:widowControl w:val="0"/>
              <w:numPr>
                <w:ilvl w:val="0"/>
                <w:numId w:val="15"/>
              </w:numPr>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支持网络限制策略，能够设定禁用外网或禁用全部网络，并支持设置例外，例外类型包括ip地址、网址、端口，并设置生效时间区间，能够精确到秒，支持按天执行、按周执行、按月执行</w:t>
            </w:r>
            <w:r>
              <w:rPr>
                <w:rFonts w:hint="eastAsia" w:ascii="宋体" w:hAnsi="宋体" w:eastAsia="宋体" w:cs="宋体"/>
                <w:color w:val="auto"/>
                <w:sz w:val="24"/>
                <w:szCs w:val="24"/>
                <w:highlight w:val="none"/>
                <w:lang w:eastAsia="zh-CN"/>
              </w:rPr>
              <w:t>；</w:t>
            </w:r>
          </w:p>
          <w:p w14:paraId="4A077A10">
            <w:pPr>
              <w:widowControl w:val="0"/>
              <w:numPr>
                <w:ilvl w:val="0"/>
                <w:numId w:val="15"/>
              </w:numPr>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能够针对学生软件使用、上网操作进行记录，并支持按照应用、访问网址进行查询，能够根据时间段进行搜索，搜索时间精确到秒，针对上网操作，能够展示网址及网站标题信息，支持表格导出</w:t>
            </w:r>
            <w:r>
              <w:rPr>
                <w:rFonts w:hint="eastAsia" w:ascii="宋体" w:hAnsi="宋体" w:eastAsia="宋体" w:cs="宋体"/>
                <w:color w:val="auto"/>
                <w:sz w:val="24"/>
                <w:szCs w:val="24"/>
                <w:highlight w:val="none"/>
                <w:lang w:eastAsia="zh-CN"/>
              </w:rPr>
              <w:t>；</w:t>
            </w:r>
          </w:p>
          <w:p w14:paraId="656B45D8">
            <w:pPr>
              <w:widowControl w:val="0"/>
              <w:numPr>
                <w:ilvl w:val="0"/>
                <w:numId w:val="15"/>
              </w:numPr>
              <w:ind w:left="425" w:leftChars="0" w:hanging="425" w:firstLineChars="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支持程序限制策略，支持黑名单、白名单两种模式，能够根据手动添加、游戏进程、应用进程、系统自带进程进行设置，并能够通过客户端实时识别操作系统进程进行控制，并设置生效时间区间，能够精确到秒，支持按天执行、按周执行、按月执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(提供功能界面截图并加盖原厂公章)</w:t>
            </w:r>
          </w:p>
        </w:tc>
        <w:tc>
          <w:tcPr>
            <w:tcW w:w="547" w:type="dxa"/>
            <w:noWrap w:val="0"/>
            <w:vAlign w:val="center"/>
          </w:tcPr>
          <w:p w14:paraId="194E9D3E">
            <w:pPr>
              <w:widowControl w:val="0"/>
              <w:ind w:left="0" w:leftChars="0"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vertAlign w:val="baseline"/>
                <w:lang w:val="en-US" w:eastAsia="zh-CN"/>
              </w:rPr>
              <w:t>套</w:t>
            </w:r>
          </w:p>
        </w:tc>
        <w:tc>
          <w:tcPr>
            <w:tcW w:w="539" w:type="dxa"/>
            <w:noWrap w:val="0"/>
            <w:vAlign w:val="center"/>
          </w:tcPr>
          <w:p w14:paraId="23537B98">
            <w:pPr>
              <w:widowControl w:val="0"/>
              <w:ind w:left="0" w:leftChars="0"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vertAlign w:val="baseline"/>
                <w:lang w:val="en-US" w:eastAsia="zh-CN"/>
              </w:rPr>
              <w:t>30</w:t>
            </w:r>
          </w:p>
        </w:tc>
      </w:tr>
      <w:tr w14:paraId="5665B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7" w:hRule="atLeast"/>
        </w:trPr>
        <w:tc>
          <w:tcPr>
            <w:tcW w:w="520" w:type="dxa"/>
            <w:noWrap w:val="0"/>
            <w:vAlign w:val="center"/>
          </w:tcPr>
          <w:p w14:paraId="366CFD93">
            <w:pPr>
              <w:widowControl w:val="0"/>
              <w:ind w:left="0" w:leftChars="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4</w:t>
            </w:r>
          </w:p>
        </w:tc>
        <w:tc>
          <w:tcPr>
            <w:tcW w:w="1023" w:type="dxa"/>
            <w:noWrap w:val="0"/>
            <w:vAlign w:val="center"/>
          </w:tcPr>
          <w:p w14:paraId="201E30C1">
            <w:pPr>
              <w:widowControl w:val="0"/>
              <w:ind w:left="0" w:leftChars="0" w:firstLine="0" w:firstLineChars="0"/>
              <w:jc w:val="both"/>
              <w:rPr>
                <w:rFonts w:hint="eastAsia" w:ascii="宋体" w:hAnsi="宋体" w:eastAsia="宋体" w:cs="宋体"/>
                <w:color w:val="auto"/>
                <w:sz w:val="24"/>
                <w:szCs w:val="24"/>
                <w:highlight w:val="none"/>
                <w:vertAlign w:val="baseline"/>
                <w:lang w:val="en-US" w:eastAsia="zh-CN"/>
              </w:rPr>
            </w:pPr>
          </w:p>
          <w:p w14:paraId="697370AB">
            <w:pPr>
              <w:widowControl w:val="0"/>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vertAlign w:val="baseline"/>
                <w:lang w:val="en-US" w:eastAsia="zh-CN"/>
              </w:rPr>
              <w:t>集中管理控制平台</w:t>
            </w:r>
          </w:p>
        </w:tc>
        <w:tc>
          <w:tcPr>
            <w:tcW w:w="6171" w:type="dxa"/>
            <w:noWrap w:val="0"/>
            <w:vAlign w:val="top"/>
          </w:tcPr>
          <w:p w14:paraId="16BA1B93">
            <w:pPr>
              <w:widowControl w:val="0"/>
              <w:numPr>
                <w:ilvl w:val="0"/>
                <w:numId w:val="16"/>
              </w:numPr>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后台控制端采用 B/S 架构设计，可在 Windows、Linux</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Android、IOS 等多种不同的操作系统上通过网页浏览器登录进行操作。平台支持本地化和云端两种部署方式。</w:t>
            </w:r>
          </w:p>
          <w:p w14:paraId="3164EE01">
            <w:pPr>
              <w:widowControl w:val="0"/>
              <w:numPr>
                <w:ilvl w:val="0"/>
                <w:numId w:val="16"/>
              </w:numPr>
              <w:ind w:left="425" w:leftChars="0" w:hanging="425" w:firstLineChars="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多层级管理：可设置不同权限的管理员，分配地点管理校园设备；账号与云端账号统一，根据手机号自动获取信息。</w:t>
            </w:r>
          </w:p>
          <w:p w14:paraId="1FD1781A">
            <w:pPr>
              <w:widowControl w:val="0"/>
              <w:numPr>
                <w:ilvl w:val="0"/>
                <w:numId w:val="16"/>
              </w:numPr>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看校园内所有设备的状态，包括在线、离线状态，教室名称、内存使用率、CPU使用率、C盘使用率，支持按照设备类型、设备名称进行查询筛选；支持按列表展示以及按缩略图展示；支持一键查看设备已安装应用情况，支持查看</w:t>
            </w:r>
            <w:r>
              <w:rPr>
                <w:rFonts w:hint="eastAsia" w:ascii="宋体" w:hAnsi="宋体" w:eastAsia="宋体" w:cs="宋体"/>
                <w:color w:val="auto"/>
                <w:sz w:val="24"/>
                <w:szCs w:val="24"/>
                <w:highlight w:val="none"/>
                <w:lang w:val="en-US" w:eastAsia="zh-CN"/>
              </w:rPr>
              <w:t>操作系统</w:t>
            </w:r>
            <w:r>
              <w:rPr>
                <w:rFonts w:hint="eastAsia" w:ascii="宋体" w:hAnsi="宋体" w:eastAsia="宋体" w:cs="宋体"/>
                <w:color w:val="auto"/>
                <w:sz w:val="24"/>
                <w:szCs w:val="24"/>
                <w:highlight w:val="none"/>
              </w:rPr>
              <w:t>激活状态，支持查看</w:t>
            </w:r>
            <w:r>
              <w:rPr>
                <w:rFonts w:hint="eastAsia" w:ascii="宋体" w:hAnsi="宋体" w:eastAsia="宋体" w:cs="宋体"/>
                <w:color w:val="auto"/>
                <w:sz w:val="24"/>
                <w:szCs w:val="24"/>
                <w:highlight w:val="none"/>
                <w:lang w:val="en-US" w:eastAsia="zh-CN"/>
              </w:rPr>
              <w:t>办公软件</w:t>
            </w:r>
            <w:r>
              <w:rPr>
                <w:rFonts w:hint="eastAsia" w:ascii="宋体" w:hAnsi="宋体" w:eastAsia="宋体" w:cs="宋体"/>
                <w:color w:val="auto"/>
                <w:sz w:val="24"/>
                <w:szCs w:val="24"/>
                <w:highlight w:val="none"/>
              </w:rPr>
              <w:t>激活状态，支持查看</w:t>
            </w:r>
            <w:r>
              <w:rPr>
                <w:rFonts w:hint="eastAsia" w:ascii="宋体" w:hAnsi="宋体" w:eastAsia="宋体" w:cs="宋体"/>
                <w:color w:val="auto"/>
                <w:sz w:val="24"/>
                <w:szCs w:val="24"/>
                <w:highlight w:val="none"/>
                <w:lang w:val="en-US" w:eastAsia="zh-CN"/>
              </w:rPr>
              <w:t>操作系统</w:t>
            </w:r>
            <w:r>
              <w:rPr>
                <w:rFonts w:hint="eastAsia" w:ascii="宋体" w:hAnsi="宋体" w:eastAsia="宋体" w:cs="宋体"/>
                <w:color w:val="auto"/>
                <w:sz w:val="24"/>
                <w:szCs w:val="24"/>
                <w:highlight w:val="none"/>
              </w:rPr>
              <w:t>版本信息，支持查看设备IP地址，支持查看当前设备序列号、声音及显示设置模式。</w:t>
            </w:r>
          </w:p>
          <w:p w14:paraId="0F803061">
            <w:pPr>
              <w:widowControl w:val="0"/>
              <w:numPr>
                <w:ilvl w:val="0"/>
                <w:numId w:val="16"/>
              </w:numPr>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即时操作控制：批量对选定的受控设备进行关机、重启、触控切换（屏幕触控锁定、解锁），童锁切换、信号源切换、音量调节、打铃操作，一键锁屏设置，支持一键开启系统还原功能，一键系统备份，一键设置显示模式，显示模式支持标准、鲜艳、明亮、护眼，一键支持声音模式设置，声音模式至少包含标准、教师、会议、影院四种场景设置，支持一键设置系统桌面壁纸。</w:t>
            </w:r>
          </w:p>
          <w:p w14:paraId="262D21EF">
            <w:pPr>
              <w:widowControl w:val="0"/>
              <w:numPr>
                <w:ilvl w:val="0"/>
                <w:numId w:val="16"/>
              </w:numPr>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时操作控制：可远程对选定的设备做定时关机、定时打铃、定时切换信号源、定时信息发布，实现单次、每日循环、每周循环、每月循环的定时控制。支持定时操作列表查询，并可对具体某项定时操作进行再次编辑。</w:t>
            </w:r>
          </w:p>
          <w:p w14:paraId="60F83DAD">
            <w:pPr>
              <w:widowControl w:val="0"/>
              <w:numPr>
                <w:ilvl w:val="0"/>
                <w:numId w:val="16"/>
              </w:numPr>
              <w:ind w:left="425" w:leftChars="0" w:hanging="425" w:firstLineChars="0"/>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开机锁屏：支持一键批量设置开机锁屏功能，一键修改锁屏密码，一键禁用密码锁屏、一键设置锁屏极速、普通模式，支持自定义锁屏功能生效时间，支持一键设置锁屏壁纸，支持自定锁屏壁纸设置。</w:t>
            </w:r>
          </w:p>
          <w:p w14:paraId="01BF4475">
            <w:pPr>
              <w:widowControl w:val="0"/>
              <w:numPr>
                <w:ilvl w:val="0"/>
                <w:numId w:val="16"/>
              </w:numPr>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冰点管控：可按场地、设备状态、设备名称对冰点管控设备进行重启、批量冻结、批量解冻，可对单台设备或多台设备进行批量设置，可冻结单个盘符或多个盘符，统计开启冰点设备总数</w:t>
            </w:r>
          </w:p>
          <w:p w14:paraId="0C2F45AB">
            <w:pPr>
              <w:widowControl w:val="0"/>
              <w:numPr>
                <w:ilvl w:val="0"/>
                <w:numId w:val="16"/>
              </w:numPr>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发布信息：可即时向任意选定的设备发布纯文本信息，支持常驻桌面型、滚动发布型及气泡弹出提示，可设置播放时长，支持再次编辑；支持设置字体及字体颜色。</w:t>
            </w:r>
          </w:p>
          <w:p w14:paraId="2AB9230D">
            <w:pPr>
              <w:widowControl w:val="0"/>
              <w:numPr>
                <w:ilvl w:val="0"/>
                <w:numId w:val="16"/>
              </w:numPr>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文件分发：支持多文件推送至任意选定的设备，包括文本、图片、pdf、word、excel、ppt、flash、音视频。</w:t>
            </w:r>
          </w:p>
          <w:p w14:paraId="3635CC13">
            <w:pPr>
              <w:widowControl w:val="0"/>
              <w:numPr>
                <w:ilvl w:val="0"/>
                <w:numId w:val="16"/>
              </w:numPr>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远程巡课：默认查看当前屏幕画面，实时监控当前设备桌面，支持同时查看设备不少于</w:t>
            </w:r>
            <w:r>
              <w:rPr>
                <w:rFonts w:hint="eastAsia" w:ascii="宋体" w:hAnsi="宋体" w:eastAsia="宋体" w:cs="宋体"/>
                <w:color w:val="auto"/>
                <w:sz w:val="24"/>
                <w:szCs w:val="24"/>
                <w:highlight w:val="none"/>
                <w:lang w:val="en-US" w:eastAsia="zh-CN"/>
              </w:rPr>
              <w:t>六十</w:t>
            </w:r>
            <w:r>
              <w:rPr>
                <w:rFonts w:hint="eastAsia" w:ascii="宋体" w:hAnsi="宋体" w:eastAsia="宋体" w:cs="宋体"/>
                <w:color w:val="auto"/>
                <w:sz w:val="24"/>
                <w:szCs w:val="24"/>
                <w:highlight w:val="none"/>
              </w:rPr>
              <w:t>台；可切换摄像头画面，支持学生画面、教师画面同步教室声音；无需部署本地巡课服务器。</w:t>
            </w:r>
          </w:p>
          <w:p w14:paraId="3FD750AB">
            <w:pPr>
              <w:widowControl w:val="0"/>
              <w:numPr>
                <w:ilvl w:val="0"/>
                <w:numId w:val="16"/>
              </w:numPr>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支持查看摄像头直播画面，</w:t>
            </w:r>
            <w:r>
              <w:rPr>
                <w:rFonts w:hint="eastAsia" w:ascii="宋体" w:hAnsi="宋体" w:eastAsia="宋体" w:cs="宋体"/>
                <w:color w:val="auto"/>
                <w:sz w:val="24"/>
                <w:szCs w:val="24"/>
                <w:highlight w:val="none"/>
                <w:lang w:val="en-US" w:eastAsia="zh-CN"/>
              </w:rPr>
              <w:t>多</w:t>
            </w:r>
            <w:r>
              <w:rPr>
                <w:rFonts w:hint="eastAsia" w:ascii="宋体" w:hAnsi="宋体" w:eastAsia="宋体" w:cs="宋体"/>
                <w:color w:val="auto"/>
                <w:sz w:val="24"/>
                <w:szCs w:val="24"/>
                <w:highlight w:val="none"/>
              </w:rPr>
              <w:t>路视频流显示画面，支持轮巡。</w:t>
            </w:r>
          </w:p>
          <w:p w14:paraId="04684827">
            <w:pPr>
              <w:widowControl w:val="0"/>
              <w:numPr>
                <w:ilvl w:val="0"/>
                <w:numId w:val="16"/>
              </w:numPr>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视频直播：本地无需部署直播服务器，无需绑定IP地址，云端直接开启直播；可预约直播，选择日期、时间进行预约；直播开始时，接收端弹出10秒倒计时提醒，直播时间结束时，自动关闭直播。</w:t>
            </w:r>
          </w:p>
          <w:p w14:paraId="0C8D8F2E">
            <w:pPr>
              <w:widowControl w:val="0"/>
              <w:numPr>
                <w:ilvl w:val="0"/>
                <w:numId w:val="16"/>
              </w:numPr>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课间文化：选择音/视频下发至</w:t>
            </w:r>
            <w:r>
              <w:rPr>
                <w:rFonts w:hint="eastAsia" w:ascii="宋体" w:hAnsi="宋体" w:eastAsia="宋体" w:cs="宋体"/>
                <w:color w:val="auto"/>
                <w:sz w:val="24"/>
                <w:szCs w:val="24"/>
                <w:highlight w:val="none"/>
                <w:lang w:val="en-US" w:eastAsia="zh-CN"/>
              </w:rPr>
              <w:t>显示屏</w:t>
            </w:r>
            <w:r>
              <w:rPr>
                <w:rFonts w:hint="eastAsia" w:ascii="宋体" w:hAnsi="宋体" w:eastAsia="宋体" w:cs="宋体"/>
                <w:color w:val="auto"/>
                <w:sz w:val="24"/>
                <w:szCs w:val="24"/>
                <w:highlight w:val="none"/>
              </w:rPr>
              <w:t>，自定义时间自动播放；单次播放，每日/每周/每月定时播放；无需部署本地服务器。</w:t>
            </w:r>
          </w:p>
          <w:p w14:paraId="2B2715FD">
            <w:pPr>
              <w:widowControl w:val="0"/>
              <w:numPr>
                <w:ilvl w:val="0"/>
                <w:numId w:val="16"/>
              </w:numPr>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布文字信息：可即时向任意选定的设备发布纯文本信息，支持常驻桌面型、滚动发布型及气泡弹出提示，可设置播放时长，支持再次编辑；支持设置字体及字体颜色；发布信息后，平台会筛查内容是否含有违规或敏感信息，若无则可发布，若有则会提醒进行修改。下发任何形式的课间文化均需要审核员进行审核，审核员通过才能完成下发任务。</w:t>
            </w:r>
          </w:p>
          <w:p w14:paraId="37464381">
            <w:pPr>
              <w:widowControl w:val="0"/>
              <w:numPr>
                <w:ilvl w:val="0"/>
                <w:numId w:val="16"/>
              </w:numPr>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以图文形式对设备的使用情况进行数据统计，可以按照一定时间周期进行统计，也支持按日、周、月进行统计。</w:t>
            </w:r>
          </w:p>
          <w:p w14:paraId="3CE0844D">
            <w:pPr>
              <w:widowControl w:val="0"/>
              <w:numPr>
                <w:ilvl w:val="0"/>
                <w:numId w:val="16"/>
              </w:numPr>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统计内容包括设备数量、设备开机率、设备开机时长、软件使用活跃度、设备活跃度排行、设备使用时长分布、设备在线数量、学科使用情况等，支持以统计图表显示及以excel格式导出。</w:t>
            </w:r>
          </w:p>
          <w:p w14:paraId="635BCC77">
            <w:pPr>
              <w:widowControl w:val="0"/>
              <w:numPr>
                <w:ilvl w:val="0"/>
                <w:numId w:val="16"/>
              </w:numPr>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区级管理员可查看该区域下所有学校设备数据，校级管理员可查看本校所有设备数据。</w:t>
            </w:r>
          </w:p>
          <w:p w14:paraId="50959CC6">
            <w:pPr>
              <w:widowControl w:val="0"/>
              <w:numPr>
                <w:ilvl w:val="0"/>
                <w:numId w:val="16"/>
              </w:numPr>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学校信息：支持查看学校信息，学校编号、设备授权数量、学校地址、校管理员名称、联系电话等。</w:t>
            </w:r>
          </w:p>
          <w:p w14:paraId="056D4D58">
            <w:pPr>
              <w:widowControl w:val="0"/>
              <w:numPr>
                <w:ilvl w:val="0"/>
                <w:numId w:val="16"/>
              </w:numPr>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分组设置：可对学校的所有设备按年级或楼层等进行任意分组设置，并可以对分组进行修改、删除等操作；支持分组属性定义“教室”，包含多媒体教室、语音室、实验室、普通教室等类型。</w:t>
            </w:r>
          </w:p>
          <w:p w14:paraId="0F3002D4">
            <w:pPr>
              <w:widowControl w:val="0"/>
              <w:numPr>
                <w:ilvl w:val="0"/>
                <w:numId w:val="16"/>
              </w:numPr>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设备设置：支持按照设备类型、设备名称等进行筛选；支持批量查看设备名称、班级名称、设备类型、设备编码、设备序列号；支持批量移动设备、导出设备列表、批量删除设备。</w:t>
            </w:r>
          </w:p>
          <w:p w14:paraId="21D92864">
            <w:pPr>
              <w:widowControl w:val="0"/>
              <w:numPr>
                <w:ilvl w:val="0"/>
                <w:numId w:val="16"/>
              </w:numPr>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设置：支持查看姓名、账号、分组权限，支持手机号开通，编辑、批量删除等功能。</w:t>
            </w:r>
          </w:p>
          <w:p w14:paraId="336B18B4">
            <w:pPr>
              <w:widowControl w:val="0"/>
              <w:numPr>
                <w:ilvl w:val="0"/>
                <w:numId w:val="16"/>
              </w:numPr>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综合设置：远程巡课画面分辨率以及码率，并可配置校本资源URL链接。</w:t>
            </w:r>
          </w:p>
          <w:p w14:paraId="53A74BE4">
            <w:pPr>
              <w:widowControl w:val="0"/>
              <w:numPr>
                <w:ilvl w:val="0"/>
                <w:numId w:val="16"/>
              </w:numPr>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查看设备当前在线数、设备总台数、在线率、开机率。</w:t>
            </w:r>
          </w:p>
          <w:p w14:paraId="13FD6418">
            <w:pPr>
              <w:widowControl w:val="0"/>
              <w:numPr>
                <w:ilvl w:val="0"/>
                <w:numId w:val="16"/>
              </w:numPr>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实时查看全校设备使用情况：如设备活跃度、软件使用排行、设备在线数量、设备使用时长分布等。</w:t>
            </w:r>
          </w:p>
          <w:p w14:paraId="4E2170C1">
            <w:pPr>
              <w:widowControl w:val="0"/>
              <w:numPr>
                <w:ilvl w:val="0"/>
                <w:numId w:val="16"/>
              </w:numPr>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查看管理员基本信息：账户、角色、学校；查看设备控制命令异常数。</w:t>
            </w:r>
          </w:p>
          <w:p w14:paraId="6DC5A1CE">
            <w:pPr>
              <w:widowControl w:val="0"/>
              <w:numPr>
                <w:ilvl w:val="0"/>
                <w:numId w:val="0"/>
              </w:numPr>
              <w:ind w:leftChars="0"/>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26.</w:t>
            </w:r>
            <w:r>
              <w:rPr>
                <w:rFonts w:hint="eastAsia" w:ascii="宋体" w:hAnsi="宋体" w:eastAsia="宋体" w:cs="宋体"/>
                <w:color w:val="auto"/>
                <w:sz w:val="24"/>
                <w:szCs w:val="24"/>
                <w:highlight w:val="none"/>
              </w:rPr>
              <w:t>支持在线设备数据报表一键导出PDF，可按日、周、月分别导出数据报表，并支持一键转发微信。</w:t>
            </w:r>
          </w:p>
        </w:tc>
        <w:tc>
          <w:tcPr>
            <w:tcW w:w="547" w:type="dxa"/>
            <w:noWrap w:val="0"/>
            <w:vAlign w:val="center"/>
          </w:tcPr>
          <w:p w14:paraId="1EE88C29">
            <w:pPr>
              <w:widowControl w:val="0"/>
              <w:ind w:left="0" w:leftChars="0"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vertAlign w:val="baseline"/>
                <w:lang w:val="en-US" w:eastAsia="zh-CN"/>
              </w:rPr>
              <w:t>套</w:t>
            </w:r>
          </w:p>
        </w:tc>
        <w:tc>
          <w:tcPr>
            <w:tcW w:w="539" w:type="dxa"/>
            <w:noWrap w:val="0"/>
            <w:vAlign w:val="center"/>
          </w:tcPr>
          <w:p w14:paraId="5EDE2614">
            <w:pPr>
              <w:widowControl w:val="0"/>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vertAlign w:val="baseline"/>
                <w:lang w:val="en-US" w:eastAsia="zh-CN"/>
              </w:rPr>
              <w:t>1</w:t>
            </w:r>
          </w:p>
        </w:tc>
      </w:tr>
      <w:tr w14:paraId="106DF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7" w:hRule="atLeast"/>
        </w:trPr>
        <w:tc>
          <w:tcPr>
            <w:tcW w:w="520" w:type="dxa"/>
            <w:noWrap w:val="0"/>
            <w:vAlign w:val="center"/>
          </w:tcPr>
          <w:p w14:paraId="16080BEC">
            <w:pPr>
              <w:widowControl w:val="0"/>
              <w:ind w:left="0" w:leftChars="0" w:firstLine="0" w:firstLineChars="0"/>
              <w:jc w:val="center"/>
              <w:rPr>
                <w:rFonts w:hint="default" w:ascii="宋体" w:hAnsi="宋体" w:eastAsia="宋体" w:cs="宋体"/>
                <w:b w:val="0"/>
                <w:bCs/>
                <w:color w:val="auto"/>
                <w:sz w:val="24"/>
                <w:szCs w:val="24"/>
                <w:highlight w:val="none"/>
                <w:lang w:val="en-US" w:eastAsia="zh-CN"/>
              </w:rPr>
            </w:pPr>
            <w:r>
              <w:rPr>
                <w:rFonts w:hint="eastAsia" w:cs="宋体"/>
                <w:b w:val="0"/>
                <w:bCs/>
                <w:color w:val="auto"/>
                <w:sz w:val="24"/>
                <w:szCs w:val="24"/>
                <w:highlight w:val="none"/>
                <w:lang w:val="en-US" w:eastAsia="zh-CN"/>
              </w:rPr>
              <w:t>5</w:t>
            </w:r>
          </w:p>
        </w:tc>
        <w:tc>
          <w:tcPr>
            <w:tcW w:w="1023" w:type="dxa"/>
            <w:noWrap w:val="0"/>
            <w:vAlign w:val="center"/>
          </w:tcPr>
          <w:p w14:paraId="06B86936">
            <w:pPr>
              <w:widowControl w:val="0"/>
              <w:ind w:left="0" w:leftChars="0" w:firstLine="0" w:firstLineChars="0"/>
              <w:jc w:val="both"/>
              <w:rPr>
                <w:rFonts w:hint="eastAsia"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视频展台</w:t>
            </w:r>
          </w:p>
        </w:tc>
        <w:tc>
          <w:tcPr>
            <w:tcW w:w="6171" w:type="dxa"/>
            <w:noWrap w:val="0"/>
            <w:vAlign w:val="top"/>
          </w:tcPr>
          <w:p w14:paraId="7D416233">
            <w:pPr>
              <w:widowControl w:val="0"/>
              <w:numPr>
                <w:ilvl w:val="0"/>
                <w:numId w:val="0"/>
              </w:numPr>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.整机采用高清摄像头设计，镜头≥1600W像素，分辨率（解析度）≥4624×3468，画面展示更加清晰。（需提供CMA或CNAS认证检测机构出具的检测报告并加盖公章）</w:t>
            </w:r>
          </w:p>
          <w:p w14:paraId="6274B7F1">
            <w:pPr>
              <w:widowControl w:val="0"/>
              <w:numPr>
                <w:ilvl w:val="0"/>
                <w:numId w:val="0"/>
              </w:numPr>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4.变焦：12倍数字变焦</w:t>
            </w:r>
          </w:p>
          <w:p w14:paraId="309D9B18">
            <w:pPr>
              <w:widowControl w:val="0"/>
              <w:numPr>
                <w:ilvl w:val="0"/>
                <w:numId w:val="0"/>
              </w:numPr>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5.图像色彩：24位及以上。</w:t>
            </w:r>
          </w:p>
          <w:p w14:paraId="3FFBFC8C">
            <w:pPr>
              <w:widowControl w:val="0"/>
              <w:numPr>
                <w:ilvl w:val="0"/>
                <w:numId w:val="0"/>
              </w:numPr>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6.摄像头支持JPG图片拍摄及MP4视频录制。</w:t>
            </w:r>
          </w:p>
          <w:p w14:paraId="57393206">
            <w:pPr>
              <w:widowControl w:val="0"/>
              <w:numPr>
                <w:ilvl w:val="0"/>
                <w:numId w:val="0"/>
              </w:numPr>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7.整机内置高灵敏麦克风，满足教学录制需求。</w:t>
            </w:r>
          </w:p>
          <w:p w14:paraId="0EF77347">
            <w:pPr>
              <w:widowControl w:val="0"/>
              <w:numPr>
                <w:ilvl w:val="0"/>
                <w:numId w:val="0"/>
              </w:numPr>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8.具备LED补光灯按键和拍照按键。</w:t>
            </w:r>
          </w:p>
          <w:p w14:paraId="6DAC0784">
            <w:pPr>
              <w:widowControl w:val="0"/>
              <w:numPr>
                <w:ilvl w:val="0"/>
                <w:numId w:val="0"/>
              </w:numPr>
              <w:ind w:leftChars="0"/>
              <w:rPr>
                <w:rFonts w:hint="eastAsia" w:cs="宋体"/>
                <w:color w:val="auto"/>
                <w:sz w:val="24"/>
                <w:szCs w:val="24"/>
                <w:highlight w:val="none"/>
                <w:lang w:val="en-US" w:eastAsia="zh-CN"/>
              </w:rPr>
            </w:pPr>
            <w:r>
              <w:rPr>
                <w:rFonts w:hint="eastAsia" w:ascii="宋体" w:hAnsi="宋体" w:eastAsia="宋体" w:cs="宋体"/>
                <w:color w:val="auto"/>
                <w:sz w:val="24"/>
                <w:szCs w:val="24"/>
                <w:highlight w:val="none"/>
              </w:rPr>
              <w:t>9.拍摄幅面：A4及以上。</w:t>
            </w:r>
          </w:p>
        </w:tc>
        <w:tc>
          <w:tcPr>
            <w:tcW w:w="547" w:type="dxa"/>
            <w:noWrap w:val="0"/>
            <w:vAlign w:val="center"/>
          </w:tcPr>
          <w:p w14:paraId="4CF248EB">
            <w:pPr>
              <w:widowControl w:val="0"/>
              <w:ind w:left="0" w:leftChars="0" w:firstLine="0" w:firstLineChars="0"/>
              <w:jc w:val="both"/>
              <w:rPr>
                <w:rFonts w:hint="default"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台</w:t>
            </w:r>
          </w:p>
        </w:tc>
        <w:tc>
          <w:tcPr>
            <w:tcW w:w="539" w:type="dxa"/>
            <w:noWrap w:val="0"/>
            <w:vAlign w:val="center"/>
          </w:tcPr>
          <w:p w14:paraId="31BAD2BA">
            <w:pPr>
              <w:widowControl w:val="0"/>
              <w:ind w:left="0" w:leftChars="0" w:firstLine="0" w:firstLineChars="0"/>
              <w:jc w:val="center"/>
              <w:rPr>
                <w:rFonts w:hint="default"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30</w:t>
            </w:r>
          </w:p>
        </w:tc>
      </w:tr>
    </w:tbl>
    <w:p w14:paraId="056BDB90">
      <w:pPr>
        <w:snapToGrid w:val="0"/>
        <w:spacing w:line="360" w:lineRule="auto"/>
        <w:rPr>
          <w:rFonts w:hint="eastAsia" w:ascii="宋体" w:hAnsi="宋体" w:eastAsia="宋体" w:cs="宋体"/>
          <w:b/>
          <w:bCs/>
          <w:color w:val="auto"/>
          <w:sz w:val="24"/>
          <w:szCs w:val="24"/>
          <w:highlight w:val="none"/>
        </w:rPr>
      </w:pPr>
    </w:p>
    <w:p w14:paraId="19192BB4">
      <w:pPr>
        <w:adjustRightInd w:val="0"/>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二、报价要求</w:t>
      </w:r>
    </w:p>
    <w:p w14:paraId="2F57CC4B">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1、供应商在满足技术要求和性能的前提下可投同档次或优于上述参数、性能和质量的货物。</w:t>
      </w:r>
    </w:p>
    <w:p w14:paraId="157A6813">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使用成交人中标的货物、技术、资料、服务或其他任何一部分时，享有无偿使用权。免受第三方提出的侵犯其专利权、著作权、商标权或其它知识产权的起诉。如果第三方提出侵权指控，成交人应承担由此而引起的一切法律责任和费用。</w:t>
      </w:r>
    </w:p>
    <w:p w14:paraId="5FF19FB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于磋商文件中的重要技术条款，供应商应在响应文件中提供其报价产品满足磋商文件重要技术条款要求的客观证据材料作为响应文件的一部分，以证明供应商真实并实质性响应磋商文件的重要技术条款。未按要求提供的，磋商小组将认定不满足该项要求。</w:t>
      </w:r>
    </w:p>
    <w:p w14:paraId="1DDF265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客观证据材料包括：国家认可的检验检测认证机构出具的认证证书、检测报告；报价产品制造商公开发布的印刷技术资料（彩页或技术白皮书），或者报价产品制造商官网发布的技术资料打印件或扫描件（并提供网址）；或者评标委员会认可的其他客观证据材料。认证证书、检测报告与印刷技术资料、官网技术资料不一致时，以认证证书、检测报告为准。对于非标准和非通用的产品，供应商也可以提供此前完成的类似项目的合同技术规格及最终的性能检验报告（应加盖用户单位公章）作为客观证据材料。上述客观证据材料应是中文，如是外文应提供对应的中文翻译说明，评标以中文翻译内容为准。</w:t>
      </w:r>
    </w:p>
    <w:p w14:paraId="0142033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供应商应如实描述所投产品的技术参数和性能，不得完全复制粘贴上表技术参数和性能描述。因完全复制粘贴上表技术参数和性能描述而产生的不利于供应商的评审风险由供应商自行承担。</w:t>
      </w:r>
    </w:p>
    <w:p w14:paraId="397D2C12">
      <w:pPr>
        <w:adjustRightInd w:val="0"/>
        <w:snapToGrid w:val="0"/>
        <w:spacing w:line="360" w:lineRule="auto"/>
        <w:ind w:firstLine="361" w:firstLineChars="15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三、不允许负偏离的实质性条件：</w:t>
      </w:r>
    </w:p>
    <w:p w14:paraId="78A470A2">
      <w:pPr>
        <w:widowControl/>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采购内容及数量：</w:t>
      </w:r>
      <w:r>
        <w:rPr>
          <w:rFonts w:hint="eastAsia" w:ascii="宋体" w:hAnsi="宋体" w:eastAsia="宋体" w:cs="宋体"/>
          <w:color w:val="auto"/>
          <w:sz w:val="24"/>
          <w:szCs w:val="24"/>
          <w:highlight w:val="none"/>
          <w:lang w:eastAsia="zh-CN"/>
        </w:rPr>
        <w:t>郑州市上街区教育局采购智慧黑板及教室护眼灯设备</w:t>
      </w:r>
      <w:r>
        <w:rPr>
          <w:rFonts w:hint="eastAsia" w:ascii="宋体" w:hAnsi="宋体" w:eastAsia="宋体" w:cs="宋体"/>
          <w:color w:val="auto"/>
          <w:sz w:val="24"/>
          <w:szCs w:val="24"/>
          <w:highlight w:val="none"/>
          <w:lang w:val="en-US" w:eastAsia="zh-CN"/>
        </w:rPr>
        <w:t>购置，其中：</w:t>
      </w:r>
      <w:r>
        <w:rPr>
          <w:rFonts w:hint="eastAsia" w:ascii="宋体" w:hAnsi="宋体" w:eastAsia="宋体" w:cs="宋体"/>
          <w:color w:val="auto"/>
          <w:sz w:val="24"/>
          <w:szCs w:val="24"/>
          <w:highlight w:val="none"/>
        </w:rPr>
        <w:t>智慧黑板采购、安装及</w:t>
      </w:r>
      <w:r>
        <w:rPr>
          <w:rFonts w:hint="eastAsia" w:ascii="宋体" w:hAnsi="宋体" w:eastAsia="宋体" w:cs="宋体"/>
          <w:color w:val="auto"/>
          <w:sz w:val="24"/>
          <w:szCs w:val="24"/>
          <w:highlight w:val="none"/>
          <w:lang w:val="en-US" w:eastAsia="zh-CN"/>
        </w:rPr>
        <w:t>售后</w:t>
      </w:r>
      <w:r>
        <w:rPr>
          <w:rFonts w:hint="eastAsia" w:ascii="宋体" w:hAnsi="宋体" w:eastAsia="宋体" w:cs="宋体"/>
          <w:color w:val="auto"/>
          <w:sz w:val="24"/>
          <w:szCs w:val="24"/>
          <w:highlight w:val="none"/>
        </w:rPr>
        <w:t>服务</w:t>
      </w:r>
      <w:r>
        <w:rPr>
          <w:rFonts w:hint="eastAsia" w:ascii="宋体" w:hAnsi="宋体" w:eastAsia="宋体" w:cs="宋体"/>
          <w:color w:val="auto"/>
          <w:sz w:val="24"/>
          <w:szCs w:val="24"/>
          <w:highlight w:val="none"/>
          <w:lang w:val="en-US" w:eastAsia="zh-CN"/>
        </w:rPr>
        <w:t>共30套，含拆除原有的教学设备30套并安装到指定位置；</w:t>
      </w:r>
      <w:r>
        <w:rPr>
          <w:rFonts w:hint="eastAsia" w:ascii="宋体" w:hAnsi="宋体" w:eastAsia="宋体" w:cs="宋体"/>
          <w:color w:val="auto"/>
          <w:sz w:val="24"/>
          <w:szCs w:val="24"/>
          <w:highlight w:val="none"/>
        </w:rPr>
        <w:t>LED 教室护眼灯、LED 黑板护眼灯、辅材及安装</w:t>
      </w:r>
      <w:r>
        <w:rPr>
          <w:rFonts w:hint="eastAsia" w:ascii="宋体" w:hAnsi="宋体" w:eastAsia="宋体" w:cs="宋体"/>
          <w:color w:val="auto"/>
          <w:sz w:val="24"/>
          <w:szCs w:val="24"/>
          <w:highlight w:val="none"/>
          <w:lang w:val="en-US" w:eastAsia="zh-CN"/>
        </w:rPr>
        <w:t>共40套（9个护眼灯+3个黑板灯为一套）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具体要求详见招标文件第</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章</w:t>
      </w:r>
      <w:r>
        <w:rPr>
          <w:rFonts w:hint="eastAsia" w:ascii="宋体" w:hAnsi="宋体" w:eastAsia="宋体" w:cs="宋体"/>
          <w:color w:val="auto"/>
          <w:sz w:val="24"/>
          <w:szCs w:val="24"/>
          <w:highlight w:val="none"/>
          <w:lang w:val="en-US" w:eastAsia="zh-CN"/>
        </w:rPr>
        <w:t>采购人需求及技术要求</w:t>
      </w:r>
      <w:r>
        <w:rPr>
          <w:rFonts w:hint="eastAsia" w:ascii="宋体" w:hAnsi="宋体" w:eastAsia="宋体" w:cs="宋体"/>
          <w:color w:val="auto"/>
          <w:sz w:val="24"/>
          <w:szCs w:val="24"/>
          <w:highlight w:val="none"/>
        </w:rPr>
        <w:t>；</w:t>
      </w:r>
    </w:p>
    <w:p w14:paraId="2E3C4AE7">
      <w:pPr>
        <w:pStyle w:val="24"/>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交货期：合同签订后30天内交付使用；</w:t>
      </w:r>
    </w:p>
    <w:p w14:paraId="6F121DF2">
      <w:pPr>
        <w:pStyle w:val="24"/>
        <w:spacing w:after="0"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质量要求：合格，符合国家及行业相关规范和标准；</w:t>
      </w:r>
    </w:p>
    <w:p w14:paraId="1DD05449">
      <w:pPr>
        <w:pStyle w:val="24"/>
        <w:spacing w:after="0"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验收标准：按国家行业标准验收</w:t>
      </w:r>
      <w:r>
        <w:rPr>
          <w:rFonts w:hint="eastAsia" w:ascii="宋体" w:hAnsi="宋体" w:eastAsia="宋体" w:cs="宋体"/>
          <w:color w:val="auto"/>
          <w:sz w:val="24"/>
          <w:szCs w:val="24"/>
          <w:highlight w:val="none"/>
          <w:lang w:eastAsia="zh-CN"/>
        </w:rPr>
        <w:t>；</w:t>
      </w:r>
    </w:p>
    <w:p w14:paraId="5A1A9B8E">
      <w:pPr>
        <w:pStyle w:val="24"/>
        <w:spacing w:after="0"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交货地点：</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zh-CN" w:eastAsia="zh-CN"/>
        </w:rPr>
        <w:t>指定地点；</w:t>
      </w:r>
    </w:p>
    <w:p w14:paraId="5A3EF1BA">
      <w:pPr>
        <w:pStyle w:val="24"/>
        <w:spacing w:after="0"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质保期：</w:t>
      </w:r>
      <w:r>
        <w:rPr>
          <w:rFonts w:hint="eastAsia" w:ascii="宋体" w:hAnsi="宋体" w:eastAsia="宋体" w:cs="宋体"/>
          <w:color w:val="auto"/>
          <w:sz w:val="24"/>
          <w:szCs w:val="24"/>
          <w:highlight w:val="none"/>
          <w:lang w:val="en-US" w:eastAsia="zh-CN"/>
        </w:rPr>
        <w:t>免费质保3</w:t>
      </w:r>
      <w:r>
        <w:rPr>
          <w:rFonts w:hint="eastAsia" w:ascii="宋体" w:hAnsi="宋体" w:eastAsia="宋体" w:cs="宋体"/>
          <w:color w:val="auto"/>
          <w:sz w:val="24"/>
          <w:szCs w:val="24"/>
          <w:highlight w:val="none"/>
          <w:lang w:eastAsia="zh-CN"/>
        </w:rPr>
        <w:t>年；</w:t>
      </w:r>
    </w:p>
    <w:p w14:paraId="722E133E">
      <w:pPr>
        <w:pStyle w:val="24"/>
        <w:spacing w:after="0"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7、合同履行期限：合同签订后30天内交付使用。</w:t>
      </w:r>
    </w:p>
    <w:p w14:paraId="110C9BE2">
      <w:pPr>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付款方式</w:t>
      </w:r>
      <w:bookmarkStart w:id="92" w:name="OLE_LINK25"/>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项目完成供货、调试，经甲方组织验收合格</w:t>
      </w:r>
      <w:r>
        <w:rPr>
          <w:rFonts w:hint="eastAsia" w:ascii="宋体" w:hAnsi="宋体" w:eastAsia="宋体" w:cs="宋体"/>
          <w:color w:val="auto"/>
          <w:sz w:val="24"/>
          <w:szCs w:val="24"/>
          <w:highlight w:val="none"/>
          <w:lang w:val="en-US" w:eastAsia="zh-CN"/>
        </w:rPr>
        <w:t>第一年内支付</w:t>
      </w:r>
      <w:r>
        <w:rPr>
          <w:rFonts w:hint="eastAsia"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0%合同额；第二年内支付</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0%合同额；第三年内，质保期结束后产品无质量等问题支付10%合同额。</w:t>
      </w:r>
      <w:r>
        <w:rPr>
          <w:rFonts w:hint="eastAsia" w:ascii="宋体" w:hAnsi="宋体" w:eastAsia="宋体" w:cs="宋体"/>
          <w:bCs/>
          <w:color w:val="auto"/>
          <w:sz w:val="24"/>
          <w:szCs w:val="24"/>
          <w:highlight w:val="none"/>
        </w:rPr>
        <w:t>（根据采购人要求开具发票）。</w:t>
      </w:r>
    </w:p>
    <w:bookmarkEnd w:id="92"/>
    <w:p w14:paraId="24E708B2">
      <w:pPr>
        <w:adjustRightInd w:val="0"/>
        <w:snapToGrid w:val="0"/>
        <w:spacing w:line="360" w:lineRule="auto"/>
        <w:ind w:firstLine="361" w:firstLineChars="15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四、其他要求</w:t>
      </w:r>
    </w:p>
    <w:p w14:paraId="2793CF02">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（一）供应商资格要求见供应商须知前附表。如资格证明文件遇年检、换证，则必须提供法定年检、换证单位出具的有效证明文件。</w:t>
      </w:r>
    </w:p>
    <w:p w14:paraId="02F7F61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供应商须提供符合国家质量标准、部颁标准、行业标准或本磋商文件规定标准的、供货渠道合法的全新原装合格正品（包括零部件），如安装或配置软件的，须为正版软件。所提供的货物应当同时符合国家有关安全、卫生、环保规定。</w:t>
      </w:r>
    </w:p>
    <w:p w14:paraId="3861969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响应报价是履行合同的最终报价，无特别注明，均为人民币报价。应包括本采购项目所包含的货物、软件、标准附件、备品备件、专用工具、图纸资料、技术服务，包装、仓储、运输、装卸、保险、税金，货到就位以及安装、调试、培训、保修等一切税金和费用。</w:t>
      </w:r>
    </w:p>
    <w:p w14:paraId="20E4358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（四）供应商对每种产品只允许有一种报价，采购人不接受有任何选择报价的报价。</w:t>
      </w:r>
    </w:p>
    <w:p w14:paraId="23EAD989">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（五）采购人在授予成交人合同时，保留对货物数量予以增减的权利。供应商不得在此情况下对响应文件作出修改，如单价、交货期、售后服务等。</w:t>
      </w:r>
    </w:p>
    <w:p w14:paraId="39867AB9">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（六）合同签订：合同由采购人与成交人签订。</w:t>
      </w:r>
    </w:p>
    <w:p w14:paraId="4FE8C0E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（七）交货要求：</w:t>
      </w:r>
    </w:p>
    <w:p w14:paraId="6C71066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1、交货期：见供应商须知前附表。超出磋商文件规定交货期的报价将不被接受。</w:t>
      </w:r>
    </w:p>
    <w:p w14:paraId="275FCDE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2、交货地点：见供应商须知前附表。</w:t>
      </w:r>
    </w:p>
    <w:p w14:paraId="4284AB22">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3、供应商应严格按照产品的制造、安装、检测及验收标准执行。</w:t>
      </w:r>
    </w:p>
    <w:p w14:paraId="3F6C1CCA">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4、提供制造商完整的随机技术资料、装箱单、合格证、使用和维修手册等。</w:t>
      </w:r>
    </w:p>
    <w:p w14:paraId="4091F43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（八）包装和发运</w:t>
      </w:r>
    </w:p>
    <w:p w14:paraId="0D424B8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1、货物的包装和发运须符合货物特性要求；</w:t>
      </w:r>
    </w:p>
    <w:p w14:paraId="1DC44CD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2、为了保证货物在长途运输和装卸过程中的安全，货物包装应符合国家或行业标准规定。由于包装不善导致货物锈蚀、缺失或损坏，由成交人承担一切责任。</w:t>
      </w:r>
    </w:p>
    <w:p w14:paraId="4C00888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（九）培训要求</w:t>
      </w:r>
    </w:p>
    <w:p w14:paraId="0D0B169A">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通过培训使采购人相关人员掌握有关的使用、维护和管理方法，达到能独立进行管理、一般故障处理、日常检测和维护等工作的目标。</w:t>
      </w:r>
    </w:p>
    <w:p w14:paraId="0137A53B">
      <w:pPr>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（十）售后服务要求</w:t>
      </w:r>
    </w:p>
    <w:p w14:paraId="68776B15">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1、供应商提供设备的质量保证期为自设备安装调试完毕且验收合格之日起3年。若国家有明确规定的质量保证期高于此质量保证期的，执行国家规定。</w:t>
      </w:r>
    </w:p>
    <w:p w14:paraId="35685D3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保期内，供应商应提供相关设备的售后服务支持。对采购人所反映的任何问题在1小时之内做出响应，在24小时之内赶到现场实地解决问题。若问题在24小时内无法解决，乙方应在1日内免费提供备用货物，直至货物恢复正常。</w:t>
      </w:r>
    </w:p>
    <w:p w14:paraId="5AB442EC">
      <w:pPr>
        <w:adjustRightInd w:val="0"/>
        <w:snapToGrid w:val="0"/>
        <w:spacing w:line="360" w:lineRule="auto"/>
        <w:ind w:firstLine="48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 w:val="24"/>
          <w:szCs w:val="24"/>
          <w:highlight w:val="none"/>
        </w:rPr>
        <w:t>（十一）履约验收：采购人</w:t>
      </w:r>
      <w:bookmarkStart w:id="93" w:name="OLE_LINK4"/>
      <w:r>
        <w:rPr>
          <w:rFonts w:hint="eastAsia" w:ascii="宋体" w:hAnsi="宋体" w:eastAsia="宋体" w:cs="宋体"/>
          <w:color w:val="auto"/>
          <w:sz w:val="24"/>
          <w:szCs w:val="24"/>
          <w:highlight w:val="none"/>
        </w:rPr>
        <w:t>根据国家有关规定、磋商文件、成交人的响应文件以及合同约定的内容和验收标准</w:t>
      </w:r>
      <w:bookmarkEnd w:id="93"/>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委托第三方依法取得检测、认证资质的机构</w:t>
      </w:r>
      <w:r>
        <w:rPr>
          <w:rFonts w:hint="eastAsia" w:ascii="宋体" w:hAnsi="宋体" w:eastAsia="宋体" w:cs="宋体"/>
          <w:color w:val="auto"/>
          <w:sz w:val="24"/>
          <w:szCs w:val="24"/>
          <w:highlight w:val="none"/>
        </w:rPr>
        <w:t>进行验收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产生检验检测费用，</w:t>
      </w:r>
      <w:r>
        <w:rPr>
          <w:rFonts w:hint="eastAsia" w:ascii="宋体" w:hAnsi="宋体" w:eastAsia="宋体" w:cs="宋体"/>
          <w:color w:val="auto"/>
          <w:sz w:val="24"/>
          <w:szCs w:val="24"/>
          <w:highlight w:val="none"/>
          <w:lang w:val="en-US" w:eastAsia="zh-CN"/>
        </w:rPr>
        <w:t>均包含在本次采购预算内，</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val="en-US" w:eastAsia="zh-CN"/>
        </w:rPr>
        <w:t>成交人</w:t>
      </w:r>
      <w:r>
        <w:rPr>
          <w:rFonts w:hint="eastAsia" w:ascii="宋体" w:hAnsi="宋体" w:eastAsia="宋体" w:cs="宋体"/>
          <w:color w:val="auto"/>
          <w:sz w:val="24"/>
          <w:szCs w:val="24"/>
          <w:highlight w:val="none"/>
        </w:rPr>
        <w:t>承担。验收情况作为支付货款的依据。</w:t>
      </w:r>
      <w:r>
        <w:rPr>
          <w:rFonts w:hint="eastAsia" w:ascii="宋体" w:hAnsi="宋体" w:eastAsia="宋体" w:cs="宋体"/>
          <w:color w:val="auto"/>
          <w:sz w:val="24"/>
          <w:szCs w:val="24"/>
          <w:highlight w:val="none"/>
          <w:lang w:val="en-US" w:eastAsia="zh-CN"/>
        </w:rPr>
        <w:t>对于供应商未按约定提供货物的，采购人应当依法追究其违约责任。</w:t>
      </w:r>
    </w:p>
    <w:p w14:paraId="62252EDB">
      <w:pPr>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br w:type="page"/>
      </w:r>
    </w:p>
    <w:p w14:paraId="41AAFE48">
      <w:pPr>
        <w:pStyle w:val="2"/>
        <w:rPr>
          <w:rFonts w:hint="eastAsia" w:ascii="宋体" w:hAnsi="宋体" w:eastAsia="宋体" w:cs="宋体"/>
          <w:color w:val="auto"/>
          <w:highlight w:val="none"/>
        </w:rPr>
      </w:pPr>
      <w:r>
        <w:rPr>
          <w:rFonts w:hint="eastAsia" w:ascii="宋体" w:hAnsi="宋体" w:eastAsia="宋体" w:cs="宋体"/>
          <w:color w:val="auto"/>
          <w:kern w:val="2"/>
          <w:szCs w:val="32"/>
          <w:highlight w:val="none"/>
        </w:rPr>
        <w:t xml:space="preserve">第四章  </w:t>
      </w:r>
      <w:bookmarkEnd w:id="88"/>
      <w:r>
        <w:rPr>
          <w:rFonts w:hint="eastAsia" w:ascii="宋体" w:hAnsi="宋体" w:eastAsia="宋体" w:cs="宋体"/>
          <w:color w:val="auto"/>
          <w:kern w:val="2"/>
          <w:szCs w:val="32"/>
          <w:highlight w:val="none"/>
        </w:rPr>
        <w:t>合同协议书（格式）</w:t>
      </w:r>
      <w:bookmarkEnd w:id="89"/>
      <w:bookmarkEnd w:id="90"/>
      <w:bookmarkEnd w:id="91"/>
      <w:bookmarkStart w:id="94" w:name="_Toc449115783"/>
    </w:p>
    <w:p w14:paraId="0775939F">
      <w:pPr>
        <w:bidi w:val="0"/>
        <w:jc w:val="center"/>
        <w:rPr>
          <w:rFonts w:hint="eastAsia"/>
          <w:color w:val="auto"/>
          <w:highlight w:val="none"/>
        </w:rPr>
      </w:pPr>
      <w:bookmarkStart w:id="95" w:name="_Toc17817"/>
      <w:bookmarkStart w:id="96" w:name="_Toc6487310"/>
      <w:r>
        <w:rPr>
          <w:color w:val="auto"/>
          <w:highlight w:val="none"/>
        </w:rPr>
        <w:t>政府采购合同</w:t>
      </w:r>
      <w:r>
        <w:rPr>
          <w:rFonts w:hint="eastAsia"/>
          <w:color w:val="auto"/>
          <w:highlight w:val="none"/>
        </w:rPr>
        <w:t>参考范本</w:t>
      </w:r>
    </w:p>
    <w:p w14:paraId="28FA78FA">
      <w:pPr>
        <w:bidi w:val="0"/>
        <w:jc w:val="center"/>
        <w:rPr>
          <w:rFonts w:hint="eastAsia"/>
          <w:color w:val="auto"/>
          <w:highlight w:val="none"/>
        </w:rPr>
      </w:pPr>
      <w:r>
        <w:rPr>
          <w:rFonts w:hint="eastAsia"/>
          <w:color w:val="auto"/>
          <w:highlight w:val="none"/>
        </w:rPr>
        <w:t>（货物类）</w:t>
      </w:r>
    </w:p>
    <w:p w14:paraId="7A646A78">
      <w:pPr>
        <w:rPr>
          <w:rFonts w:ascii="仿宋" w:hAnsi="仿宋" w:eastAsia="仿宋"/>
          <w:color w:val="auto"/>
          <w:highlight w:val="none"/>
        </w:rPr>
      </w:pPr>
    </w:p>
    <w:p w14:paraId="54F8384A">
      <w:pPr>
        <w:rPr>
          <w:rFonts w:hint="eastAsia" w:ascii="仿宋" w:hAnsi="仿宋" w:eastAsia="仿宋"/>
          <w:color w:val="auto"/>
          <w:highlight w:val="none"/>
          <w:lang w:val="zh-CN"/>
        </w:rPr>
      </w:pPr>
    </w:p>
    <w:p w14:paraId="41F559FC">
      <w:pPr>
        <w:autoSpaceDE w:val="0"/>
        <w:autoSpaceDN w:val="0"/>
        <w:adjustRightInd w:val="0"/>
        <w:jc w:val="left"/>
        <w:rPr>
          <w:rFonts w:ascii="仿宋" w:hAnsi="仿宋" w:eastAsia="仿宋"/>
          <w:color w:val="auto"/>
          <w:kern w:val="0"/>
          <w:sz w:val="24"/>
          <w:highlight w:val="none"/>
          <w:lang w:val="zh-CN"/>
        </w:rPr>
      </w:pPr>
    </w:p>
    <w:p w14:paraId="5F912685">
      <w:pPr>
        <w:autoSpaceDE w:val="0"/>
        <w:autoSpaceDN w:val="0"/>
        <w:adjustRightInd w:val="0"/>
        <w:jc w:val="center"/>
        <w:rPr>
          <w:rFonts w:hint="eastAsia" w:ascii="宋体" w:hAnsi="宋体" w:eastAsia="宋体" w:cs="宋体"/>
          <w:color w:val="auto"/>
          <w:kern w:val="0"/>
          <w:sz w:val="24"/>
          <w:szCs w:val="24"/>
          <w:highlight w:val="none"/>
          <w:lang w:val="zh-CN"/>
        </w:rPr>
      </w:pPr>
      <w:r>
        <w:rPr>
          <w:rFonts w:hint="eastAsia" w:ascii="仿宋" w:hAnsi="仿宋" w:eastAsia="仿宋"/>
          <w:b/>
          <w:color w:val="auto"/>
          <w:kern w:val="0"/>
          <w:sz w:val="24"/>
          <w:highlight w:val="none"/>
          <w:lang w:val="zh-CN"/>
        </w:rPr>
        <w:br w:type="page"/>
      </w:r>
      <w:r>
        <w:rPr>
          <w:rFonts w:hint="eastAsia" w:ascii="宋体" w:hAnsi="宋体" w:eastAsia="宋体" w:cs="宋体"/>
          <w:b/>
          <w:color w:val="auto"/>
          <w:kern w:val="0"/>
          <w:sz w:val="24"/>
          <w:szCs w:val="24"/>
          <w:highlight w:val="none"/>
          <w:lang w:val="zh-CN"/>
        </w:rPr>
        <w:t>第一部分 合同书</w:t>
      </w:r>
    </w:p>
    <w:p w14:paraId="4BB4D125">
      <w:pPr>
        <w:spacing w:before="120" w:line="22" w:lineRule="atLeast"/>
        <w:ind w:left="0" w:leftChars="0" w:firstLine="0" w:firstLineChars="0"/>
        <w:rPr>
          <w:rFonts w:hint="eastAsia" w:ascii="宋体" w:hAnsi="宋体" w:eastAsia="宋体" w:cs="宋体"/>
          <w:color w:val="auto"/>
          <w:sz w:val="24"/>
          <w:szCs w:val="24"/>
          <w:highlight w:val="none"/>
        </w:rPr>
      </w:pPr>
    </w:p>
    <w:p w14:paraId="64668181">
      <w:pPr>
        <w:spacing w:before="12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项目名称：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郑州市郑州市上街区教育局采购智慧黑板及教室护眼灯设备项目</w:t>
      </w:r>
      <w:r>
        <w:rPr>
          <w:rFonts w:hint="eastAsia" w:ascii="宋体" w:hAnsi="宋体" w:eastAsia="宋体" w:cs="宋体"/>
          <w:color w:val="auto"/>
          <w:sz w:val="24"/>
          <w:szCs w:val="24"/>
          <w:highlight w:val="none"/>
          <w:u w:val="single"/>
        </w:rPr>
        <w:t xml:space="preserve">    </w:t>
      </w:r>
    </w:p>
    <w:p w14:paraId="057B37A4">
      <w:pPr>
        <w:spacing w:before="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u w:val="single"/>
        </w:rPr>
        <w:t xml:space="preserve">  郑州市上街区教育局                   </w:t>
      </w:r>
    </w:p>
    <w:p w14:paraId="730CD491">
      <w:pPr>
        <w:spacing w:before="12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u w:val="single"/>
        </w:rPr>
        <w:t xml:space="preserve">                                       </w:t>
      </w:r>
    </w:p>
    <w:p w14:paraId="22028905">
      <w:pPr>
        <w:spacing w:before="12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签订地点：</w:t>
      </w:r>
      <w:r>
        <w:rPr>
          <w:rFonts w:hint="eastAsia" w:ascii="宋体" w:hAnsi="宋体" w:eastAsia="宋体" w:cs="宋体"/>
          <w:color w:val="auto"/>
          <w:sz w:val="24"/>
          <w:szCs w:val="24"/>
          <w:highlight w:val="none"/>
          <w:u w:val="single"/>
        </w:rPr>
        <w:t xml:space="preserve">                                     </w:t>
      </w:r>
    </w:p>
    <w:p w14:paraId="45A2A88D">
      <w:pPr>
        <w:spacing w:before="120" w:line="22"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4F30BD3">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日</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郑州市上街区教育局   </w:t>
      </w:r>
      <w:r>
        <w:rPr>
          <w:rFonts w:hint="eastAsia" w:ascii="宋体" w:hAnsi="宋体" w:eastAsia="宋体" w:cs="宋体"/>
          <w:color w:val="auto"/>
          <w:sz w:val="24"/>
          <w:szCs w:val="24"/>
          <w:highlight w:val="none"/>
        </w:rPr>
        <w:t>以</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竞争性磋商方式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郑州市上街区教育局采购智慧黑板及教室护眼灯设备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项目进行了采购。经</w:t>
      </w:r>
      <w:r>
        <w:rPr>
          <w:rFonts w:hint="eastAsia" w:ascii="宋体" w:hAnsi="宋体" w:eastAsia="宋体" w:cs="宋体"/>
          <w:color w:val="auto"/>
          <w:sz w:val="24"/>
          <w:szCs w:val="24"/>
          <w:highlight w:val="none"/>
          <w:u w:val="single"/>
          <w:lang w:val="en-US" w:eastAsia="zh-CN"/>
        </w:rPr>
        <w:t>评标委员会</w:t>
      </w:r>
      <w:r>
        <w:rPr>
          <w:rFonts w:hint="eastAsia" w:ascii="宋体" w:hAnsi="宋体" w:eastAsia="宋体" w:cs="宋体"/>
          <w:color w:val="auto"/>
          <w:sz w:val="24"/>
          <w:szCs w:val="24"/>
          <w:highlight w:val="none"/>
        </w:rPr>
        <w:t>评</w:t>
      </w:r>
      <w:r>
        <w:rPr>
          <w:rFonts w:hint="eastAsia" w:ascii="宋体" w:hAnsi="宋体" w:eastAsia="宋体" w:cs="宋体"/>
          <w:color w:val="auto"/>
          <w:sz w:val="24"/>
          <w:szCs w:val="24"/>
          <w:highlight w:val="none"/>
          <w:lang w:eastAsia="zh-CN"/>
        </w:rPr>
        <w:t>审</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被采购人确定</w:t>
      </w:r>
      <w:r>
        <w:rPr>
          <w:rFonts w:hint="eastAsia" w:ascii="宋体" w:hAnsi="宋体" w:eastAsia="宋体" w:cs="宋体"/>
          <w:color w:val="auto"/>
          <w:sz w:val="24"/>
          <w:szCs w:val="24"/>
          <w:highlight w:val="none"/>
          <w:u w:val="single"/>
        </w:rPr>
        <w:t xml:space="preserve">   （成交供应商名称）  </w:t>
      </w:r>
      <w:r>
        <w:rPr>
          <w:rFonts w:hint="eastAsia" w:ascii="宋体" w:hAnsi="宋体" w:eastAsia="宋体" w:cs="宋体"/>
          <w:color w:val="auto"/>
          <w:sz w:val="24"/>
          <w:szCs w:val="24"/>
          <w:highlight w:val="none"/>
        </w:rPr>
        <w:t>为该项目</w:t>
      </w:r>
      <w:r>
        <w:rPr>
          <w:rFonts w:hint="eastAsia" w:ascii="宋体" w:hAnsi="宋体" w:eastAsia="宋体" w:cs="宋体"/>
          <w:color w:val="auto"/>
          <w:sz w:val="24"/>
          <w:szCs w:val="24"/>
          <w:highlight w:val="none"/>
          <w:lang w:val="en-US" w:eastAsia="zh-CN"/>
        </w:rPr>
        <w:t>A包</w:t>
      </w:r>
      <w:r>
        <w:rPr>
          <w:rFonts w:hint="eastAsia" w:ascii="宋体" w:hAnsi="宋体" w:eastAsia="宋体" w:cs="宋体"/>
          <w:color w:val="auto"/>
          <w:sz w:val="24"/>
          <w:szCs w:val="24"/>
          <w:highlight w:val="none"/>
        </w:rPr>
        <w:t>成交供应商。现于成交通知书发出之日起2个工作日内，按照</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文件确定的事项签订本合同。</w:t>
      </w:r>
    </w:p>
    <w:p w14:paraId="15CBFB73">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szCs w:val="24"/>
          <w:highlight w:val="none"/>
          <w:u w:val="single"/>
        </w:rPr>
        <w:t xml:space="preserve">郑州市上街区教育局 </w:t>
      </w:r>
      <w:r>
        <w:rPr>
          <w:rFonts w:hint="eastAsia" w:ascii="宋体" w:hAnsi="宋体" w:eastAsia="宋体" w:cs="宋体"/>
          <w:color w:val="auto"/>
          <w:sz w:val="24"/>
          <w:szCs w:val="24"/>
          <w:highlight w:val="none"/>
          <w:lang w:val="zh-CN"/>
        </w:rPr>
        <w:t>(以下简称：甲方)和</w:t>
      </w:r>
      <w:r>
        <w:rPr>
          <w:rFonts w:hint="eastAsia" w:ascii="宋体" w:hAnsi="宋体" w:eastAsia="宋体" w:cs="宋体"/>
          <w:color w:val="auto"/>
          <w:sz w:val="24"/>
          <w:szCs w:val="24"/>
          <w:highlight w:val="none"/>
          <w:u w:val="single"/>
        </w:rPr>
        <w:t xml:space="preserve">   （成交供应商名称）   </w:t>
      </w:r>
      <w:r>
        <w:rPr>
          <w:rFonts w:hint="eastAsia" w:ascii="宋体" w:hAnsi="宋体" w:eastAsia="宋体" w:cs="宋体"/>
          <w:color w:val="auto"/>
          <w:sz w:val="24"/>
          <w:szCs w:val="24"/>
          <w:highlight w:val="none"/>
          <w:lang w:val="zh-CN"/>
        </w:rPr>
        <w:t>(以下简称：乙方)协商一致，约定以下合同</w:t>
      </w:r>
      <w:r>
        <w:rPr>
          <w:rFonts w:hint="eastAsia" w:ascii="宋体" w:hAnsi="宋体" w:eastAsia="宋体" w:cs="宋体"/>
          <w:color w:val="auto"/>
          <w:sz w:val="24"/>
          <w:szCs w:val="24"/>
          <w:highlight w:val="none"/>
        </w:rPr>
        <w:t>条款，以兹共同遵守、全面履行。</w:t>
      </w:r>
    </w:p>
    <w:p w14:paraId="6F93ABB5">
      <w:pPr>
        <w:rPr>
          <w:rFonts w:hint="eastAsia" w:ascii="宋体" w:hAnsi="宋体" w:eastAsia="宋体" w:cs="宋体"/>
          <w:color w:val="auto"/>
          <w:sz w:val="24"/>
          <w:szCs w:val="24"/>
          <w:highlight w:val="none"/>
        </w:rPr>
      </w:pPr>
    </w:p>
    <w:p w14:paraId="3FD52555">
      <w:pPr>
        <w:spacing w:line="560" w:lineRule="exact"/>
        <w:ind w:firstLine="482" w:firstLineChars="200"/>
        <w:outlineLvl w:val="0"/>
        <w:rPr>
          <w:rFonts w:hint="eastAsia" w:ascii="宋体" w:hAnsi="宋体" w:eastAsia="宋体" w:cs="宋体"/>
          <w:b/>
          <w:color w:val="auto"/>
          <w:sz w:val="24"/>
          <w:szCs w:val="24"/>
          <w:highlight w:val="none"/>
        </w:rPr>
      </w:pPr>
      <w:bookmarkStart w:id="97" w:name="_Toc82613304"/>
      <w:bookmarkStart w:id="98" w:name="_Toc24059"/>
      <w:bookmarkStart w:id="99" w:name="_Toc3029"/>
      <w:bookmarkStart w:id="100" w:name="_Toc2232"/>
      <w:r>
        <w:rPr>
          <w:rFonts w:hint="eastAsia" w:ascii="宋体" w:hAnsi="宋体" w:eastAsia="宋体" w:cs="宋体"/>
          <w:b/>
          <w:color w:val="auto"/>
          <w:sz w:val="24"/>
          <w:szCs w:val="24"/>
          <w:highlight w:val="none"/>
        </w:rPr>
        <w:t>1.1 合同组成部分</w:t>
      </w:r>
      <w:bookmarkEnd w:id="97"/>
      <w:bookmarkEnd w:id="98"/>
      <w:bookmarkEnd w:id="99"/>
      <w:bookmarkEnd w:id="100"/>
    </w:p>
    <w:p w14:paraId="16525F1F">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416A7E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本合同及其补充合同、变更协议；</w:t>
      </w:r>
    </w:p>
    <w:p w14:paraId="5F642EB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成交通知书；</w:t>
      </w:r>
    </w:p>
    <w:p w14:paraId="242BD38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1.1.3 </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文件（含澄清或者说明文件）；</w:t>
      </w:r>
    </w:p>
    <w:p w14:paraId="32DFA16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1.1.4 </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文件（含澄清或者修改文件）；</w:t>
      </w:r>
    </w:p>
    <w:p w14:paraId="538627E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 其他相关采购文件。</w:t>
      </w:r>
    </w:p>
    <w:p w14:paraId="55624FBE">
      <w:pPr>
        <w:spacing w:line="240" w:lineRule="auto"/>
        <w:ind w:firstLine="482" w:firstLineChars="200"/>
        <w:jc w:val="left"/>
        <w:outlineLvl w:val="0"/>
        <w:rPr>
          <w:rFonts w:hint="eastAsia" w:ascii="宋体" w:hAnsi="宋体" w:eastAsia="宋体" w:cs="宋体"/>
          <w:b/>
          <w:color w:val="auto"/>
          <w:sz w:val="24"/>
          <w:szCs w:val="24"/>
          <w:highlight w:val="none"/>
        </w:rPr>
      </w:pPr>
      <w:bookmarkStart w:id="101" w:name="_Toc21295"/>
      <w:bookmarkStart w:id="102" w:name="_Toc24300"/>
      <w:bookmarkStart w:id="103" w:name="_Toc82613305"/>
      <w:bookmarkStart w:id="104" w:name="_Toc27126"/>
      <w:r>
        <w:rPr>
          <w:rFonts w:hint="eastAsia" w:ascii="宋体" w:hAnsi="宋体" w:eastAsia="宋体" w:cs="宋体"/>
          <w:b/>
          <w:color w:val="auto"/>
          <w:sz w:val="24"/>
          <w:szCs w:val="24"/>
          <w:highlight w:val="none"/>
        </w:rPr>
        <w:t>1.2 货物</w:t>
      </w:r>
      <w:bookmarkEnd w:id="101"/>
      <w:bookmarkEnd w:id="102"/>
      <w:bookmarkEnd w:id="103"/>
      <w:bookmarkEnd w:id="104"/>
    </w:p>
    <w:p w14:paraId="128F1E59">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货物名称：</w:t>
      </w:r>
      <w:r>
        <w:rPr>
          <w:rFonts w:hint="eastAsia" w:ascii="宋体" w:hAnsi="宋体" w:eastAsia="宋体" w:cs="宋体"/>
          <w:color w:val="auto"/>
          <w:sz w:val="24"/>
          <w:szCs w:val="24"/>
          <w:highlight w:val="none"/>
          <w:lang w:eastAsia="zh-CN"/>
        </w:rPr>
        <w:t>郑州市上街区教育局采购智慧黑板及教室护眼灯设备项目</w:t>
      </w:r>
      <w:r>
        <w:rPr>
          <w:rFonts w:hint="eastAsia" w:ascii="宋体" w:hAnsi="宋体" w:eastAsia="宋体" w:cs="宋体"/>
          <w:color w:val="auto"/>
          <w:sz w:val="24"/>
          <w:szCs w:val="24"/>
          <w:highlight w:val="none"/>
        </w:rPr>
        <w:t xml:space="preserve">       </w:t>
      </w:r>
    </w:p>
    <w:p w14:paraId="5CCFB025">
      <w:pPr>
        <w:spacing w:line="5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1.2.2</w:t>
      </w:r>
      <w:r>
        <w:rPr>
          <w:rFonts w:hint="eastAsia" w:ascii="宋体" w:hAnsi="宋体" w:eastAsia="宋体" w:cs="宋体"/>
          <w:bCs/>
          <w:color w:val="auto"/>
          <w:sz w:val="24"/>
          <w:szCs w:val="24"/>
          <w:highlight w:val="none"/>
        </w:rPr>
        <w:t>采购内容</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郑州市上街区教育局采购智慧黑板及教室护眼灯设备</w:t>
      </w:r>
      <w:r>
        <w:rPr>
          <w:rFonts w:hint="eastAsia" w:ascii="宋体" w:hAnsi="宋体" w:eastAsia="宋体" w:cs="宋体"/>
          <w:b w:val="0"/>
          <w:bCs w:val="0"/>
          <w:color w:val="auto"/>
          <w:sz w:val="24"/>
          <w:szCs w:val="24"/>
          <w:highlight w:val="none"/>
          <w:lang w:val="en-US" w:eastAsia="zh-CN"/>
        </w:rPr>
        <w:t>购置，其中：</w:t>
      </w:r>
      <w:r>
        <w:rPr>
          <w:rFonts w:hint="eastAsia" w:ascii="宋体" w:hAnsi="宋体" w:eastAsia="宋体" w:cs="宋体"/>
          <w:b w:val="0"/>
          <w:bCs w:val="0"/>
          <w:color w:val="auto"/>
          <w:sz w:val="24"/>
          <w:szCs w:val="24"/>
          <w:highlight w:val="none"/>
        </w:rPr>
        <w:t>智慧黑板采购、安装及</w:t>
      </w:r>
      <w:r>
        <w:rPr>
          <w:rFonts w:hint="eastAsia" w:ascii="宋体" w:hAnsi="宋体" w:eastAsia="宋体" w:cs="宋体"/>
          <w:b w:val="0"/>
          <w:bCs w:val="0"/>
          <w:color w:val="auto"/>
          <w:sz w:val="24"/>
          <w:szCs w:val="24"/>
          <w:highlight w:val="none"/>
          <w:lang w:val="en-US" w:eastAsia="zh-CN"/>
        </w:rPr>
        <w:t>售后</w:t>
      </w:r>
      <w:r>
        <w:rPr>
          <w:rFonts w:hint="eastAsia" w:ascii="宋体" w:hAnsi="宋体" w:eastAsia="宋体" w:cs="宋体"/>
          <w:b w:val="0"/>
          <w:bCs w:val="0"/>
          <w:color w:val="auto"/>
          <w:sz w:val="24"/>
          <w:szCs w:val="24"/>
          <w:highlight w:val="none"/>
        </w:rPr>
        <w:t>服务</w:t>
      </w:r>
      <w:r>
        <w:rPr>
          <w:rFonts w:hint="eastAsia" w:ascii="宋体" w:hAnsi="宋体" w:eastAsia="宋体" w:cs="宋体"/>
          <w:b w:val="0"/>
          <w:bCs w:val="0"/>
          <w:color w:val="auto"/>
          <w:sz w:val="24"/>
          <w:szCs w:val="24"/>
          <w:highlight w:val="none"/>
          <w:lang w:val="en-US" w:eastAsia="zh-CN"/>
        </w:rPr>
        <w:t>共30套，含拆除原有的教学设备30套并安装到指定位置；</w:t>
      </w:r>
      <w:r>
        <w:rPr>
          <w:rFonts w:hint="eastAsia" w:ascii="宋体" w:hAnsi="宋体" w:eastAsia="宋体" w:cs="宋体"/>
          <w:b w:val="0"/>
          <w:bCs w:val="0"/>
          <w:color w:val="auto"/>
          <w:sz w:val="24"/>
          <w:szCs w:val="24"/>
          <w:highlight w:val="none"/>
        </w:rPr>
        <w:t>LED 教室护眼灯、LED 黑板护眼灯、辅材及安装</w:t>
      </w:r>
      <w:r>
        <w:rPr>
          <w:rFonts w:hint="eastAsia" w:ascii="宋体" w:hAnsi="宋体" w:eastAsia="宋体" w:cs="宋体"/>
          <w:b w:val="0"/>
          <w:bCs w:val="0"/>
          <w:color w:val="auto"/>
          <w:sz w:val="24"/>
          <w:szCs w:val="24"/>
          <w:highlight w:val="none"/>
          <w:lang w:val="en-US" w:eastAsia="zh-CN"/>
        </w:rPr>
        <w:t>共40套（9个护眼灯+3个黑板灯为一套）</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具体要求详见招标文件第</w:t>
      </w:r>
      <w:r>
        <w:rPr>
          <w:rFonts w:hint="eastAsia" w:ascii="宋体" w:hAnsi="宋体" w:eastAsia="宋体" w:cs="宋体"/>
          <w:b w:val="0"/>
          <w:bCs w:val="0"/>
          <w:color w:val="auto"/>
          <w:sz w:val="24"/>
          <w:szCs w:val="24"/>
          <w:highlight w:val="none"/>
          <w:lang w:val="en-US" w:eastAsia="zh-CN"/>
        </w:rPr>
        <w:t>四</w:t>
      </w:r>
      <w:r>
        <w:rPr>
          <w:rFonts w:hint="eastAsia" w:ascii="宋体" w:hAnsi="宋体" w:eastAsia="宋体" w:cs="宋体"/>
          <w:b w:val="0"/>
          <w:bCs w:val="0"/>
          <w:color w:val="auto"/>
          <w:sz w:val="24"/>
          <w:szCs w:val="24"/>
          <w:highlight w:val="none"/>
        </w:rPr>
        <w:t>章技术参数及要求；</w:t>
      </w:r>
    </w:p>
    <w:p w14:paraId="6E65D156">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 质量要求：</w:t>
      </w:r>
      <w:r>
        <w:rPr>
          <w:rFonts w:hint="eastAsia" w:ascii="宋体" w:hAnsi="宋体" w:eastAsia="宋体" w:cs="宋体"/>
          <w:color w:val="auto"/>
          <w:sz w:val="24"/>
          <w:szCs w:val="24"/>
          <w:highlight w:val="none"/>
          <w:u w:val="single"/>
        </w:rPr>
        <w:t>合格，符合国家及行业相关标准</w:t>
      </w:r>
      <w:r>
        <w:rPr>
          <w:rFonts w:hint="eastAsia" w:ascii="宋体" w:hAnsi="宋体" w:eastAsia="宋体" w:cs="宋体"/>
          <w:color w:val="auto"/>
          <w:sz w:val="24"/>
          <w:szCs w:val="24"/>
          <w:highlight w:val="none"/>
        </w:rPr>
        <w:t>。</w:t>
      </w:r>
    </w:p>
    <w:p w14:paraId="7302B006">
      <w:pPr>
        <w:spacing w:line="560" w:lineRule="exact"/>
        <w:ind w:firstLine="482" w:firstLineChars="200"/>
        <w:outlineLvl w:val="0"/>
        <w:rPr>
          <w:rFonts w:hint="eastAsia" w:ascii="宋体" w:hAnsi="宋体" w:eastAsia="宋体" w:cs="宋体"/>
          <w:b/>
          <w:color w:val="auto"/>
          <w:sz w:val="24"/>
          <w:szCs w:val="24"/>
          <w:highlight w:val="none"/>
        </w:rPr>
      </w:pPr>
      <w:bookmarkStart w:id="105" w:name="_Toc82613306"/>
      <w:bookmarkStart w:id="106" w:name="_Toc21551"/>
      <w:bookmarkStart w:id="107" w:name="_Toc21631"/>
      <w:bookmarkStart w:id="108" w:name="_Toc23292"/>
      <w:r>
        <w:rPr>
          <w:rFonts w:hint="eastAsia" w:ascii="宋体" w:hAnsi="宋体" w:eastAsia="宋体" w:cs="宋体"/>
          <w:b/>
          <w:color w:val="auto"/>
          <w:sz w:val="24"/>
          <w:szCs w:val="24"/>
          <w:highlight w:val="none"/>
        </w:rPr>
        <w:t>1.3 价款</w:t>
      </w:r>
      <w:bookmarkEnd w:id="105"/>
      <w:bookmarkEnd w:id="106"/>
      <w:bookmarkEnd w:id="107"/>
      <w:bookmarkEnd w:id="108"/>
    </w:p>
    <w:p w14:paraId="15969C93">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本合同总价为：￥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元人民币）。</w:t>
      </w:r>
    </w:p>
    <w:p w14:paraId="2CE5C7DF">
      <w:pPr>
        <w:spacing w:line="5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2AC9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037D170">
            <w:pPr>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noWrap w:val="0"/>
            <w:vAlign w:val="center"/>
          </w:tcPr>
          <w:p w14:paraId="1D1F3B32">
            <w:pPr>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noWrap w:val="0"/>
            <w:vAlign w:val="center"/>
          </w:tcPr>
          <w:p w14:paraId="006BD805">
            <w:pPr>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25262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76DC850C">
            <w:pPr>
              <w:spacing w:line="560" w:lineRule="exact"/>
              <w:ind w:firstLine="200"/>
              <w:jc w:val="center"/>
              <w:rPr>
                <w:rFonts w:hint="eastAsia" w:ascii="宋体" w:hAnsi="宋体" w:eastAsia="宋体" w:cs="宋体"/>
                <w:color w:val="auto"/>
                <w:sz w:val="24"/>
                <w:szCs w:val="24"/>
                <w:highlight w:val="none"/>
              </w:rPr>
            </w:pPr>
          </w:p>
        </w:tc>
        <w:tc>
          <w:tcPr>
            <w:tcW w:w="3402" w:type="dxa"/>
            <w:noWrap w:val="0"/>
            <w:vAlign w:val="center"/>
          </w:tcPr>
          <w:p w14:paraId="41196B63">
            <w:pPr>
              <w:spacing w:line="560" w:lineRule="exact"/>
              <w:ind w:firstLine="200"/>
              <w:jc w:val="center"/>
              <w:rPr>
                <w:rFonts w:hint="eastAsia" w:ascii="宋体" w:hAnsi="宋体" w:eastAsia="宋体" w:cs="宋体"/>
                <w:color w:val="auto"/>
                <w:sz w:val="24"/>
                <w:szCs w:val="24"/>
                <w:highlight w:val="none"/>
              </w:rPr>
            </w:pPr>
          </w:p>
        </w:tc>
        <w:tc>
          <w:tcPr>
            <w:tcW w:w="2552" w:type="dxa"/>
            <w:noWrap w:val="0"/>
            <w:vAlign w:val="center"/>
          </w:tcPr>
          <w:p w14:paraId="57BEAD0A">
            <w:pPr>
              <w:spacing w:line="560" w:lineRule="exact"/>
              <w:ind w:firstLine="200"/>
              <w:jc w:val="center"/>
              <w:rPr>
                <w:rFonts w:hint="eastAsia" w:ascii="宋体" w:hAnsi="宋体" w:eastAsia="宋体" w:cs="宋体"/>
                <w:color w:val="auto"/>
                <w:sz w:val="24"/>
                <w:szCs w:val="24"/>
                <w:highlight w:val="none"/>
              </w:rPr>
            </w:pPr>
          </w:p>
        </w:tc>
      </w:tr>
      <w:tr w14:paraId="672D1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746EF551">
            <w:pPr>
              <w:spacing w:line="560" w:lineRule="exact"/>
              <w:ind w:firstLine="200"/>
              <w:jc w:val="center"/>
              <w:rPr>
                <w:rFonts w:hint="eastAsia" w:ascii="宋体" w:hAnsi="宋体" w:eastAsia="宋体" w:cs="宋体"/>
                <w:color w:val="auto"/>
                <w:sz w:val="24"/>
                <w:szCs w:val="24"/>
                <w:highlight w:val="none"/>
              </w:rPr>
            </w:pPr>
          </w:p>
        </w:tc>
        <w:tc>
          <w:tcPr>
            <w:tcW w:w="3402" w:type="dxa"/>
            <w:noWrap w:val="0"/>
            <w:vAlign w:val="center"/>
          </w:tcPr>
          <w:p w14:paraId="2E8C27AB">
            <w:pPr>
              <w:spacing w:line="560" w:lineRule="exact"/>
              <w:ind w:firstLine="200"/>
              <w:jc w:val="center"/>
              <w:rPr>
                <w:rFonts w:hint="eastAsia" w:ascii="宋体" w:hAnsi="宋体" w:eastAsia="宋体" w:cs="宋体"/>
                <w:color w:val="auto"/>
                <w:sz w:val="24"/>
                <w:szCs w:val="24"/>
                <w:highlight w:val="none"/>
              </w:rPr>
            </w:pPr>
          </w:p>
        </w:tc>
        <w:tc>
          <w:tcPr>
            <w:tcW w:w="2552" w:type="dxa"/>
            <w:noWrap w:val="0"/>
            <w:vAlign w:val="center"/>
          </w:tcPr>
          <w:p w14:paraId="528698E9">
            <w:pPr>
              <w:spacing w:line="560" w:lineRule="exact"/>
              <w:ind w:firstLine="200"/>
              <w:jc w:val="center"/>
              <w:rPr>
                <w:rFonts w:hint="eastAsia" w:ascii="宋体" w:hAnsi="宋体" w:eastAsia="宋体" w:cs="宋体"/>
                <w:color w:val="auto"/>
                <w:sz w:val="24"/>
                <w:szCs w:val="24"/>
                <w:highlight w:val="none"/>
              </w:rPr>
            </w:pPr>
          </w:p>
        </w:tc>
      </w:tr>
      <w:tr w14:paraId="681C7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5F9E9EE8">
            <w:pPr>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noWrap w:val="0"/>
            <w:vAlign w:val="center"/>
          </w:tcPr>
          <w:p w14:paraId="6D896F01">
            <w:pPr>
              <w:spacing w:line="560" w:lineRule="exact"/>
              <w:ind w:firstLine="200"/>
              <w:jc w:val="center"/>
              <w:rPr>
                <w:rFonts w:hint="eastAsia" w:ascii="宋体" w:hAnsi="宋体" w:eastAsia="宋体" w:cs="宋体"/>
                <w:color w:val="auto"/>
                <w:sz w:val="24"/>
                <w:szCs w:val="24"/>
                <w:highlight w:val="none"/>
              </w:rPr>
            </w:pPr>
          </w:p>
        </w:tc>
      </w:tr>
    </w:tbl>
    <w:p w14:paraId="7E4112AE">
      <w:pPr>
        <w:spacing w:line="560" w:lineRule="exact"/>
        <w:ind w:firstLine="482" w:firstLineChars="200"/>
        <w:outlineLvl w:val="0"/>
        <w:rPr>
          <w:rFonts w:hint="eastAsia" w:ascii="宋体" w:hAnsi="宋体" w:eastAsia="宋体" w:cs="宋体"/>
          <w:b/>
          <w:color w:val="auto"/>
          <w:sz w:val="24"/>
          <w:szCs w:val="24"/>
          <w:highlight w:val="none"/>
        </w:rPr>
      </w:pPr>
      <w:bookmarkStart w:id="109" w:name="_Toc1814"/>
      <w:bookmarkStart w:id="110" w:name="_Toc22618"/>
      <w:bookmarkStart w:id="111" w:name="_Toc10340"/>
      <w:bookmarkStart w:id="112" w:name="_Toc82613307"/>
      <w:r>
        <w:rPr>
          <w:rFonts w:hint="eastAsia" w:ascii="宋体" w:hAnsi="宋体" w:eastAsia="宋体" w:cs="宋体"/>
          <w:b/>
          <w:color w:val="auto"/>
          <w:sz w:val="24"/>
          <w:szCs w:val="24"/>
          <w:highlight w:val="none"/>
        </w:rPr>
        <w:t>1.4 付款方式和发票开具方式</w:t>
      </w:r>
      <w:bookmarkEnd w:id="109"/>
      <w:bookmarkEnd w:id="110"/>
      <w:bookmarkEnd w:id="111"/>
      <w:bookmarkEnd w:id="112"/>
    </w:p>
    <w:p w14:paraId="52C2DB32">
      <w:pPr>
        <w:spacing w:line="5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1.4.1 付款方式：</w:t>
      </w:r>
      <w:r>
        <w:rPr>
          <w:rFonts w:hint="eastAsia" w:ascii="宋体" w:hAnsi="宋体" w:eastAsia="宋体" w:cs="宋体"/>
          <w:color w:val="auto"/>
          <w:sz w:val="24"/>
          <w:highlight w:val="none"/>
        </w:rPr>
        <w:t>项目完成供货、调试，经甲方组织验收合格</w:t>
      </w:r>
      <w:r>
        <w:rPr>
          <w:rFonts w:hint="eastAsia" w:ascii="宋体" w:hAnsi="宋体" w:eastAsia="宋体" w:cs="宋体"/>
          <w:color w:val="auto"/>
          <w:sz w:val="24"/>
          <w:highlight w:val="none"/>
          <w:lang w:val="en-US" w:eastAsia="zh-CN"/>
        </w:rPr>
        <w:t>第一年内支付</w:t>
      </w:r>
      <w:r>
        <w:rPr>
          <w:rFonts w:hint="eastAsia" w:cs="宋体"/>
          <w:color w:val="auto"/>
          <w:sz w:val="24"/>
          <w:highlight w:val="none"/>
          <w:lang w:val="en-US" w:eastAsia="zh-CN"/>
        </w:rPr>
        <w:t>7</w:t>
      </w:r>
      <w:r>
        <w:rPr>
          <w:rFonts w:hint="eastAsia" w:ascii="宋体" w:hAnsi="宋体" w:eastAsia="宋体" w:cs="宋体"/>
          <w:color w:val="auto"/>
          <w:sz w:val="24"/>
          <w:highlight w:val="none"/>
          <w:lang w:val="en-US" w:eastAsia="zh-CN"/>
        </w:rPr>
        <w:t>0%合同额；第二年内支付</w:t>
      </w:r>
      <w:r>
        <w:rPr>
          <w:rFonts w:hint="eastAsia" w:cs="宋体"/>
          <w:color w:val="auto"/>
          <w:sz w:val="24"/>
          <w:highlight w:val="none"/>
          <w:lang w:val="en-US" w:eastAsia="zh-CN"/>
        </w:rPr>
        <w:t>2</w:t>
      </w:r>
      <w:r>
        <w:rPr>
          <w:rFonts w:hint="eastAsia" w:ascii="宋体" w:hAnsi="宋体" w:eastAsia="宋体" w:cs="宋体"/>
          <w:color w:val="auto"/>
          <w:sz w:val="24"/>
          <w:highlight w:val="none"/>
          <w:lang w:val="en-US" w:eastAsia="zh-CN"/>
        </w:rPr>
        <w:t>0%合同额；第三年内，质保期结束后产品无质量等问题支付10%合同额</w:t>
      </w:r>
      <w:r>
        <w:rPr>
          <w:rFonts w:hint="eastAsia" w:ascii="宋体" w:hAnsi="宋体" w:eastAsia="宋体" w:cs="宋体"/>
          <w:color w:val="auto"/>
          <w:sz w:val="24"/>
          <w:highlight w:val="none"/>
        </w:rPr>
        <w:t>（根据采购人要求开具发票）</w:t>
      </w:r>
      <w:r>
        <w:rPr>
          <w:rFonts w:hint="eastAsia" w:ascii="宋体" w:hAnsi="宋体" w:eastAsia="宋体" w:cs="宋体"/>
          <w:color w:val="auto"/>
          <w:sz w:val="24"/>
          <w:szCs w:val="24"/>
          <w:highlight w:val="none"/>
        </w:rPr>
        <w:t>（根据采购人要求开具发票）。</w:t>
      </w:r>
    </w:p>
    <w:p w14:paraId="755D8E4E">
      <w:pPr>
        <w:spacing w:line="560" w:lineRule="exact"/>
        <w:ind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注：乙方知悉本设备采购为政府采购。设备款所有支付根据财政支付到账情况，按比例支付。</w:t>
      </w:r>
    </w:p>
    <w:p w14:paraId="1959CFCE">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发票开具方式：</w:t>
      </w:r>
      <w:r>
        <w:rPr>
          <w:rFonts w:hint="eastAsia" w:ascii="宋体" w:hAnsi="宋体" w:eastAsia="宋体" w:cs="宋体"/>
          <w:color w:val="auto"/>
          <w:sz w:val="24"/>
          <w:szCs w:val="24"/>
          <w:highlight w:val="none"/>
          <w:u w:val="single"/>
        </w:rPr>
        <w:t xml:space="preserve">     根据采购人要求开据发票  </w:t>
      </w:r>
      <w:r>
        <w:rPr>
          <w:rFonts w:hint="eastAsia" w:ascii="宋体" w:hAnsi="宋体" w:eastAsia="宋体" w:cs="宋体"/>
          <w:color w:val="auto"/>
          <w:sz w:val="24"/>
          <w:szCs w:val="24"/>
          <w:highlight w:val="none"/>
        </w:rPr>
        <w:t>。</w:t>
      </w:r>
    </w:p>
    <w:p w14:paraId="25D4B7C4">
      <w:pPr>
        <w:spacing w:line="560" w:lineRule="exact"/>
        <w:ind w:firstLine="482" w:firstLineChars="200"/>
        <w:outlineLvl w:val="0"/>
        <w:rPr>
          <w:rFonts w:hint="eastAsia" w:ascii="宋体" w:hAnsi="宋体" w:eastAsia="宋体" w:cs="宋体"/>
          <w:b/>
          <w:color w:val="auto"/>
          <w:sz w:val="24"/>
          <w:szCs w:val="24"/>
          <w:highlight w:val="none"/>
        </w:rPr>
      </w:pPr>
      <w:bookmarkStart w:id="113" w:name="_Toc2846"/>
      <w:bookmarkStart w:id="114" w:name="_Toc82613308"/>
      <w:bookmarkStart w:id="115" w:name="_Toc19304"/>
      <w:bookmarkStart w:id="116" w:name="_Toc32071"/>
      <w:r>
        <w:rPr>
          <w:rFonts w:hint="eastAsia" w:ascii="宋体" w:hAnsi="宋体" w:eastAsia="宋体" w:cs="宋体"/>
          <w:b/>
          <w:color w:val="auto"/>
          <w:sz w:val="24"/>
          <w:szCs w:val="24"/>
          <w:highlight w:val="none"/>
        </w:rPr>
        <w:t>1.5 货物交付期限、地点和方式</w:t>
      </w:r>
      <w:bookmarkEnd w:id="113"/>
      <w:bookmarkEnd w:id="114"/>
      <w:bookmarkEnd w:id="115"/>
      <w:bookmarkEnd w:id="116"/>
    </w:p>
    <w:p w14:paraId="371D6E25">
      <w:pPr>
        <w:spacing w:line="5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1.5.1 交付期限：</w:t>
      </w:r>
      <w:r>
        <w:rPr>
          <w:rFonts w:hint="eastAsia" w:ascii="宋体" w:hAnsi="宋体" w:eastAsia="宋体" w:cs="宋体"/>
          <w:color w:val="auto"/>
          <w:sz w:val="24"/>
          <w:szCs w:val="24"/>
          <w:highlight w:val="none"/>
          <w:u w:val="single"/>
        </w:rPr>
        <w:t xml:space="preserve">  合同签订后</w:t>
      </w:r>
      <w:r>
        <w:rPr>
          <w:rFonts w:hint="eastAsia" w:ascii="宋体" w:hAnsi="宋体" w:eastAsia="宋体" w:cs="宋体"/>
          <w:color w:val="auto"/>
          <w:sz w:val="24"/>
          <w:szCs w:val="24"/>
          <w:highlight w:val="none"/>
          <w:u w:val="single"/>
          <w:lang w:val="en-US" w:eastAsia="zh-CN"/>
        </w:rPr>
        <w:t>15</w:t>
      </w:r>
      <w:r>
        <w:rPr>
          <w:rFonts w:hint="eastAsia" w:ascii="宋体" w:hAnsi="宋体" w:eastAsia="宋体" w:cs="宋体"/>
          <w:color w:val="auto"/>
          <w:sz w:val="24"/>
          <w:szCs w:val="24"/>
          <w:highlight w:val="none"/>
          <w:u w:val="single"/>
        </w:rPr>
        <w:t xml:space="preserve">天内交付使用 </w:t>
      </w:r>
      <w:r>
        <w:rPr>
          <w:rFonts w:hint="eastAsia" w:ascii="宋体" w:hAnsi="宋体" w:eastAsia="宋体" w:cs="宋体"/>
          <w:color w:val="auto"/>
          <w:sz w:val="24"/>
          <w:szCs w:val="24"/>
          <w:highlight w:val="none"/>
        </w:rPr>
        <w:t>；</w:t>
      </w:r>
    </w:p>
    <w:p w14:paraId="36DC4C1E">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 交付地点：</w:t>
      </w:r>
      <w:r>
        <w:rPr>
          <w:rFonts w:hint="eastAsia" w:ascii="宋体" w:hAnsi="宋体" w:eastAsia="宋体" w:cs="宋体"/>
          <w:color w:val="auto"/>
          <w:sz w:val="24"/>
          <w:szCs w:val="24"/>
          <w:highlight w:val="none"/>
          <w:u w:val="single"/>
        </w:rPr>
        <w:t xml:space="preserve">   郑州市上街区教育局指定地点    </w:t>
      </w:r>
      <w:r>
        <w:rPr>
          <w:rFonts w:hint="eastAsia" w:ascii="宋体" w:hAnsi="宋体" w:eastAsia="宋体" w:cs="宋体"/>
          <w:color w:val="auto"/>
          <w:sz w:val="24"/>
          <w:szCs w:val="24"/>
          <w:highlight w:val="none"/>
        </w:rPr>
        <w:t>；</w:t>
      </w:r>
    </w:p>
    <w:p w14:paraId="3FA0055A">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交付方式：</w:t>
      </w:r>
      <w:r>
        <w:rPr>
          <w:rFonts w:hint="eastAsia" w:ascii="宋体" w:hAnsi="宋体" w:eastAsia="宋体" w:cs="宋体"/>
          <w:color w:val="auto"/>
          <w:sz w:val="24"/>
          <w:szCs w:val="24"/>
          <w:highlight w:val="none"/>
          <w:u w:val="single"/>
        </w:rPr>
        <w:t xml:space="preserve">　　现场交付     　      </w:t>
      </w:r>
      <w:r>
        <w:rPr>
          <w:rFonts w:hint="eastAsia" w:ascii="宋体" w:hAnsi="宋体" w:eastAsia="宋体" w:cs="宋体"/>
          <w:color w:val="auto"/>
          <w:sz w:val="24"/>
          <w:szCs w:val="24"/>
          <w:highlight w:val="none"/>
        </w:rPr>
        <w:t>。</w:t>
      </w:r>
    </w:p>
    <w:p w14:paraId="4F2E87EC">
      <w:pPr>
        <w:spacing w:line="5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1.5合同验收</w:t>
      </w:r>
    </w:p>
    <w:p w14:paraId="65C79F17">
      <w:pPr>
        <w:spacing w:line="56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1.5.1</w:t>
      </w:r>
      <w:r>
        <w:rPr>
          <w:rFonts w:hint="default" w:ascii="宋体" w:hAnsi="宋体" w:eastAsia="宋体" w:cs="宋体"/>
          <w:color w:val="auto"/>
          <w:sz w:val="24"/>
          <w:szCs w:val="24"/>
          <w:highlight w:val="none"/>
          <w:lang w:val="en-US" w:eastAsia="zh-CN"/>
        </w:rPr>
        <w:t>验收组织方式：</w:t>
      </w:r>
    </w:p>
    <w:p w14:paraId="29AD2D6E">
      <w:pPr>
        <w:spacing w:line="560" w:lineRule="exact"/>
        <w:ind w:firstLine="952" w:firstLineChars="400"/>
        <w:rPr>
          <w:rFonts w:hint="default" w:ascii="宋体" w:hAnsi="宋体" w:eastAsia="宋体" w:cs="宋体"/>
          <w:color w:val="auto"/>
          <w:sz w:val="24"/>
          <w:szCs w:val="24"/>
          <w:highlight w:val="none"/>
          <w:lang w:val="en-US" w:eastAsia="zh-CN"/>
        </w:rPr>
      </w:pPr>
      <w:r>
        <w:rPr>
          <w:rFonts w:ascii="Wingdings" w:hAnsi="Wingdings" w:eastAsia="Wingdings" w:cs="Wingdings"/>
          <w:color w:val="auto"/>
          <w:spacing w:val="-1"/>
          <w:sz w:val="24"/>
          <w:szCs w:val="24"/>
          <w:highlight w:val="none"/>
        </w:rPr>
        <w:t>o</w:t>
      </w:r>
      <w:r>
        <w:rPr>
          <w:rFonts w:hint="default" w:ascii="宋体" w:hAnsi="宋体" w:eastAsia="宋体" w:cs="宋体"/>
          <w:color w:val="auto"/>
          <w:sz w:val="24"/>
          <w:szCs w:val="24"/>
          <w:highlight w:val="none"/>
          <w:lang w:val="en-US" w:eastAsia="zh-CN"/>
        </w:rPr>
        <w:t xml:space="preserve">自行组织 </w:t>
      </w:r>
      <w:r>
        <w:rPr>
          <w:rFonts w:ascii="Wingdings" w:hAnsi="Wingdings" w:eastAsia="Wingdings" w:cs="Wingdings"/>
          <w:color w:val="auto"/>
          <w:spacing w:val="-1"/>
          <w:sz w:val="24"/>
          <w:szCs w:val="24"/>
          <w:highlight w:val="none"/>
        </w:rPr>
        <w:t>o</w:t>
      </w:r>
      <w:r>
        <w:rPr>
          <w:rFonts w:hint="default" w:ascii="宋体" w:hAnsi="宋体" w:eastAsia="宋体" w:cs="宋体"/>
          <w:color w:val="auto"/>
          <w:sz w:val="24"/>
          <w:szCs w:val="24"/>
          <w:highlight w:val="none"/>
          <w:lang w:val="en-US" w:eastAsia="zh-CN"/>
        </w:rPr>
        <w:t xml:space="preserve">委托第三方组织 </w:t>
      </w:r>
    </w:p>
    <w:p w14:paraId="1BDB6850">
      <w:pPr>
        <w:spacing w:line="560" w:lineRule="exact"/>
        <w:ind w:firstLine="960" w:firstLineChars="4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验收主体：</w:t>
      </w:r>
      <w:r>
        <w:rPr>
          <w:rFonts w:hint="eastAsia"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lang w:val="en-US" w:eastAsia="zh-CN"/>
        </w:rPr>
        <w:t xml:space="preserve">                  </w:t>
      </w:r>
    </w:p>
    <w:p w14:paraId="593C41EE">
      <w:pPr>
        <w:spacing w:line="560" w:lineRule="exact"/>
        <w:ind w:firstLine="960" w:firstLineChars="4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是否邀请本项目的其他供应商参加验收：</w:t>
      </w:r>
      <w:r>
        <w:rPr>
          <w:rFonts w:ascii="Wingdings" w:hAnsi="Wingdings" w:eastAsia="Wingdings" w:cs="Wingdings"/>
          <w:color w:val="auto"/>
          <w:spacing w:val="-1"/>
          <w:sz w:val="24"/>
          <w:szCs w:val="24"/>
          <w:highlight w:val="none"/>
        </w:rPr>
        <w:t>o</w:t>
      </w:r>
      <w:r>
        <w:rPr>
          <w:rFonts w:hint="default" w:ascii="宋体" w:hAnsi="宋体" w:eastAsia="宋体" w:cs="宋体"/>
          <w:color w:val="auto"/>
          <w:sz w:val="24"/>
          <w:szCs w:val="24"/>
          <w:highlight w:val="none"/>
          <w:lang w:val="en-US" w:eastAsia="zh-CN"/>
        </w:rPr>
        <w:t xml:space="preserve">是  </w:t>
      </w:r>
      <w:r>
        <w:rPr>
          <w:rFonts w:ascii="Wingdings" w:hAnsi="Wingdings" w:eastAsia="Wingdings" w:cs="Wingdings"/>
          <w:color w:val="auto"/>
          <w:spacing w:val="-1"/>
          <w:sz w:val="24"/>
          <w:szCs w:val="24"/>
          <w:highlight w:val="none"/>
        </w:rPr>
        <w:t>o</w:t>
      </w:r>
      <w:r>
        <w:rPr>
          <w:rFonts w:hint="default" w:ascii="宋体" w:hAnsi="宋体" w:eastAsia="宋体" w:cs="宋体"/>
          <w:color w:val="auto"/>
          <w:sz w:val="24"/>
          <w:szCs w:val="24"/>
          <w:highlight w:val="none"/>
          <w:lang w:val="en-US" w:eastAsia="zh-CN"/>
        </w:rPr>
        <w:t xml:space="preserve">否 </w:t>
      </w:r>
    </w:p>
    <w:p w14:paraId="3F789FF9">
      <w:pPr>
        <w:spacing w:line="560" w:lineRule="exact"/>
        <w:ind w:firstLine="960" w:firstLineChars="4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是否邀请专家参加验收：</w:t>
      </w:r>
      <w:r>
        <w:rPr>
          <w:rFonts w:ascii="Wingdings" w:hAnsi="Wingdings" w:eastAsia="Wingdings" w:cs="Wingdings"/>
          <w:color w:val="auto"/>
          <w:spacing w:val="-1"/>
          <w:sz w:val="24"/>
          <w:szCs w:val="24"/>
          <w:highlight w:val="none"/>
        </w:rPr>
        <w:t>o</w:t>
      </w:r>
      <w:r>
        <w:rPr>
          <w:rFonts w:hint="default" w:ascii="宋体" w:hAnsi="宋体" w:eastAsia="宋体" w:cs="宋体"/>
          <w:color w:val="auto"/>
          <w:sz w:val="24"/>
          <w:szCs w:val="24"/>
          <w:highlight w:val="none"/>
          <w:lang w:val="en-US" w:eastAsia="zh-CN"/>
        </w:rPr>
        <w:t xml:space="preserve">是 </w:t>
      </w:r>
      <w:r>
        <w:rPr>
          <w:rFonts w:ascii="Wingdings" w:hAnsi="Wingdings" w:eastAsia="Wingdings" w:cs="Wingdings"/>
          <w:color w:val="auto"/>
          <w:spacing w:val="-1"/>
          <w:sz w:val="24"/>
          <w:szCs w:val="24"/>
          <w:highlight w:val="none"/>
        </w:rPr>
        <w:t>o</w:t>
      </w:r>
      <w:r>
        <w:rPr>
          <w:rFonts w:hint="default" w:ascii="宋体" w:hAnsi="宋体" w:eastAsia="宋体" w:cs="宋体"/>
          <w:color w:val="auto"/>
          <w:sz w:val="24"/>
          <w:szCs w:val="24"/>
          <w:highlight w:val="none"/>
          <w:lang w:val="en-US" w:eastAsia="zh-CN"/>
        </w:rPr>
        <w:t>否</w:t>
      </w:r>
    </w:p>
    <w:p w14:paraId="44ED1A18">
      <w:pPr>
        <w:spacing w:line="560" w:lineRule="exact"/>
        <w:ind w:firstLine="960" w:firstLineChars="4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是否邀请服务对象参加验收：</w:t>
      </w:r>
      <w:r>
        <w:rPr>
          <w:rFonts w:ascii="Wingdings" w:hAnsi="Wingdings" w:eastAsia="Wingdings" w:cs="Wingdings"/>
          <w:color w:val="auto"/>
          <w:spacing w:val="-1"/>
          <w:sz w:val="24"/>
          <w:szCs w:val="24"/>
          <w:highlight w:val="none"/>
        </w:rPr>
        <w:t>o</w:t>
      </w:r>
      <w:r>
        <w:rPr>
          <w:rFonts w:hint="default" w:ascii="宋体" w:hAnsi="宋体" w:eastAsia="宋体" w:cs="宋体"/>
          <w:color w:val="auto"/>
          <w:sz w:val="24"/>
          <w:szCs w:val="24"/>
          <w:highlight w:val="none"/>
          <w:lang w:val="en-US" w:eastAsia="zh-CN"/>
        </w:rPr>
        <w:t xml:space="preserve">是  </w:t>
      </w:r>
      <w:r>
        <w:rPr>
          <w:rFonts w:ascii="Wingdings" w:hAnsi="Wingdings" w:eastAsia="Wingdings" w:cs="Wingdings"/>
          <w:color w:val="auto"/>
          <w:spacing w:val="-1"/>
          <w:sz w:val="24"/>
          <w:szCs w:val="24"/>
          <w:highlight w:val="none"/>
        </w:rPr>
        <w:t>o</w:t>
      </w:r>
      <w:r>
        <w:rPr>
          <w:rFonts w:hint="default" w:ascii="宋体" w:hAnsi="宋体" w:eastAsia="宋体" w:cs="宋体"/>
          <w:color w:val="auto"/>
          <w:sz w:val="24"/>
          <w:szCs w:val="24"/>
          <w:highlight w:val="none"/>
          <w:lang w:val="en-US" w:eastAsia="zh-CN"/>
        </w:rPr>
        <w:t>否</w:t>
      </w:r>
    </w:p>
    <w:p w14:paraId="037544B3">
      <w:pPr>
        <w:spacing w:line="560" w:lineRule="exact"/>
        <w:ind w:firstLine="960" w:firstLineChars="4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是否邀请第三方检测机构参加验收：</w:t>
      </w:r>
      <w:r>
        <w:rPr>
          <w:rFonts w:ascii="Wingdings" w:hAnsi="Wingdings" w:eastAsia="Wingdings" w:cs="Wingdings"/>
          <w:color w:val="auto"/>
          <w:spacing w:val="-1"/>
          <w:sz w:val="24"/>
          <w:szCs w:val="24"/>
          <w:highlight w:val="none"/>
        </w:rPr>
        <w:t>o</w:t>
      </w:r>
      <w:r>
        <w:rPr>
          <w:rFonts w:hint="default" w:ascii="宋体" w:hAnsi="宋体" w:eastAsia="宋体" w:cs="宋体"/>
          <w:color w:val="auto"/>
          <w:sz w:val="24"/>
          <w:szCs w:val="24"/>
          <w:highlight w:val="none"/>
          <w:lang w:val="en-US" w:eastAsia="zh-CN"/>
        </w:rPr>
        <w:t xml:space="preserve">是  </w:t>
      </w:r>
      <w:r>
        <w:rPr>
          <w:rFonts w:ascii="Wingdings" w:hAnsi="Wingdings" w:eastAsia="Wingdings" w:cs="Wingdings"/>
          <w:color w:val="auto"/>
          <w:spacing w:val="-1"/>
          <w:sz w:val="24"/>
          <w:szCs w:val="24"/>
          <w:highlight w:val="none"/>
        </w:rPr>
        <w:t>o</w:t>
      </w:r>
      <w:r>
        <w:rPr>
          <w:rFonts w:hint="default" w:ascii="宋体" w:hAnsi="宋体" w:eastAsia="宋体" w:cs="宋体"/>
          <w:color w:val="auto"/>
          <w:sz w:val="24"/>
          <w:szCs w:val="24"/>
          <w:highlight w:val="none"/>
          <w:lang w:val="en-US" w:eastAsia="zh-CN"/>
        </w:rPr>
        <w:t>否</w:t>
      </w:r>
    </w:p>
    <w:p w14:paraId="1FD8837B">
      <w:pPr>
        <w:spacing w:line="560" w:lineRule="exact"/>
        <w:ind w:firstLine="960" w:firstLineChars="4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是否进行抽查检测：</w:t>
      </w:r>
      <w:r>
        <w:rPr>
          <w:rFonts w:ascii="Wingdings" w:hAnsi="Wingdings" w:eastAsia="Wingdings" w:cs="Wingdings"/>
          <w:color w:val="auto"/>
          <w:spacing w:val="-1"/>
          <w:sz w:val="24"/>
          <w:szCs w:val="24"/>
          <w:highlight w:val="none"/>
        </w:rPr>
        <w:t>o</w:t>
      </w:r>
      <w:r>
        <w:rPr>
          <w:rFonts w:hint="default" w:ascii="宋体" w:hAnsi="宋体" w:eastAsia="宋体" w:cs="宋体"/>
          <w:color w:val="auto"/>
          <w:sz w:val="24"/>
          <w:szCs w:val="24"/>
          <w:highlight w:val="none"/>
          <w:lang w:val="en-US" w:eastAsia="zh-CN"/>
        </w:rPr>
        <w:t>是，抽查比例：</w:t>
      </w:r>
      <w:r>
        <w:rPr>
          <w:rFonts w:hint="default" w:ascii="宋体" w:hAnsi="宋体" w:eastAsia="宋体" w:cs="宋体"/>
          <w:color w:val="auto"/>
          <w:sz w:val="24"/>
          <w:szCs w:val="24"/>
          <w:highlight w:val="none"/>
          <w:u w:val="single"/>
          <w:lang w:val="en-US" w:eastAsia="zh-CN"/>
        </w:rPr>
        <w:t xml:space="preserve">         </w:t>
      </w:r>
      <w:r>
        <w:rPr>
          <w:rFonts w:ascii="Wingdings" w:hAnsi="Wingdings" w:eastAsia="Wingdings" w:cs="Wingdings"/>
          <w:color w:val="auto"/>
          <w:spacing w:val="-1"/>
          <w:sz w:val="24"/>
          <w:szCs w:val="24"/>
          <w:highlight w:val="none"/>
        </w:rPr>
        <w:t>o</w:t>
      </w:r>
      <w:r>
        <w:rPr>
          <w:rFonts w:hint="default" w:ascii="宋体" w:hAnsi="宋体" w:eastAsia="宋体" w:cs="宋体"/>
          <w:color w:val="auto"/>
          <w:sz w:val="24"/>
          <w:szCs w:val="24"/>
          <w:highlight w:val="none"/>
          <w:lang w:val="en-US" w:eastAsia="zh-CN"/>
        </w:rPr>
        <w:t>否</w:t>
      </w:r>
    </w:p>
    <w:p w14:paraId="008EE02C">
      <w:pPr>
        <w:spacing w:line="560" w:lineRule="exact"/>
        <w:ind w:firstLine="960" w:firstLineChars="4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是否存在破坏性检测：</w:t>
      </w:r>
      <w:r>
        <w:rPr>
          <w:rFonts w:ascii="Wingdings" w:hAnsi="Wingdings" w:eastAsia="Wingdings" w:cs="Wingdings"/>
          <w:color w:val="auto"/>
          <w:spacing w:val="-1"/>
          <w:sz w:val="24"/>
          <w:szCs w:val="24"/>
          <w:highlight w:val="none"/>
        </w:rPr>
        <w:t>o</w:t>
      </w:r>
      <w:r>
        <w:rPr>
          <w:rFonts w:hint="default" w:ascii="宋体" w:hAnsi="宋体" w:eastAsia="宋体" w:cs="宋体"/>
          <w:color w:val="auto"/>
          <w:sz w:val="24"/>
          <w:szCs w:val="24"/>
          <w:highlight w:val="none"/>
          <w:lang w:val="en-US" w:eastAsia="zh-CN"/>
        </w:rPr>
        <w:t>是，（应明确对被破坏的检测产品的处理方式）</w:t>
      </w:r>
      <w:r>
        <w:rPr>
          <w:rFonts w:ascii="Wingdings" w:hAnsi="Wingdings" w:eastAsia="Wingdings" w:cs="Wingdings"/>
          <w:color w:val="auto"/>
          <w:spacing w:val="-1"/>
          <w:sz w:val="24"/>
          <w:szCs w:val="24"/>
          <w:highlight w:val="none"/>
        </w:rPr>
        <w:t>o</w:t>
      </w:r>
      <w:r>
        <w:rPr>
          <w:rFonts w:hint="default" w:ascii="宋体" w:hAnsi="宋体" w:eastAsia="宋体" w:cs="宋体"/>
          <w:color w:val="auto"/>
          <w:sz w:val="24"/>
          <w:szCs w:val="24"/>
          <w:highlight w:val="none"/>
          <w:lang w:val="en-US" w:eastAsia="zh-CN"/>
        </w:rPr>
        <w:t>否</w:t>
      </w:r>
    </w:p>
    <w:p w14:paraId="18B0C536">
      <w:pPr>
        <w:spacing w:line="560" w:lineRule="exact"/>
        <w:ind w:firstLine="960" w:firstLineChars="4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验收组织的其他事项：</w:t>
      </w:r>
      <w:r>
        <w:rPr>
          <w:rFonts w:hint="eastAsia" w:ascii="宋体" w:hAnsi="宋体" w:eastAsia="宋体" w:cs="宋体"/>
          <w:color w:val="auto"/>
          <w:sz w:val="24"/>
          <w:szCs w:val="24"/>
          <w:highlight w:val="none"/>
          <w:u w:val="single"/>
          <w:lang w:val="en-US" w:eastAsia="zh-CN"/>
        </w:rPr>
        <w:t xml:space="preserve">  （本项目验收过程中产生的一切费用，均包含在合同额内，包括但不限于第三方服务费等）  </w:t>
      </w:r>
      <w:r>
        <w:rPr>
          <w:rFonts w:hint="default" w:ascii="宋体" w:hAnsi="宋体" w:eastAsia="宋体" w:cs="宋体"/>
          <w:color w:val="auto"/>
          <w:sz w:val="24"/>
          <w:szCs w:val="24"/>
          <w:highlight w:val="none"/>
          <w:lang w:val="en-US" w:eastAsia="zh-CN"/>
        </w:rPr>
        <w:t xml:space="preserve">                </w:t>
      </w:r>
    </w:p>
    <w:p w14:paraId="4C00E800">
      <w:pPr>
        <w:spacing w:line="56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1.5.2</w:t>
      </w:r>
      <w:r>
        <w:rPr>
          <w:rFonts w:hint="default" w:ascii="宋体" w:hAnsi="宋体" w:eastAsia="宋体" w:cs="宋体"/>
          <w:color w:val="auto"/>
          <w:sz w:val="24"/>
          <w:szCs w:val="24"/>
          <w:highlight w:val="none"/>
          <w:lang w:val="en-US" w:eastAsia="zh-CN"/>
        </w:rPr>
        <w:t xml:space="preserve">履约验收时间：（计划于何时验收/供应商提出验收申请之日起   日内组织验收） </w:t>
      </w:r>
    </w:p>
    <w:p w14:paraId="73888910">
      <w:pPr>
        <w:numPr>
          <w:ilvl w:val="0"/>
          <w:numId w:val="0"/>
        </w:numPr>
        <w:spacing w:line="560" w:lineRule="exact"/>
        <w:ind w:firstLine="480" w:firstLineChars="200"/>
        <w:rPr>
          <w:rFonts w:ascii="宋体" w:hAnsi="宋体" w:eastAsia="宋体" w:cs="宋体"/>
          <w:color w:val="auto"/>
          <w:sz w:val="24"/>
          <w:szCs w:val="24"/>
          <w:highlight w:val="none"/>
          <w:u w:val="single" w:color="auto"/>
        </w:rPr>
      </w:pPr>
      <w:r>
        <w:rPr>
          <w:rFonts w:hint="eastAsia" w:ascii="宋体" w:hAnsi="宋体" w:eastAsia="宋体" w:cs="宋体"/>
          <w:color w:val="auto"/>
          <w:sz w:val="24"/>
          <w:szCs w:val="24"/>
          <w:highlight w:val="none"/>
          <w:lang w:val="en-US" w:eastAsia="zh-CN"/>
        </w:rPr>
        <w:t>1.5.3</w:t>
      </w:r>
      <w:r>
        <w:rPr>
          <w:rFonts w:hint="default" w:ascii="宋体" w:hAnsi="宋体" w:eastAsia="宋体" w:cs="宋体"/>
          <w:color w:val="auto"/>
          <w:sz w:val="24"/>
          <w:szCs w:val="24"/>
          <w:highlight w:val="none"/>
          <w:lang w:val="en-US" w:eastAsia="zh-CN"/>
        </w:rPr>
        <w:t>履约验收方式：</w:t>
      </w:r>
      <w:r>
        <w:rPr>
          <w:rFonts w:ascii="Wingdings" w:hAnsi="Wingdings" w:eastAsia="Wingdings" w:cs="Wingdings"/>
          <w:color w:val="auto"/>
          <w:spacing w:val="-1"/>
          <w:sz w:val="24"/>
          <w:szCs w:val="24"/>
          <w:highlight w:val="none"/>
        </w:rPr>
        <w:t>o</w:t>
      </w:r>
      <w:r>
        <w:rPr>
          <w:rFonts w:hint="default" w:ascii="宋体" w:hAnsi="宋体" w:eastAsia="宋体" w:cs="宋体"/>
          <w:color w:val="auto"/>
          <w:sz w:val="24"/>
          <w:szCs w:val="24"/>
          <w:highlight w:val="none"/>
          <w:lang w:val="en-US" w:eastAsia="zh-CN"/>
        </w:rPr>
        <w:t>一次性验收</w:t>
      </w:r>
      <w:r>
        <w:rPr>
          <w:rFonts w:hint="eastAsia" w:ascii="宋体" w:hAnsi="宋体" w:eastAsia="宋体" w:cs="宋体"/>
          <w:color w:val="auto"/>
          <w:sz w:val="24"/>
          <w:szCs w:val="24"/>
          <w:highlight w:val="none"/>
          <w:lang w:val="en-US" w:eastAsia="zh-CN"/>
        </w:rPr>
        <w:t xml:space="preserve"> </w:t>
      </w:r>
      <w:r>
        <w:rPr>
          <w:rFonts w:ascii="Wingdings" w:hAnsi="Wingdings" w:eastAsia="Wingdings" w:cs="Wingdings"/>
          <w:color w:val="auto"/>
          <w:spacing w:val="-1"/>
          <w:sz w:val="24"/>
          <w:szCs w:val="24"/>
          <w:highlight w:val="none"/>
        </w:rPr>
        <w:t>o</w:t>
      </w:r>
      <w:r>
        <w:rPr>
          <w:rFonts w:hint="default" w:ascii="宋体" w:hAnsi="宋体" w:eastAsia="宋体" w:cs="宋体"/>
          <w:color w:val="auto"/>
          <w:sz w:val="24"/>
          <w:szCs w:val="24"/>
          <w:highlight w:val="none"/>
          <w:lang w:val="en-US" w:eastAsia="zh-CN"/>
        </w:rPr>
        <w:t>分期/分项验收：</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2"/>
          <w:sz w:val="24"/>
          <w:szCs w:val="24"/>
          <w:highlight w:val="none"/>
          <w:u w:val="single" w:color="auto"/>
        </w:rPr>
        <w:t>（</w:t>
      </w:r>
      <w:r>
        <w:rPr>
          <w:rFonts w:ascii="宋体" w:hAnsi="宋体" w:eastAsia="宋体" w:cs="宋体"/>
          <w:color w:val="auto"/>
          <w:sz w:val="24"/>
          <w:szCs w:val="24"/>
          <w:highlight w:val="none"/>
          <w:u w:val="single" w:color="auto"/>
        </w:rPr>
        <w:t xml:space="preserve">应明确分期/分项验收的工作安排）   </w:t>
      </w:r>
    </w:p>
    <w:p w14:paraId="62CC6265">
      <w:pPr>
        <w:numPr>
          <w:ilvl w:val="0"/>
          <w:numId w:val="0"/>
        </w:numPr>
        <w:spacing w:line="56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1.5.4</w:t>
      </w:r>
      <w:r>
        <w:rPr>
          <w:rFonts w:hint="default" w:ascii="宋体" w:hAnsi="宋体" w:eastAsia="宋体" w:cs="宋体"/>
          <w:color w:val="auto"/>
          <w:sz w:val="24"/>
          <w:szCs w:val="24"/>
          <w:highlight w:val="none"/>
          <w:lang w:val="en-US" w:eastAsia="zh-CN"/>
        </w:rPr>
        <w:t>履约验收程序：</w:t>
      </w:r>
      <w:r>
        <w:rPr>
          <w:rFonts w:hint="default"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lang w:val="en-US" w:eastAsia="zh-CN"/>
        </w:rPr>
        <w:t xml:space="preserve">                                          </w:t>
      </w:r>
    </w:p>
    <w:p w14:paraId="20BC6D23">
      <w:pPr>
        <w:spacing w:line="56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1.5.5</w:t>
      </w:r>
      <w:r>
        <w:rPr>
          <w:rFonts w:hint="default" w:ascii="宋体" w:hAnsi="宋体" w:eastAsia="宋体" w:cs="宋体"/>
          <w:color w:val="auto"/>
          <w:sz w:val="24"/>
          <w:szCs w:val="24"/>
          <w:highlight w:val="none"/>
          <w:lang w:val="en-US" w:eastAsia="zh-CN"/>
        </w:rPr>
        <w:t>履约验收的内容：</w:t>
      </w:r>
      <w:r>
        <w:rPr>
          <w:rFonts w:hint="default"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lang w:val="en-US" w:eastAsia="zh-CN"/>
        </w:rPr>
        <w:t xml:space="preserve">                          </w:t>
      </w:r>
    </w:p>
    <w:p w14:paraId="42AD3C07">
      <w:pPr>
        <w:spacing w:line="56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1.5.6</w:t>
      </w:r>
      <w:r>
        <w:rPr>
          <w:rFonts w:hint="default" w:ascii="宋体" w:hAnsi="宋体" w:eastAsia="宋体" w:cs="宋体"/>
          <w:color w:val="auto"/>
          <w:sz w:val="24"/>
          <w:szCs w:val="24"/>
          <w:highlight w:val="none"/>
          <w:lang w:val="en-US" w:eastAsia="zh-CN"/>
        </w:rPr>
        <w:t xml:space="preserve">履约验收标准： </w:t>
      </w:r>
      <w:r>
        <w:rPr>
          <w:rFonts w:hint="default"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lang w:val="en-US" w:eastAsia="zh-CN"/>
        </w:rPr>
        <w:t xml:space="preserve">                                         </w:t>
      </w:r>
    </w:p>
    <w:p w14:paraId="453638BB">
      <w:pPr>
        <w:spacing w:line="56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1.5.7</w:t>
      </w:r>
      <w:r>
        <w:rPr>
          <w:rFonts w:hint="default" w:ascii="宋体" w:hAnsi="宋体" w:eastAsia="宋体" w:cs="宋体"/>
          <w:color w:val="auto"/>
          <w:sz w:val="24"/>
          <w:szCs w:val="24"/>
          <w:highlight w:val="none"/>
          <w:lang w:val="en-US" w:eastAsia="zh-CN"/>
        </w:rPr>
        <w:t>是否以采购活动中供应商提供的样品作为参考：</w:t>
      </w:r>
      <w:r>
        <w:rPr>
          <w:rFonts w:ascii="Wingdings" w:hAnsi="Wingdings" w:eastAsia="Wingdings" w:cs="Wingdings"/>
          <w:color w:val="auto"/>
          <w:spacing w:val="-1"/>
          <w:sz w:val="24"/>
          <w:szCs w:val="24"/>
          <w:highlight w:val="none"/>
        </w:rPr>
        <w:t>o</w:t>
      </w:r>
      <w:r>
        <w:rPr>
          <w:rFonts w:hint="default" w:ascii="宋体" w:hAnsi="宋体" w:eastAsia="宋体" w:cs="宋体"/>
          <w:color w:val="auto"/>
          <w:sz w:val="24"/>
          <w:szCs w:val="24"/>
          <w:highlight w:val="none"/>
          <w:lang w:val="en-US" w:eastAsia="zh-CN"/>
        </w:rPr>
        <w:t xml:space="preserve">是  </w:t>
      </w:r>
      <w:r>
        <w:rPr>
          <w:rFonts w:ascii="Wingdings" w:hAnsi="Wingdings" w:eastAsia="Wingdings" w:cs="Wingdings"/>
          <w:color w:val="auto"/>
          <w:spacing w:val="-1"/>
          <w:sz w:val="24"/>
          <w:szCs w:val="24"/>
          <w:highlight w:val="none"/>
        </w:rPr>
        <w:t>o</w:t>
      </w:r>
      <w:r>
        <w:rPr>
          <w:rFonts w:hint="default" w:ascii="宋体" w:hAnsi="宋体" w:eastAsia="宋体" w:cs="宋体"/>
          <w:color w:val="auto"/>
          <w:sz w:val="24"/>
          <w:szCs w:val="24"/>
          <w:highlight w:val="none"/>
          <w:lang w:val="en-US" w:eastAsia="zh-CN"/>
        </w:rPr>
        <w:t>否</w:t>
      </w:r>
    </w:p>
    <w:p w14:paraId="23522838">
      <w:pPr>
        <w:spacing w:line="56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1.5.8</w:t>
      </w:r>
      <w:r>
        <w:rPr>
          <w:rFonts w:hint="default" w:ascii="宋体" w:hAnsi="宋体" w:eastAsia="宋体" w:cs="宋体"/>
          <w:color w:val="auto"/>
          <w:sz w:val="24"/>
          <w:szCs w:val="24"/>
          <w:highlight w:val="none"/>
          <w:lang w:val="en-US" w:eastAsia="zh-CN"/>
        </w:rPr>
        <w:t>履约验收其他事项：</w:t>
      </w:r>
      <w:r>
        <w:rPr>
          <w:rFonts w:hint="eastAsia"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lang w:val="en-US" w:eastAsia="zh-CN"/>
        </w:rPr>
        <w:t xml:space="preserve">         </w:t>
      </w:r>
    </w:p>
    <w:p w14:paraId="0C3B1559">
      <w:pPr>
        <w:spacing w:line="560" w:lineRule="exact"/>
        <w:ind w:firstLine="482" w:firstLineChars="200"/>
        <w:outlineLvl w:val="0"/>
        <w:rPr>
          <w:rFonts w:hint="eastAsia" w:ascii="宋体" w:hAnsi="宋体" w:eastAsia="宋体" w:cs="宋体"/>
          <w:b/>
          <w:color w:val="auto"/>
          <w:sz w:val="24"/>
          <w:szCs w:val="24"/>
          <w:highlight w:val="none"/>
        </w:rPr>
      </w:pPr>
      <w:bookmarkStart w:id="117" w:name="_Toc21423"/>
      <w:bookmarkStart w:id="118" w:name="_Toc27250"/>
      <w:bookmarkStart w:id="119" w:name="_Toc19554"/>
      <w:bookmarkStart w:id="120" w:name="_Toc82613309"/>
      <w:r>
        <w:rPr>
          <w:rFonts w:hint="eastAsia" w:ascii="宋体" w:hAnsi="宋体" w:eastAsia="宋体" w:cs="宋体"/>
          <w:b/>
          <w:color w:val="auto"/>
          <w:sz w:val="24"/>
          <w:szCs w:val="24"/>
          <w:highlight w:val="none"/>
        </w:rPr>
        <w:t>1.6 违约责任</w:t>
      </w:r>
      <w:bookmarkEnd w:id="117"/>
      <w:bookmarkEnd w:id="118"/>
      <w:bookmarkEnd w:id="119"/>
      <w:bookmarkEnd w:id="120"/>
    </w:p>
    <w:p w14:paraId="340655F5">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%计算，最高限额为本合同总价的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%；迟延交付货物的违约金计算数额达到前述最高限额之日起，甲方有权在要求乙方支付违约金的同时，书面通知乙方解除本合同；</w:t>
      </w:r>
    </w:p>
    <w:p w14:paraId="02A24B08">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%计算，最高限额为本合同总价的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%；迟延付款的违约金计算数额达到前述最高限额之日起，乙方有权在要求甲方支付违约金的同时，书面通知甲方解除本合同；</w:t>
      </w:r>
    </w:p>
    <w:p w14:paraId="64350E7D">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E317105">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1660542">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6B676DF">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351E359A">
      <w:pPr>
        <w:spacing w:line="560" w:lineRule="exact"/>
        <w:ind w:firstLine="482" w:firstLineChars="200"/>
        <w:outlineLvl w:val="0"/>
        <w:rPr>
          <w:rFonts w:hint="eastAsia" w:ascii="宋体" w:hAnsi="宋体" w:eastAsia="宋体" w:cs="宋体"/>
          <w:b/>
          <w:color w:val="auto"/>
          <w:sz w:val="24"/>
          <w:szCs w:val="24"/>
          <w:highlight w:val="none"/>
        </w:rPr>
      </w:pPr>
      <w:bookmarkStart w:id="121" w:name="_Toc28375"/>
      <w:bookmarkStart w:id="122" w:name="_Toc16021"/>
      <w:bookmarkStart w:id="123" w:name="_Toc15583"/>
      <w:bookmarkStart w:id="124" w:name="_Toc82613310"/>
      <w:r>
        <w:rPr>
          <w:rFonts w:hint="eastAsia" w:ascii="宋体" w:hAnsi="宋体" w:eastAsia="宋体" w:cs="宋体"/>
          <w:b/>
          <w:color w:val="auto"/>
          <w:sz w:val="24"/>
          <w:szCs w:val="24"/>
          <w:highlight w:val="none"/>
        </w:rPr>
        <w:t>1.7 合同争议的解决</w:t>
      </w:r>
      <w:bookmarkEnd w:id="121"/>
      <w:bookmarkEnd w:id="122"/>
      <w:bookmarkEnd w:id="123"/>
      <w:bookmarkEnd w:id="124"/>
    </w:p>
    <w:p w14:paraId="73B4DF2D">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本合同履行过程中发生的任何争议，双方当事人均可通过和解或者调解解决；不愿和解、调解或者和解、调解不成的，可以选择下列第</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种方式解决：</w:t>
      </w:r>
    </w:p>
    <w:p w14:paraId="25880963">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将争议提交</w:t>
      </w:r>
      <w:r>
        <w:rPr>
          <w:rFonts w:hint="eastAsia" w:ascii="宋体" w:hAnsi="宋体" w:eastAsia="宋体" w:cs="宋体"/>
          <w:color w:val="auto"/>
          <w:sz w:val="24"/>
          <w:szCs w:val="24"/>
          <w:highlight w:val="none"/>
          <w:u w:val="single"/>
        </w:rPr>
        <w:t xml:space="preserve">  郑州市  </w:t>
      </w:r>
      <w:r>
        <w:rPr>
          <w:rFonts w:hint="eastAsia" w:ascii="宋体" w:hAnsi="宋体" w:eastAsia="宋体" w:cs="宋体"/>
          <w:color w:val="auto"/>
          <w:sz w:val="24"/>
          <w:szCs w:val="24"/>
          <w:highlight w:val="none"/>
        </w:rPr>
        <w:t>仲裁委员会依申请仲裁时其现行有效的仲裁规则裁决；</w:t>
      </w:r>
    </w:p>
    <w:p w14:paraId="7D25ECA6">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向</w:t>
      </w:r>
      <w:r>
        <w:rPr>
          <w:rFonts w:hint="eastAsia" w:ascii="宋体" w:hAnsi="宋体" w:eastAsia="宋体" w:cs="宋体"/>
          <w:color w:val="auto"/>
          <w:sz w:val="24"/>
          <w:szCs w:val="24"/>
          <w:highlight w:val="none"/>
          <w:u w:val="single"/>
        </w:rPr>
        <w:t xml:space="preserve">  项目所在地  </w:t>
      </w:r>
      <w:r>
        <w:rPr>
          <w:rFonts w:hint="eastAsia" w:ascii="宋体" w:hAnsi="宋体" w:eastAsia="宋体" w:cs="宋体"/>
          <w:color w:val="auto"/>
          <w:sz w:val="24"/>
          <w:szCs w:val="24"/>
          <w:highlight w:val="none"/>
        </w:rPr>
        <w:t>人民法院起诉。</w:t>
      </w:r>
    </w:p>
    <w:p w14:paraId="3FC41419">
      <w:pPr>
        <w:spacing w:line="560" w:lineRule="exact"/>
        <w:ind w:firstLine="482" w:firstLineChars="200"/>
        <w:outlineLvl w:val="0"/>
        <w:rPr>
          <w:rFonts w:hint="eastAsia" w:ascii="宋体" w:hAnsi="宋体" w:eastAsia="宋体" w:cs="宋体"/>
          <w:b/>
          <w:color w:val="auto"/>
          <w:sz w:val="24"/>
          <w:szCs w:val="24"/>
          <w:highlight w:val="none"/>
        </w:rPr>
      </w:pPr>
      <w:bookmarkStart w:id="125" w:name="_Toc82613311"/>
      <w:bookmarkStart w:id="126" w:name="_Toc15322"/>
      <w:bookmarkStart w:id="127" w:name="_Toc11173"/>
      <w:bookmarkStart w:id="128" w:name="_Toc7245"/>
      <w:r>
        <w:rPr>
          <w:rFonts w:hint="eastAsia" w:ascii="宋体" w:hAnsi="宋体" w:eastAsia="宋体" w:cs="宋体"/>
          <w:b/>
          <w:color w:val="auto"/>
          <w:sz w:val="24"/>
          <w:szCs w:val="24"/>
          <w:highlight w:val="none"/>
        </w:rPr>
        <w:t>1.8 合同生效</w:t>
      </w:r>
      <w:bookmarkEnd w:id="125"/>
      <w:bookmarkEnd w:id="126"/>
      <w:bookmarkEnd w:id="127"/>
      <w:bookmarkEnd w:id="128"/>
    </w:p>
    <w:p w14:paraId="2089F8BE">
      <w:pPr>
        <w:spacing w:line="56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本合同自双方当事人盖章或者签字时生效。</w:t>
      </w:r>
    </w:p>
    <w:p w14:paraId="3A3F26B8">
      <w:pPr>
        <w:autoSpaceDE w:val="0"/>
        <w:autoSpaceDN w:val="0"/>
        <w:adjustRightInd w:val="0"/>
        <w:spacing w:line="560" w:lineRule="exact"/>
        <w:rPr>
          <w:rFonts w:hint="eastAsia" w:ascii="宋体" w:hAnsi="宋体" w:eastAsia="宋体" w:cs="宋体"/>
          <w:color w:val="auto"/>
          <w:sz w:val="24"/>
          <w:szCs w:val="24"/>
          <w:highlight w:val="none"/>
          <w:lang w:val="zh-CN"/>
        </w:rPr>
      </w:pPr>
    </w:p>
    <w:p w14:paraId="71FA9B1B">
      <w:pPr>
        <w:autoSpaceDE w:val="0"/>
        <w:autoSpaceDN w:val="0"/>
        <w:adjustRightInd w:val="0"/>
        <w:spacing w:line="560" w:lineRule="exact"/>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甲方</w:t>
      </w:r>
      <w:r>
        <w:rPr>
          <w:rFonts w:hint="eastAsia" w:ascii="宋体" w:hAnsi="宋体" w:eastAsia="宋体" w:cs="宋体"/>
          <w:color w:val="auto"/>
          <w:sz w:val="24"/>
          <w:szCs w:val="24"/>
          <w:highlight w:val="none"/>
          <w:lang w:val="zh-CN"/>
        </w:rPr>
        <w:t xml:space="preserve">：                             </w:t>
      </w:r>
      <w:r>
        <w:rPr>
          <w:rFonts w:hint="eastAsia" w:ascii="宋体" w:hAnsi="宋体" w:eastAsia="宋体" w:cs="宋体"/>
          <w:b/>
          <w:color w:val="auto"/>
          <w:sz w:val="24"/>
          <w:szCs w:val="24"/>
          <w:highlight w:val="none"/>
          <w:lang w:val="zh-CN"/>
        </w:rPr>
        <w:t xml:space="preserve">      乙方</w:t>
      </w:r>
      <w:r>
        <w:rPr>
          <w:rFonts w:hint="eastAsia" w:ascii="宋体" w:hAnsi="宋体" w:eastAsia="宋体" w:cs="宋体"/>
          <w:color w:val="auto"/>
          <w:sz w:val="24"/>
          <w:szCs w:val="24"/>
          <w:highlight w:val="none"/>
          <w:lang w:val="zh-CN"/>
        </w:rPr>
        <w:t>：</w:t>
      </w:r>
    </w:p>
    <w:p w14:paraId="7BB5C904">
      <w:pPr>
        <w:autoSpaceDE w:val="0"/>
        <w:autoSpaceDN w:val="0"/>
        <w:adjustRightInd w:val="0"/>
        <w:spacing w:line="5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统一社会信用代码：                       统一社会信用代码或身份证号码：</w:t>
      </w:r>
    </w:p>
    <w:p w14:paraId="6FD898AA">
      <w:pPr>
        <w:autoSpaceDE w:val="0"/>
        <w:autoSpaceDN w:val="0"/>
        <w:adjustRightInd w:val="0"/>
        <w:spacing w:line="560" w:lineRule="exact"/>
        <w:rPr>
          <w:rFonts w:hint="eastAsia" w:ascii="宋体" w:hAnsi="宋体" w:eastAsia="宋体" w:cs="宋体"/>
          <w:color w:val="auto"/>
          <w:sz w:val="24"/>
          <w:szCs w:val="24"/>
          <w:highlight w:val="none"/>
          <w:lang w:val="zh-CN"/>
        </w:rPr>
      </w:pPr>
    </w:p>
    <w:p w14:paraId="70817E64">
      <w:pPr>
        <w:autoSpaceDE w:val="0"/>
        <w:autoSpaceDN w:val="0"/>
        <w:adjustRightInd w:val="0"/>
        <w:spacing w:line="5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住所：                                   住所：</w:t>
      </w:r>
    </w:p>
    <w:p w14:paraId="35D79D28">
      <w:pPr>
        <w:autoSpaceDE w:val="0"/>
        <w:autoSpaceDN w:val="0"/>
        <w:adjustRightInd w:val="0"/>
        <w:spacing w:line="5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法定代表人（单位负责人）或               法定代表人（单位负责人）</w:t>
      </w:r>
    </w:p>
    <w:p w14:paraId="7145A0D8">
      <w:pPr>
        <w:autoSpaceDE w:val="0"/>
        <w:autoSpaceDN w:val="0"/>
        <w:adjustRightInd w:val="0"/>
        <w:spacing w:line="5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授权代表（签字或盖章                     或授权代表（签字或盖章）: </w:t>
      </w:r>
    </w:p>
    <w:p w14:paraId="511FA023">
      <w:pPr>
        <w:autoSpaceDE w:val="0"/>
        <w:autoSpaceDN w:val="0"/>
        <w:adjustRightInd w:val="0"/>
        <w:spacing w:line="5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联系人：                                 联系人：</w:t>
      </w:r>
    </w:p>
    <w:p w14:paraId="3361215B">
      <w:pPr>
        <w:autoSpaceDE w:val="0"/>
        <w:autoSpaceDN w:val="0"/>
        <w:adjustRightInd w:val="0"/>
        <w:spacing w:line="5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约定送达地址：                           约定送达地址：</w:t>
      </w:r>
    </w:p>
    <w:p w14:paraId="312A8F22">
      <w:pPr>
        <w:autoSpaceDE w:val="0"/>
        <w:autoSpaceDN w:val="0"/>
        <w:adjustRightInd w:val="0"/>
        <w:spacing w:line="5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邮政编码：                               邮政编码：</w:t>
      </w:r>
    </w:p>
    <w:p w14:paraId="12692E1A">
      <w:pPr>
        <w:autoSpaceDE w:val="0"/>
        <w:autoSpaceDN w:val="0"/>
        <w:adjustRightInd w:val="0"/>
        <w:spacing w:line="5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电话:                                    电话: </w:t>
      </w:r>
    </w:p>
    <w:p w14:paraId="6D27F705">
      <w:pPr>
        <w:autoSpaceDE w:val="0"/>
        <w:autoSpaceDN w:val="0"/>
        <w:adjustRightInd w:val="0"/>
        <w:spacing w:line="5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传真:                                    传真:</w:t>
      </w:r>
    </w:p>
    <w:p w14:paraId="7A7BBE48">
      <w:pPr>
        <w:autoSpaceDE w:val="0"/>
        <w:autoSpaceDN w:val="0"/>
        <w:adjustRightInd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电子邮箱：                               电子邮箱：</w:t>
      </w:r>
    </w:p>
    <w:p w14:paraId="7A9578AD">
      <w:pPr>
        <w:autoSpaceDE w:val="0"/>
        <w:autoSpaceDN w:val="0"/>
        <w:adjustRightInd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开户银行：                               开户银行： </w:t>
      </w:r>
    </w:p>
    <w:p w14:paraId="3A5B7C3B">
      <w:pPr>
        <w:autoSpaceDE w:val="0"/>
        <w:autoSpaceDN w:val="0"/>
        <w:adjustRightInd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开户名称：                               开户名称： </w:t>
      </w:r>
    </w:p>
    <w:p w14:paraId="3890E3D8">
      <w:pPr>
        <w:autoSpaceDE w:val="0"/>
        <w:autoSpaceDN w:val="0"/>
        <w:adjustRightInd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开户账号：</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rPr>
        <w:t>开户账号：</w:t>
      </w:r>
    </w:p>
    <w:p w14:paraId="49C86B0B">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22F7D9C6">
      <w:pPr>
        <w:autoSpaceDE w:val="0"/>
        <w:autoSpaceDN w:val="0"/>
        <w:adjustRightInd w:val="0"/>
        <w:spacing w:line="560" w:lineRule="exact"/>
        <w:ind w:firstLine="200"/>
        <w:jc w:val="center"/>
        <w:rPr>
          <w:rFonts w:hint="eastAsia" w:ascii="宋体" w:hAnsi="宋体" w:eastAsia="宋体" w:cs="宋体"/>
          <w:b/>
          <w:i w:val="0"/>
          <w:iCs w:val="0"/>
          <w:color w:val="auto"/>
          <w:kern w:val="0"/>
          <w:sz w:val="24"/>
          <w:szCs w:val="24"/>
          <w:highlight w:val="none"/>
          <w:lang w:val="zh-CN"/>
        </w:rPr>
      </w:pPr>
      <w:r>
        <w:rPr>
          <w:rFonts w:hint="eastAsia" w:ascii="宋体" w:hAnsi="宋体" w:eastAsia="宋体" w:cs="宋体"/>
          <w:b/>
          <w:i w:val="0"/>
          <w:iCs w:val="0"/>
          <w:color w:val="auto"/>
          <w:kern w:val="0"/>
          <w:sz w:val="24"/>
          <w:szCs w:val="24"/>
          <w:highlight w:val="none"/>
          <w:lang w:val="zh-CN"/>
        </w:rPr>
        <w:t>第二部分 合同一般条款</w:t>
      </w:r>
    </w:p>
    <w:p w14:paraId="4EB3658C">
      <w:pPr>
        <w:spacing w:line="560" w:lineRule="exact"/>
        <w:ind w:firstLine="482" w:firstLineChars="200"/>
        <w:outlineLvl w:val="0"/>
        <w:rPr>
          <w:rFonts w:hint="eastAsia" w:ascii="宋体" w:hAnsi="宋体" w:eastAsia="宋体" w:cs="宋体"/>
          <w:b/>
          <w:i w:val="0"/>
          <w:iCs w:val="0"/>
          <w:color w:val="auto"/>
          <w:sz w:val="24"/>
          <w:szCs w:val="24"/>
          <w:highlight w:val="none"/>
        </w:rPr>
      </w:pPr>
      <w:bookmarkStart w:id="129" w:name="_Ref467378404"/>
      <w:bookmarkStart w:id="130" w:name="_Ref467379195"/>
      <w:bookmarkStart w:id="131" w:name="_Toc259093669"/>
      <w:bookmarkStart w:id="132" w:name="_Toc19614"/>
      <w:bookmarkStart w:id="133" w:name="_Ref467379214"/>
      <w:bookmarkStart w:id="134" w:name="_Toc16917"/>
      <w:bookmarkStart w:id="135" w:name="_Ref467379101"/>
      <w:bookmarkStart w:id="136" w:name="_Toc279701240"/>
      <w:bookmarkStart w:id="137" w:name="_Ref467379225"/>
      <w:bookmarkStart w:id="138" w:name="_Ref467378463"/>
      <w:bookmarkStart w:id="139" w:name="_Ref467378499"/>
      <w:bookmarkStart w:id="140" w:name="_Toc28763"/>
      <w:bookmarkStart w:id="141" w:name="_Ref467379109"/>
      <w:bookmarkStart w:id="142" w:name="_Ref467379205"/>
      <w:bookmarkStart w:id="143" w:name="_Toc82613312"/>
      <w:bookmarkStart w:id="144" w:name="_Toc487900349"/>
      <w:bookmarkStart w:id="145" w:name="_Ref467379094"/>
      <w:r>
        <w:rPr>
          <w:rFonts w:hint="eastAsia" w:ascii="宋体" w:hAnsi="宋体" w:eastAsia="宋体" w:cs="宋体"/>
          <w:b/>
          <w:i w:val="0"/>
          <w:iCs w:val="0"/>
          <w:color w:val="auto"/>
          <w:sz w:val="24"/>
          <w:szCs w:val="24"/>
          <w:highlight w:val="none"/>
        </w:rPr>
        <w:t>2.1定义</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5C5CD926">
      <w:pPr>
        <w:spacing w:line="560" w:lineRule="exact"/>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本合同中的下列词语应按以下内容进行解释：</w:t>
      </w:r>
    </w:p>
    <w:p w14:paraId="4EB34EDF">
      <w:pPr>
        <w:spacing w:line="560" w:lineRule="exact"/>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2.1.1“合同”系指采购人和成交供应商签订的载明双方当事人所达成的协议，并包括所有的附件、附录和构成合同的其他文件。</w:t>
      </w:r>
    </w:p>
    <w:p w14:paraId="207D7A51">
      <w:pPr>
        <w:spacing w:line="560" w:lineRule="exact"/>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2.1.2“合同价”系指根据合同约定，成交供应商在完全履行合同义务后，采购人应支付给成交供应商的价格。</w:t>
      </w:r>
    </w:p>
    <w:p w14:paraId="4A104F8B">
      <w:pPr>
        <w:spacing w:line="560" w:lineRule="exact"/>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2.1.3“货物”系指成交供应商根据合同约定应向采购人交付的一切各种形态和种类的物品，包括原材料、燃料、设备、机械、仪表、备件、计算机软件、产品等，并包括工具、手册等其他相关资料。</w:t>
      </w:r>
    </w:p>
    <w:p w14:paraId="54FF87A3">
      <w:pPr>
        <w:spacing w:line="560" w:lineRule="exact"/>
        <w:ind w:firstLine="480" w:firstLineChars="200"/>
        <w:rPr>
          <w:rFonts w:hint="eastAsia" w:ascii="宋体" w:hAnsi="宋体" w:eastAsia="宋体" w:cs="宋体"/>
          <w:i w:val="0"/>
          <w:iCs w:val="0"/>
          <w:color w:val="auto"/>
          <w:sz w:val="24"/>
          <w:szCs w:val="24"/>
          <w:highlight w:val="none"/>
        </w:rPr>
      </w:pPr>
      <w:bookmarkStart w:id="146" w:name="_Ref467378840"/>
      <w:r>
        <w:rPr>
          <w:rFonts w:hint="eastAsia" w:ascii="宋体" w:hAnsi="宋体" w:eastAsia="宋体" w:cs="宋体"/>
          <w:i w:val="0"/>
          <w:iCs w:val="0"/>
          <w:color w:val="auto"/>
          <w:sz w:val="24"/>
          <w:szCs w:val="24"/>
          <w:highlight w:val="none"/>
        </w:rPr>
        <w:t>2.1.4“甲方”系指与成交供应商签署合同的采购人</w:t>
      </w:r>
      <w:bookmarkEnd w:id="146"/>
      <w:r>
        <w:rPr>
          <w:rFonts w:hint="eastAsia" w:ascii="宋体" w:hAnsi="宋体" w:eastAsia="宋体" w:cs="宋体"/>
          <w:i w:val="0"/>
          <w:iCs w:val="0"/>
          <w:color w:val="auto"/>
          <w:sz w:val="24"/>
          <w:szCs w:val="24"/>
          <w:highlight w:val="none"/>
        </w:rPr>
        <w:t>；采购人委托采购代理机构代表其与乙方签订合同的，采购人的授权委托书作为合同附件。</w:t>
      </w:r>
    </w:p>
    <w:p w14:paraId="37DB88D9">
      <w:pPr>
        <w:spacing w:line="560" w:lineRule="exact"/>
        <w:ind w:firstLine="480" w:firstLineChars="200"/>
        <w:rPr>
          <w:rFonts w:hint="eastAsia" w:ascii="宋体" w:hAnsi="宋体" w:eastAsia="宋体" w:cs="宋体"/>
          <w:i w:val="0"/>
          <w:iCs w:val="0"/>
          <w:color w:val="auto"/>
          <w:sz w:val="24"/>
          <w:szCs w:val="24"/>
          <w:highlight w:val="none"/>
        </w:rPr>
      </w:pPr>
      <w:bookmarkStart w:id="147" w:name="_Ref467379400"/>
      <w:r>
        <w:rPr>
          <w:rFonts w:hint="eastAsia" w:ascii="宋体" w:hAnsi="宋体" w:eastAsia="宋体" w:cs="宋体"/>
          <w:i w:val="0"/>
          <w:iCs w:val="0"/>
          <w:color w:val="auto"/>
          <w:sz w:val="24"/>
          <w:szCs w:val="24"/>
          <w:highlight w:val="none"/>
        </w:rPr>
        <w:t>2.1.5“乙方”系指根据合同约定交付货物的成交供应商</w:t>
      </w:r>
      <w:bookmarkEnd w:id="147"/>
      <w:r>
        <w:rPr>
          <w:rFonts w:hint="eastAsia" w:ascii="宋体" w:hAnsi="宋体" w:eastAsia="宋体" w:cs="宋体"/>
          <w:i w:val="0"/>
          <w:iCs w:val="0"/>
          <w:color w:val="auto"/>
          <w:sz w:val="24"/>
          <w:szCs w:val="24"/>
          <w:highlight w:val="none"/>
        </w:rPr>
        <w:t>。</w:t>
      </w:r>
    </w:p>
    <w:p w14:paraId="7748A307">
      <w:pPr>
        <w:spacing w:line="560" w:lineRule="exact"/>
        <w:ind w:firstLine="480" w:firstLineChars="200"/>
        <w:rPr>
          <w:rFonts w:hint="eastAsia" w:ascii="宋体" w:hAnsi="宋体" w:eastAsia="宋体" w:cs="宋体"/>
          <w:i w:val="0"/>
          <w:iCs w:val="0"/>
          <w:color w:val="auto"/>
          <w:sz w:val="24"/>
          <w:szCs w:val="24"/>
          <w:highlight w:val="none"/>
        </w:rPr>
      </w:pPr>
      <w:bookmarkStart w:id="148" w:name="_Ref467379436"/>
      <w:r>
        <w:rPr>
          <w:rFonts w:hint="eastAsia" w:ascii="宋体" w:hAnsi="宋体" w:eastAsia="宋体" w:cs="宋体"/>
          <w:i w:val="0"/>
          <w:iCs w:val="0"/>
          <w:color w:val="auto"/>
          <w:sz w:val="24"/>
          <w:szCs w:val="24"/>
          <w:highlight w:val="none"/>
        </w:rPr>
        <w:t>2.1.6“现场”系指合同约定货物将要运至或者安装的地点。</w:t>
      </w:r>
      <w:bookmarkEnd w:id="148"/>
    </w:p>
    <w:p w14:paraId="6986643D">
      <w:pPr>
        <w:spacing w:line="560" w:lineRule="exact"/>
        <w:ind w:firstLine="482" w:firstLineChars="200"/>
        <w:outlineLvl w:val="0"/>
        <w:rPr>
          <w:rFonts w:hint="eastAsia" w:ascii="宋体" w:hAnsi="宋体" w:eastAsia="宋体" w:cs="宋体"/>
          <w:b/>
          <w:i w:val="0"/>
          <w:iCs w:val="0"/>
          <w:color w:val="auto"/>
          <w:sz w:val="24"/>
          <w:szCs w:val="24"/>
          <w:highlight w:val="none"/>
        </w:rPr>
      </w:pPr>
      <w:bookmarkStart w:id="149" w:name="_Toc487900350"/>
      <w:bookmarkStart w:id="150" w:name="_Toc32504"/>
      <w:bookmarkStart w:id="151" w:name="_Toc27635"/>
      <w:bookmarkStart w:id="152" w:name="_Toc279701241"/>
      <w:bookmarkStart w:id="153" w:name="_Toc259093670"/>
      <w:bookmarkStart w:id="154" w:name="_Toc82613313"/>
      <w:bookmarkStart w:id="155" w:name="_Toc13336"/>
      <w:r>
        <w:rPr>
          <w:rFonts w:hint="eastAsia" w:ascii="宋体" w:hAnsi="宋体" w:eastAsia="宋体" w:cs="宋体"/>
          <w:b/>
          <w:i w:val="0"/>
          <w:iCs w:val="0"/>
          <w:color w:val="auto"/>
          <w:sz w:val="24"/>
          <w:szCs w:val="24"/>
          <w:highlight w:val="none"/>
        </w:rPr>
        <w:t>2.2 技术规范</w:t>
      </w:r>
      <w:bookmarkEnd w:id="149"/>
      <w:bookmarkEnd w:id="150"/>
      <w:bookmarkEnd w:id="151"/>
      <w:bookmarkEnd w:id="152"/>
      <w:bookmarkEnd w:id="153"/>
      <w:bookmarkEnd w:id="154"/>
      <w:bookmarkEnd w:id="155"/>
    </w:p>
    <w:p w14:paraId="62FC6C18">
      <w:pPr>
        <w:spacing w:line="560" w:lineRule="exact"/>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0FEC921">
      <w:pPr>
        <w:spacing w:line="560" w:lineRule="exact"/>
        <w:ind w:firstLine="482" w:firstLineChars="200"/>
        <w:outlineLvl w:val="0"/>
        <w:rPr>
          <w:rFonts w:hint="eastAsia" w:ascii="宋体" w:hAnsi="宋体" w:eastAsia="宋体" w:cs="宋体"/>
          <w:b/>
          <w:i w:val="0"/>
          <w:iCs w:val="0"/>
          <w:color w:val="auto"/>
          <w:sz w:val="24"/>
          <w:szCs w:val="24"/>
          <w:highlight w:val="none"/>
        </w:rPr>
      </w:pPr>
      <w:bookmarkStart w:id="156" w:name="_Toc487900351"/>
      <w:bookmarkStart w:id="157" w:name="_Toc9829"/>
      <w:bookmarkStart w:id="158" w:name="_Toc259093671"/>
      <w:bookmarkStart w:id="159" w:name="_Toc27853"/>
      <w:bookmarkStart w:id="160" w:name="_Toc279701242"/>
      <w:bookmarkStart w:id="161" w:name="_Toc82613314"/>
      <w:bookmarkStart w:id="162" w:name="_Toc31634"/>
      <w:r>
        <w:rPr>
          <w:rFonts w:hint="eastAsia" w:ascii="宋体" w:hAnsi="宋体" w:eastAsia="宋体" w:cs="宋体"/>
          <w:b/>
          <w:i w:val="0"/>
          <w:iCs w:val="0"/>
          <w:color w:val="auto"/>
          <w:sz w:val="24"/>
          <w:szCs w:val="24"/>
          <w:highlight w:val="none"/>
        </w:rPr>
        <w:t>2.3知识产权</w:t>
      </w:r>
      <w:bookmarkEnd w:id="156"/>
      <w:bookmarkEnd w:id="157"/>
      <w:bookmarkEnd w:id="158"/>
      <w:bookmarkEnd w:id="159"/>
      <w:bookmarkEnd w:id="160"/>
      <w:bookmarkEnd w:id="161"/>
      <w:bookmarkEnd w:id="162"/>
    </w:p>
    <w:p w14:paraId="5338065B">
      <w:pPr>
        <w:spacing w:line="560" w:lineRule="exact"/>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2.3.1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6C55C0B5">
      <w:pPr>
        <w:spacing w:line="560" w:lineRule="exact"/>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2.3.2具有知识产权的计算机软件等货物的知识产权归属，详见</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w:t>
      </w:r>
    </w:p>
    <w:p w14:paraId="5FFFEEAC">
      <w:pPr>
        <w:spacing w:line="560" w:lineRule="exact"/>
        <w:ind w:firstLine="482" w:firstLineChars="200"/>
        <w:outlineLvl w:val="0"/>
        <w:rPr>
          <w:rFonts w:hint="eastAsia" w:ascii="宋体" w:hAnsi="宋体" w:eastAsia="宋体" w:cs="宋体"/>
          <w:b/>
          <w:i w:val="0"/>
          <w:iCs w:val="0"/>
          <w:color w:val="auto"/>
          <w:sz w:val="24"/>
          <w:szCs w:val="24"/>
          <w:highlight w:val="none"/>
        </w:rPr>
      </w:pPr>
      <w:bookmarkStart w:id="163" w:name="_Toc82613315"/>
      <w:bookmarkStart w:id="164" w:name="_Toc4194"/>
      <w:bookmarkStart w:id="165" w:name="_Toc29149"/>
      <w:bookmarkStart w:id="166" w:name="_Toc11932"/>
      <w:r>
        <w:rPr>
          <w:rFonts w:hint="eastAsia" w:ascii="宋体" w:hAnsi="宋体" w:eastAsia="宋体" w:cs="宋体"/>
          <w:b/>
          <w:i w:val="0"/>
          <w:iCs w:val="0"/>
          <w:color w:val="auto"/>
          <w:sz w:val="24"/>
          <w:szCs w:val="24"/>
          <w:highlight w:val="none"/>
        </w:rPr>
        <w:t>2.4包装和装运</w:t>
      </w:r>
      <w:bookmarkEnd w:id="163"/>
      <w:bookmarkEnd w:id="164"/>
      <w:bookmarkEnd w:id="165"/>
      <w:bookmarkEnd w:id="166"/>
    </w:p>
    <w:p w14:paraId="066C546F">
      <w:pPr>
        <w:spacing w:line="560" w:lineRule="exact"/>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2.4.1除</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AB33A84">
      <w:pPr>
        <w:spacing w:line="560" w:lineRule="exact"/>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2.4.2装运货物的要求和通知，详见</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w:t>
      </w:r>
    </w:p>
    <w:p w14:paraId="4FF402F8">
      <w:pPr>
        <w:spacing w:line="560" w:lineRule="exact"/>
        <w:ind w:firstLine="482" w:firstLineChars="200"/>
        <w:outlineLvl w:val="0"/>
        <w:rPr>
          <w:rFonts w:hint="eastAsia" w:ascii="宋体" w:hAnsi="宋体" w:eastAsia="宋体" w:cs="宋体"/>
          <w:b/>
          <w:i w:val="0"/>
          <w:iCs w:val="0"/>
          <w:color w:val="auto"/>
          <w:sz w:val="24"/>
          <w:szCs w:val="24"/>
          <w:highlight w:val="none"/>
        </w:rPr>
      </w:pPr>
      <w:bookmarkStart w:id="167" w:name="_Toc487900354"/>
      <w:bookmarkStart w:id="168" w:name="_Ref467379542"/>
      <w:bookmarkStart w:id="169" w:name="_Toc259093674"/>
      <w:bookmarkStart w:id="170" w:name="_Toc279701245"/>
      <w:bookmarkStart w:id="171" w:name="_Ref467378541"/>
      <w:bookmarkStart w:id="172" w:name="_Ref467379536"/>
      <w:bookmarkStart w:id="173" w:name="_Ref467379527"/>
      <w:bookmarkStart w:id="174" w:name="_Ref467378591"/>
      <w:bookmarkStart w:id="175" w:name="_Toc19074"/>
      <w:bookmarkStart w:id="176" w:name="_Toc82613316"/>
      <w:bookmarkStart w:id="177" w:name="_Toc30272"/>
      <w:bookmarkStart w:id="178" w:name="_Toc26182"/>
      <w:r>
        <w:rPr>
          <w:rFonts w:hint="eastAsia" w:ascii="宋体" w:hAnsi="宋体" w:eastAsia="宋体" w:cs="宋体"/>
          <w:b/>
          <w:i w:val="0"/>
          <w:iCs w:val="0"/>
          <w:color w:val="auto"/>
          <w:sz w:val="24"/>
          <w:szCs w:val="24"/>
          <w:highlight w:val="none"/>
        </w:rPr>
        <w:t>2.</w:t>
      </w:r>
      <w:bookmarkEnd w:id="167"/>
      <w:bookmarkEnd w:id="168"/>
      <w:bookmarkEnd w:id="169"/>
      <w:bookmarkEnd w:id="170"/>
      <w:bookmarkEnd w:id="171"/>
      <w:bookmarkEnd w:id="172"/>
      <w:bookmarkEnd w:id="173"/>
      <w:bookmarkEnd w:id="174"/>
      <w:r>
        <w:rPr>
          <w:rFonts w:hint="eastAsia" w:ascii="宋体" w:hAnsi="宋体" w:eastAsia="宋体" w:cs="宋体"/>
          <w:b/>
          <w:i w:val="0"/>
          <w:iCs w:val="0"/>
          <w:color w:val="auto"/>
          <w:sz w:val="24"/>
          <w:szCs w:val="24"/>
          <w:highlight w:val="none"/>
        </w:rPr>
        <w:t>5履约检查和问题反馈</w:t>
      </w:r>
      <w:bookmarkEnd w:id="175"/>
      <w:bookmarkEnd w:id="176"/>
      <w:bookmarkEnd w:id="177"/>
      <w:bookmarkEnd w:id="178"/>
    </w:p>
    <w:p w14:paraId="7A6811E3">
      <w:pPr>
        <w:spacing w:line="560" w:lineRule="exact"/>
        <w:ind w:firstLine="480" w:firstLineChars="200"/>
        <w:rPr>
          <w:rFonts w:hint="eastAsia" w:ascii="宋体" w:hAnsi="宋体" w:eastAsia="宋体" w:cs="宋体"/>
          <w:i w:val="0"/>
          <w:iCs w:val="0"/>
          <w:color w:val="auto"/>
          <w:sz w:val="24"/>
          <w:szCs w:val="24"/>
          <w:highlight w:val="none"/>
        </w:rPr>
      </w:pPr>
      <w:bookmarkStart w:id="179" w:name="_Ref467379657"/>
      <w:r>
        <w:rPr>
          <w:rFonts w:hint="eastAsia" w:ascii="宋体" w:hAnsi="宋体" w:eastAsia="宋体" w:cs="宋体"/>
          <w:i w:val="0"/>
          <w:iCs w:val="0"/>
          <w:color w:val="auto"/>
          <w:sz w:val="24"/>
          <w:szCs w:val="24"/>
          <w:highlight w:val="none"/>
        </w:rPr>
        <w:t>2.5.1</w:t>
      </w:r>
      <w:bookmarkEnd w:id="179"/>
      <w:bookmarkStart w:id="180" w:name="_Toc186431854"/>
      <w:bookmarkStart w:id="181" w:name="_Toc259093676"/>
      <w:bookmarkStart w:id="182" w:name="_Ref467379807"/>
      <w:bookmarkStart w:id="183" w:name="_Toc279701247"/>
      <w:bookmarkStart w:id="184" w:name="_Ref467379793"/>
      <w:bookmarkStart w:id="185" w:name="_Toc487900357"/>
      <w:r>
        <w:rPr>
          <w:rFonts w:hint="eastAsia" w:ascii="宋体" w:hAnsi="宋体" w:eastAsia="宋体" w:cs="宋体"/>
          <w:i w:val="0"/>
          <w:iCs w:val="0"/>
          <w:color w:val="auto"/>
          <w:sz w:val="24"/>
          <w:szCs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506F00C4">
      <w:pPr>
        <w:spacing w:line="560" w:lineRule="exact"/>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2.5.2合同履行期间，甲方有权将履行过程中出现的问题反馈给乙方，双方当事人应以书面形式约定需要完善和改进的内容</w:t>
      </w:r>
      <w:bookmarkEnd w:id="180"/>
      <w:bookmarkStart w:id="186" w:name="_Toc186431855"/>
      <w:r>
        <w:rPr>
          <w:rFonts w:hint="eastAsia" w:ascii="宋体" w:hAnsi="宋体" w:eastAsia="宋体" w:cs="宋体"/>
          <w:i w:val="0"/>
          <w:iCs w:val="0"/>
          <w:color w:val="auto"/>
          <w:sz w:val="24"/>
          <w:szCs w:val="24"/>
          <w:highlight w:val="none"/>
        </w:rPr>
        <w:t>。</w:t>
      </w:r>
    </w:p>
    <w:bookmarkEnd w:id="186"/>
    <w:p w14:paraId="46CCAC7B">
      <w:pPr>
        <w:spacing w:line="560" w:lineRule="exact"/>
        <w:ind w:firstLine="482" w:firstLineChars="200"/>
        <w:outlineLvl w:val="0"/>
        <w:rPr>
          <w:rFonts w:hint="eastAsia" w:ascii="宋体" w:hAnsi="宋体" w:eastAsia="宋体" w:cs="宋体"/>
          <w:b/>
          <w:i w:val="0"/>
          <w:iCs w:val="0"/>
          <w:color w:val="auto"/>
          <w:sz w:val="24"/>
          <w:szCs w:val="24"/>
          <w:highlight w:val="none"/>
        </w:rPr>
      </w:pPr>
      <w:bookmarkStart w:id="187" w:name="_Toc19219"/>
      <w:bookmarkStart w:id="188" w:name="_Toc82613317"/>
      <w:bookmarkStart w:id="189" w:name="_Toc7836"/>
      <w:bookmarkStart w:id="190" w:name="_Toc28451"/>
      <w:r>
        <w:rPr>
          <w:rFonts w:hint="eastAsia" w:ascii="宋体" w:hAnsi="宋体" w:eastAsia="宋体" w:cs="宋体"/>
          <w:b/>
          <w:i w:val="0"/>
          <w:iCs w:val="0"/>
          <w:color w:val="auto"/>
          <w:sz w:val="24"/>
          <w:szCs w:val="24"/>
          <w:highlight w:val="none"/>
        </w:rPr>
        <w:t>2.6结算方式和付款条件</w:t>
      </w:r>
      <w:bookmarkEnd w:id="181"/>
      <w:bookmarkEnd w:id="182"/>
      <w:bookmarkEnd w:id="183"/>
      <w:bookmarkEnd w:id="184"/>
      <w:bookmarkEnd w:id="185"/>
      <w:bookmarkEnd w:id="187"/>
      <w:bookmarkEnd w:id="188"/>
      <w:bookmarkEnd w:id="189"/>
      <w:bookmarkEnd w:id="190"/>
    </w:p>
    <w:p w14:paraId="2278151B">
      <w:pPr>
        <w:spacing w:line="560" w:lineRule="exact"/>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详见</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w:t>
      </w:r>
    </w:p>
    <w:p w14:paraId="1B6B7FF3">
      <w:pPr>
        <w:spacing w:line="560" w:lineRule="exact"/>
        <w:ind w:firstLine="482" w:firstLineChars="200"/>
        <w:outlineLvl w:val="0"/>
        <w:rPr>
          <w:rFonts w:hint="eastAsia" w:ascii="宋体" w:hAnsi="宋体" w:eastAsia="宋体" w:cs="宋体"/>
          <w:b/>
          <w:i w:val="0"/>
          <w:iCs w:val="0"/>
          <w:color w:val="auto"/>
          <w:sz w:val="24"/>
          <w:szCs w:val="24"/>
          <w:highlight w:val="none"/>
        </w:rPr>
      </w:pPr>
      <w:bookmarkStart w:id="191" w:name="_Ref467379863"/>
      <w:bookmarkStart w:id="192" w:name="_Ref467379852"/>
      <w:bookmarkStart w:id="193" w:name="_Toc279701248"/>
      <w:bookmarkStart w:id="194" w:name="_Ref467379923"/>
      <w:bookmarkStart w:id="195" w:name="_Toc487900358"/>
      <w:bookmarkStart w:id="196" w:name="_Toc259093677"/>
      <w:bookmarkStart w:id="197" w:name="_Toc774"/>
      <w:bookmarkStart w:id="198" w:name="_Toc16110"/>
      <w:bookmarkStart w:id="199" w:name="_Toc82613318"/>
      <w:bookmarkStart w:id="200" w:name="_Toc3225"/>
      <w:r>
        <w:rPr>
          <w:rFonts w:hint="eastAsia" w:ascii="宋体" w:hAnsi="宋体" w:eastAsia="宋体" w:cs="宋体"/>
          <w:b/>
          <w:i w:val="0"/>
          <w:iCs w:val="0"/>
          <w:color w:val="auto"/>
          <w:sz w:val="24"/>
          <w:szCs w:val="24"/>
          <w:highlight w:val="none"/>
        </w:rPr>
        <w:t>2.7技术资料</w:t>
      </w:r>
      <w:bookmarkEnd w:id="191"/>
      <w:bookmarkEnd w:id="192"/>
      <w:bookmarkEnd w:id="193"/>
      <w:bookmarkEnd w:id="194"/>
      <w:bookmarkEnd w:id="195"/>
      <w:bookmarkEnd w:id="196"/>
      <w:r>
        <w:rPr>
          <w:rFonts w:hint="eastAsia" w:ascii="宋体" w:hAnsi="宋体" w:eastAsia="宋体" w:cs="宋体"/>
          <w:b/>
          <w:i w:val="0"/>
          <w:iCs w:val="0"/>
          <w:color w:val="auto"/>
          <w:sz w:val="24"/>
          <w:szCs w:val="24"/>
          <w:highlight w:val="none"/>
        </w:rPr>
        <w:t>和保密义务</w:t>
      </w:r>
      <w:bookmarkEnd w:id="197"/>
      <w:bookmarkEnd w:id="198"/>
      <w:bookmarkEnd w:id="199"/>
      <w:bookmarkEnd w:id="200"/>
    </w:p>
    <w:p w14:paraId="7B4C2EFB">
      <w:pPr>
        <w:spacing w:line="560" w:lineRule="exact"/>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2.7.1乙方有权依据合同约定和项目需要，向甲方了解有关情况，调阅有关资料等，甲方应予积极配合；</w:t>
      </w:r>
    </w:p>
    <w:p w14:paraId="4D6A6CB9">
      <w:pPr>
        <w:spacing w:line="560" w:lineRule="exact"/>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2.7.2乙方有义务妥善保管和保护由甲方提供的前款信息和资料等；</w:t>
      </w:r>
    </w:p>
    <w:p w14:paraId="2E7A8C0D">
      <w:pPr>
        <w:spacing w:line="560" w:lineRule="exact"/>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2.7.3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E7B3A02">
      <w:pPr>
        <w:spacing w:line="560" w:lineRule="exact"/>
        <w:ind w:firstLine="482" w:firstLineChars="200"/>
        <w:outlineLvl w:val="0"/>
        <w:rPr>
          <w:rFonts w:hint="eastAsia" w:ascii="宋体" w:hAnsi="宋体" w:eastAsia="宋体" w:cs="宋体"/>
          <w:b/>
          <w:i w:val="0"/>
          <w:iCs w:val="0"/>
          <w:color w:val="auto"/>
          <w:sz w:val="24"/>
          <w:szCs w:val="24"/>
          <w:highlight w:val="none"/>
        </w:rPr>
      </w:pPr>
      <w:bookmarkStart w:id="201" w:name="_Toc82613319"/>
      <w:bookmarkStart w:id="202" w:name="_Toc7860"/>
      <w:r>
        <w:rPr>
          <w:rFonts w:hint="eastAsia" w:ascii="宋体" w:hAnsi="宋体" w:eastAsia="宋体" w:cs="宋体"/>
          <w:b/>
          <w:i w:val="0"/>
          <w:iCs w:val="0"/>
          <w:color w:val="auto"/>
          <w:sz w:val="24"/>
          <w:szCs w:val="24"/>
          <w:highlight w:val="none"/>
        </w:rPr>
        <w:t>2.8质量保证</w:t>
      </w:r>
      <w:bookmarkEnd w:id="201"/>
      <w:bookmarkEnd w:id="202"/>
    </w:p>
    <w:p w14:paraId="73393BFF">
      <w:pPr>
        <w:spacing w:line="560" w:lineRule="exact"/>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2.8.1乙方应建立和完善履行合同的内部质量保证体系，并提供相关内部规章制度给甲方，以便甲方进行监督检查；</w:t>
      </w:r>
    </w:p>
    <w:p w14:paraId="12815526">
      <w:pPr>
        <w:spacing w:line="560" w:lineRule="exact"/>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2.8.2乙方应保证履行合同的人员数量和素质、软件和硬件设备的配置、场地、环境和设施等满足全面履行合同的要求，并应接受甲方的监督检查。</w:t>
      </w:r>
    </w:p>
    <w:p w14:paraId="24372403">
      <w:pPr>
        <w:spacing w:line="560" w:lineRule="exact"/>
        <w:ind w:firstLine="482" w:firstLineChars="200"/>
        <w:outlineLvl w:val="0"/>
        <w:rPr>
          <w:rFonts w:hint="eastAsia" w:ascii="宋体" w:hAnsi="宋体" w:eastAsia="宋体" w:cs="宋体"/>
          <w:b/>
          <w:i w:val="0"/>
          <w:iCs w:val="0"/>
          <w:color w:val="auto"/>
          <w:sz w:val="24"/>
          <w:szCs w:val="24"/>
          <w:highlight w:val="none"/>
        </w:rPr>
      </w:pPr>
      <w:bookmarkStart w:id="203" w:name="_Toc82613320"/>
      <w:bookmarkStart w:id="204" w:name="_Toc17244"/>
      <w:bookmarkStart w:id="205" w:name="_Toc259093681"/>
      <w:bookmarkStart w:id="206" w:name="_Toc279701252"/>
      <w:bookmarkStart w:id="207" w:name="_Toc487900362"/>
      <w:r>
        <w:rPr>
          <w:rFonts w:hint="eastAsia" w:ascii="宋体" w:hAnsi="宋体" w:eastAsia="宋体" w:cs="宋体"/>
          <w:b/>
          <w:i w:val="0"/>
          <w:iCs w:val="0"/>
          <w:color w:val="auto"/>
          <w:sz w:val="24"/>
          <w:szCs w:val="24"/>
          <w:highlight w:val="none"/>
        </w:rPr>
        <w:t>2.9货物的风险负担</w:t>
      </w:r>
      <w:bookmarkEnd w:id="203"/>
      <w:bookmarkEnd w:id="204"/>
    </w:p>
    <w:p w14:paraId="61A528AF">
      <w:pPr>
        <w:spacing w:line="560" w:lineRule="exact"/>
        <w:ind w:firstLine="480" w:firstLineChars="200"/>
        <w:rPr>
          <w:rFonts w:hint="eastAsia" w:ascii="宋体" w:hAnsi="宋体" w:eastAsia="宋体" w:cs="宋体"/>
          <w:b/>
          <w:i w:val="0"/>
          <w:iCs w:val="0"/>
          <w:color w:val="auto"/>
          <w:sz w:val="24"/>
          <w:szCs w:val="24"/>
          <w:highlight w:val="none"/>
        </w:rPr>
      </w:pPr>
      <w:r>
        <w:rPr>
          <w:rFonts w:hint="eastAsia" w:ascii="宋体" w:hAnsi="宋体" w:eastAsia="宋体" w:cs="宋体"/>
          <w:i w:val="0"/>
          <w:iCs w:val="0"/>
          <w:color w:val="auto"/>
          <w:sz w:val="24"/>
          <w:szCs w:val="24"/>
          <w:highlight w:val="none"/>
        </w:rPr>
        <w:t>货物或者在途货物或者交付给第一承运人后的货物毁损、灭失的风险负担详见</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w:t>
      </w:r>
    </w:p>
    <w:p w14:paraId="17FBC961">
      <w:pPr>
        <w:spacing w:line="560" w:lineRule="exact"/>
        <w:ind w:firstLine="482" w:firstLineChars="200"/>
        <w:outlineLvl w:val="0"/>
        <w:rPr>
          <w:rFonts w:hint="eastAsia" w:ascii="宋体" w:hAnsi="宋体" w:eastAsia="宋体" w:cs="宋体"/>
          <w:b/>
          <w:i w:val="0"/>
          <w:iCs w:val="0"/>
          <w:color w:val="auto"/>
          <w:sz w:val="24"/>
          <w:szCs w:val="24"/>
          <w:highlight w:val="none"/>
        </w:rPr>
      </w:pPr>
      <w:bookmarkStart w:id="208" w:name="_Toc14055"/>
      <w:bookmarkStart w:id="209" w:name="_Toc82613321"/>
      <w:r>
        <w:rPr>
          <w:rFonts w:hint="eastAsia" w:ascii="宋体" w:hAnsi="宋体" w:eastAsia="宋体" w:cs="宋体"/>
          <w:b/>
          <w:i w:val="0"/>
          <w:iCs w:val="0"/>
          <w:color w:val="auto"/>
          <w:sz w:val="24"/>
          <w:szCs w:val="24"/>
          <w:highlight w:val="none"/>
        </w:rPr>
        <w:t>2.10延迟交货</w:t>
      </w:r>
      <w:bookmarkEnd w:id="205"/>
      <w:bookmarkEnd w:id="206"/>
      <w:bookmarkEnd w:id="207"/>
      <w:bookmarkEnd w:id="208"/>
      <w:bookmarkEnd w:id="209"/>
    </w:p>
    <w:p w14:paraId="0F7E7CF5">
      <w:pPr>
        <w:spacing w:line="560" w:lineRule="exact"/>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02DA8324">
      <w:pPr>
        <w:spacing w:line="560" w:lineRule="exact"/>
        <w:ind w:firstLine="482" w:firstLineChars="200"/>
        <w:outlineLvl w:val="0"/>
        <w:rPr>
          <w:rFonts w:hint="eastAsia" w:ascii="宋体" w:hAnsi="宋体" w:eastAsia="宋体" w:cs="宋体"/>
          <w:b/>
          <w:i w:val="0"/>
          <w:iCs w:val="0"/>
          <w:color w:val="auto"/>
          <w:sz w:val="24"/>
          <w:szCs w:val="24"/>
          <w:highlight w:val="none"/>
        </w:rPr>
      </w:pPr>
      <w:bookmarkStart w:id="210" w:name="_Toc82613322"/>
      <w:bookmarkStart w:id="211" w:name="_Toc7502"/>
      <w:bookmarkStart w:id="212" w:name="_Toc279701254"/>
      <w:bookmarkStart w:id="213" w:name="_Toc487900364"/>
      <w:bookmarkStart w:id="214" w:name="_Ref467378121"/>
      <w:bookmarkStart w:id="215" w:name="_Toc259093683"/>
      <w:r>
        <w:rPr>
          <w:rFonts w:hint="eastAsia" w:ascii="宋体" w:hAnsi="宋体" w:eastAsia="宋体" w:cs="宋体"/>
          <w:b/>
          <w:i w:val="0"/>
          <w:iCs w:val="0"/>
          <w:color w:val="auto"/>
          <w:sz w:val="24"/>
          <w:szCs w:val="24"/>
          <w:highlight w:val="none"/>
        </w:rPr>
        <w:t>2.11合同变更</w:t>
      </w:r>
      <w:bookmarkEnd w:id="210"/>
      <w:bookmarkEnd w:id="211"/>
    </w:p>
    <w:p w14:paraId="30636434">
      <w:pPr>
        <w:spacing w:line="560" w:lineRule="exact"/>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2.11.1双方当事人协商一致，可以签订书面补充合同的形式变更合同，但不得违背采购文件确定的事项，且如果系追加与合同标的相同的货物的，那么所有补充合同的采购金额不得超过原合同价的10%；</w:t>
      </w:r>
    </w:p>
    <w:p w14:paraId="40D17673">
      <w:pPr>
        <w:spacing w:line="560" w:lineRule="exact"/>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2.11.2合同继续履行将损害国家利益和社会公共利益的，双方当事人应当以书面形式变更合同。有过错的一方应当承担赔偿责任，双方当事人都有过错的，各自承担相应的责任。</w:t>
      </w:r>
      <w:bookmarkStart w:id="216" w:name="_Toc279701259"/>
      <w:bookmarkStart w:id="217" w:name="_Toc259093688"/>
      <w:bookmarkStart w:id="218" w:name="_Toc487900369"/>
    </w:p>
    <w:p w14:paraId="3FBBAA0B">
      <w:pPr>
        <w:spacing w:line="560" w:lineRule="exact"/>
        <w:ind w:firstLine="482" w:firstLineChars="200"/>
        <w:outlineLvl w:val="0"/>
        <w:rPr>
          <w:rFonts w:hint="eastAsia" w:ascii="宋体" w:hAnsi="宋体" w:eastAsia="宋体" w:cs="宋体"/>
          <w:b/>
          <w:i w:val="0"/>
          <w:iCs w:val="0"/>
          <w:color w:val="auto"/>
          <w:sz w:val="24"/>
          <w:szCs w:val="24"/>
          <w:highlight w:val="none"/>
        </w:rPr>
      </w:pPr>
      <w:bookmarkStart w:id="219" w:name="_Toc10366"/>
      <w:bookmarkStart w:id="220" w:name="_Toc82613323"/>
      <w:bookmarkStart w:id="221" w:name="_Toc15237"/>
      <w:bookmarkStart w:id="222" w:name="_Toc22955"/>
      <w:r>
        <w:rPr>
          <w:rFonts w:hint="eastAsia" w:ascii="宋体" w:hAnsi="宋体" w:eastAsia="宋体" w:cs="宋体"/>
          <w:b/>
          <w:i w:val="0"/>
          <w:iCs w:val="0"/>
          <w:color w:val="auto"/>
          <w:sz w:val="24"/>
          <w:szCs w:val="24"/>
          <w:highlight w:val="none"/>
        </w:rPr>
        <w:t>2.12合同转让</w:t>
      </w:r>
      <w:bookmarkEnd w:id="216"/>
      <w:bookmarkEnd w:id="217"/>
      <w:bookmarkEnd w:id="218"/>
      <w:r>
        <w:rPr>
          <w:rFonts w:hint="eastAsia" w:ascii="宋体" w:hAnsi="宋体" w:eastAsia="宋体" w:cs="宋体"/>
          <w:b/>
          <w:i w:val="0"/>
          <w:iCs w:val="0"/>
          <w:color w:val="auto"/>
          <w:sz w:val="24"/>
          <w:szCs w:val="24"/>
          <w:highlight w:val="none"/>
        </w:rPr>
        <w:t>和分包</w:t>
      </w:r>
      <w:bookmarkEnd w:id="219"/>
      <w:bookmarkEnd w:id="220"/>
      <w:bookmarkEnd w:id="221"/>
      <w:bookmarkEnd w:id="222"/>
    </w:p>
    <w:p w14:paraId="28F52C56">
      <w:pPr>
        <w:spacing w:line="560" w:lineRule="exact"/>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86F42E9">
      <w:pPr>
        <w:spacing w:line="560" w:lineRule="exact"/>
        <w:ind w:firstLine="482" w:firstLineChars="200"/>
        <w:outlineLvl w:val="0"/>
        <w:rPr>
          <w:rFonts w:hint="eastAsia" w:ascii="宋体" w:hAnsi="宋体" w:eastAsia="宋体" w:cs="宋体"/>
          <w:b/>
          <w:i w:val="0"/>
          <w:iCs w:val="0"/>
          <w:color w:val="auto"/>
          <w:sz w:val="24"/>
          <w:szCs w:val="24"/>
          <w:highlight w:val="none"/>
        </w:rPr>
      </w:pPr>
      <w:bookmarkStart w:id="223" w:name="_Toc14066"/>
      <w:bookmarkStart w:id="224" w:name="_Toc16508"/>
      <w:bookmarkStart w:id="225" w:name="_Toc82613324"/>
      <w:bookmarkStart w:id="226" w:name="_Toc13566"/>
      <w:r>
        <w:rPr>
          <w:rFonts w:hint="eastAsia" w:ascii="宋体" w:hAnsi="宋体" w:eastAsia="宋体" w:cs="宋体"/>
          <w:b/>
          <w:i w:val="0"/>
          <w:iCs w:val="0"/>
          <w:color w:val="auto"/>
          <w:sz w:val="24"/>
          <w:szCs w:val="24"/>
          <w:highlight w:val="none"/>
        </w:rPr>
        <w:t>2.13不可抗力</w:t>
      </w:r>
      <w:bookmarkEnd w:id="223"/>
      <w:bookmarkEnd w:id="224"/>
      <w:bookmarkEnd w:id="225"/>
      <w:bookmarkEnd w:id="226"/>
    </w:p>
    <w:p w14:paraId="61D06A9D">
      <w:pPr>
        <w:spacing w:line="560" w:lineRule="exact"/>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2.13.1如果任何一方遭遇法律规定的不可抗力，致使合同履行受阻时，履行合同的期限应予延长，延长的期限应相当于不可抗力所影响的时间；</w:t>
      </w:r>
    </w:p>
    <w:p w14:paraId="4FD3F915">
      <w:pPr>
        <w:spacing w:line="560" w:lineRule="exact"/>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2.13.2因不可抗力致使不能实现合同目的的，当事人可以解除合同；</w:t>
      </w:r>
    </w:p>
    <w:p w14:paraId="7AAA9422">
      <w:pPr>
        <w:spacing w:line="560" w:lineRule="exact"/>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2.13.3因不可抗力致使合同有变更必要的，双方当事人应在</w:t>
      </w:r>
      <w:r>
        <w:rPr>
          <w:rFonts w:hint="eastAsia" w:ascii="宋体" w:hAnsi="宋体" w:eastAsia="宋体" w:cs="宋体"/>
          <w:b/>
          <w:i w:val="0"/>
          <w:iCs w:val="0"/>
          <w:color w:val="auto"/>
          <w:sz w:val="24"/>
          <w:szCs w:val="24"/>
          <w:highlight w:val="none"/>
          <w:u w:val="single"/>
        </w:rPr>
        <w:t>5个工作日</w:t>
      </w:r>
      <w:r>
        <w:rPr>
          <w:rFonts w:hint="eastAsia" w:ascii="宋体" w:hAnsi="宋体" w:eastAsia="宋体" w:cs="宋体"/>
          <w:i w:val="0"/>
          <w:iCs w:val="0"/>
          <w:color w:val="auto"/>
          <w:sz w:val="24"/>
          <w:szCs w:val="24"/>
          <w:highlight w:val="none"/>
        </w:rPr>
        <w:t>内以书面形式变更合同；</w:t>
      </w:r>
    </w:p>
    <w:p w14:paraId="35F4F624">
      <w:pPr>
        <w:spacing w:line="560" w:lineRule="exact"/>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2.13.4受不可抗力影响的一方在不可抗力发生后，应在</w:t>
      </w:r>
      <w:r>
        <w:rPr>
          <w:rFonts w:hint="eastAsia" w:ascii="宋体" w:hAnsi="宋体" w:eastAsia="宋体" w:cs="宋体"/>
          <w:b/>
          <w:i w:val="0"/>
          <w:iCs w:val="0"/>
          <w:color w:val="auto"/>
          <w:sz w:val="24"/>
          <w:szCs w:val="24"/>
          <w:highlight w:val="none"/>
          <w:u w:val="single"/>
        </w:rPr>
        <w:t>5个工作日</w:t>
      </w:r>
      <w:r>
        <w:rPr>
          <w:rFonts w:hint="eastAsia" w:ascii="宋体" w:hAnsi="宋体" w:eastAsia="宋体" w:cs="宋体"/>
          <w:i w:val="0"/>
          <w:iCs w:val="0"/>
          <w:color w:val="auto"/>
          <w:sz w:val="24"/>
          <w:szCs w:val="24"/>
          <w:highlight w:val="none"/>
        </w:rPr>
        <w:t>内以书面形式通知对方当事人，并在</w:t>
      </w:r>
      <w:r>
        <w:rPr>
          <w:rFonts w:hint="eastAsia" w:ascii="宋体" w:hAnsi="宋体" w:eastAsia="宋体" w:cs="宋体"/>
          <w:b/>
          <w:i w:val="0"/>
          <w:iCs w:val="0"/>
          <w:color w:val="auto"/>
          <w:sz w:val="24"/>
          <w:szCs w:val="24"/>
          <w:highlight w:val="none"/>
          <w:u w:val="single"/>
        </w:rPr>
        <w:t>5个工作日</w:t>
      </w:r>
      <w:r>
        <w:rPr>
          <w:rFonts w:hint="eastAsia" w:ascii="宋体" w:hAnsi="宋体" w:eastAsia="宋体" w:cs="宋体"/>
          <w:i w:val="0"/>
          <w:iCs w:val="0"/>
          <w:color w:val="auto"/>
          <w:sz w:val="24"/>
          <w:szCs w:val="24"/>
          <w:highlight w:val="none"/>
        </w:rPr>
        <w:t>内，将有关部门出具的证明文件送达对方当事人。</w:t>
      </w:r>
    </w:p>
    <w:p w14:paraId="0F63BCAF">
      <w:pPr>
        <w:spacing w:line="560" w:lineRule="exact"/>
        <w:ind w:firstLine="482" w:firstLineChars="200"/>
        <w:outlineLvl w:val="0"/>
        <w:rPr>
          <w:rFonts w:hint="eastAsia" w:ascii="宋体" w:hAnsi="宋体" w:eastAsia="宋体" w:cs="宋体"/>
          <w:b/>
          <w:i w:val="0"/>
          <w:iCs w:val="0"/>
          <w:color w:val="auto"/>
          <w:sz w:val="24"/>
          <w:szCs w:val="24"/>
          <w:highlight w:val="none"/>
        </w:rPr>
      </w:pPr>
      <w:bookmarkStart w:id="227" w:name="_Toc487900365"/>
      <w:bookmarkStart w:id="228" w:name="_Toc259093684"/>
      <w:bookmarkStart w:id="229" w:name="_Toc279701255"/>
      <w:bookmarkStart w:id="230" w:name="_Toc689"/>
      <w:bookmarkStart w:id="231" w:name="_Toc82613325"/>
      <w:bookmarkStart w:id="232" w:name="_Toc30676"/>
      <w:bookmarkStart w:id="233" w:name="_Toc6969"/>
      <w:r>
        <w:rPr>
          <w:rFonts w:hint="eastAsia" w:ascii="宋体" w:hAnsi="宋体" w:eastAsia="宋体" w:cs="宋体"/>
          <w:b/>
          <w:i w:val="0"/>
          <w:iCs w:val="0"/>
          <w:color w:val="auto"/>
          <w:sz w:val="24"/>
          <w:szCs w:val="24"/>
          <w:highlight w:val="none"/>
        </w:rPr>
        <w:t>2.14税费</w:t>
      </w:r>
      <w:bookmarkEnd w:id="227"/>
      <w:bookmarkEnd w:id="228"/>
      <w:bookmarkEnd w:id="229"/>
      <w:bookmarkEnd w:id="230"/>
      <w:bookmarkEnd w:id="231"/>
      <w:bookmarkEnd w:id="232"/>
      <w:bookmarkEnd w:id="233"/>
    </w:p>
    <w:p w14:paraId="481EA66D">
      <w:pPr>
        <w:spacing w:line="560" w:lineRule="exact"/>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与合同有关的一切税费，均按照中华人民共和国法律的相关规定。</w:t>
      </w:r>
    </w:p>
    <w:p w14:paraId="2F6FB53A">
      <w:pPr>
        <w:spacing w:line="560" w:lineRule="exact"/>
        <w:ind w:firstLine="482" w:firstLineChars="200"/>
        <w:outlineLvl w:val="0"/>
        <w:rPr>
          <w:rFonts w:hint="eastAsia" w:ascii="宋体" w:hAnsi="宋体" w:eastAsia="宋体" w:cs="宋体"/>
          <w:b/>
          <w:i w:val="0"/>
          <w:iCs w:val="0"/>
          <w:color w:val="auto"/>
          <w:sz w:val="24"/>
          <w:szCs w:val="24"/>
          <w:highlight w:val="none"/>
        </w:rPr>
      </w:pPr>
      <w:bookmarkStart w:id="234" w:name="_Toc16959"/>
      <w:bookmarkStart w:id="235" w:name="_Toc259093687"/>
      <w:bookmarkStart w:id="236" w:name="_Toc82613326"/>
      <w:bookmarkStart w:id="237" w:name="_Toc8298"/>
      <w:bookmarkStart w:id="238" w:name="_Toc279701258"/>
      <w:bookmarkStart w:id="239" w:name="_Toc7102"/>
      <w:bookmarkStart w:id="240" w:name="_Toc487900368"/>
      <w:r>
        <w:rPr>
          <w:rFonts w:hint="eastAsia" w:ascii="宋体" w:hAnsi="宋体" w:eastAsia="宋体" w:cs="宋体"/>
          <w:b/>
          <w:i w:val="0"/>
          <w:iCs w:val="0"/>
          <w:color w:val="auto"/>
          <w:sz w:val="24"/>
          <w:szCs w:val="24"/>
          <w:highlight w:val="none"/>
        </w:rPr>
        <w:t>2.15乙方破产</w:t>
      </w:r>
      <w:bookmarkEnd w:id="234"/>
      <w:bookmarkEnd w:id="235"/>
      <w:bookmarkEnd w:id="236"/>
      <w:bookmarkEnd w:id="237"/>
      <w:bookmarkEnd w:id="238"/>
      <w:bookmarkEnd w:id="239"/>
      <w:bookmarkEnd w:id="240"/>
    </w:p>
    <w:p w14:paraId="1C714F2B">
      <w:pPr>
        <w:spacing w:line="560" w:lineRule="exact"/>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76E4EDB">
      <w:pPr>
        <w:spacing w:line="560" w:lineRule="exact"/>
        <w:ind w:firstLine="482" w:firstLineChars="200"/>
        <w:outlineLvl w:val="0"/>
        <w:rPr>
          <w:rFonts w:hint="eastAsia" w:ascii="宋体" w:hAnsi="宋体" w:eastAsia="宋体" w:cs="宋体"/>
          <w:b/>
          <w:i w:val="0"/>
          <w:iCs w:val="0"/>
          <w:color w:val="auto"/>
          <w:sz w:val="24"/>
          <w:szCs w:val="24"/>
          <w:highlight w:val="none"/>
        </w:rPr>
      </w:pPr>
      <w:bookmarkStart w:id="241" w:name="_Toc29333"/>
      <w:bookmarkStart w:id="242" w:name="_Toc15387"/>
      <w:bookmarkStart w:id="243" w:name="_Toc82613327"/>
      <w:bookmarkStart w:id="244" w:name="_Toc6134"/>
      <w:r>
        <w:rPr>
          <w:rFonts w:hint="eastAsia" w:ascii="宋体" w:hAnsi="宋体" w:eastAsia="宋体" w:cs="宋体"/>
          <w:b/>
          <w:i w:val="0"/>
          <w:iCs w:val="0"/>
          <w:color w:val="auto"/>
          <w:sz w:val="24"/>
          <w:szCs w:val="24"/>
          <w:highlight w:val="none"/>
        </w:rPr>
        <w:t>2.16合同中止、终止</w:t>
      </w:r>
      <w:bookmarkEnd w:id="241"/>
      <w:bookmarkEnd w:id="242"/>
      <w:bookmarkEnd w:id="243"/>
      <w:bookmarkEnd w:id="244"/>
    </w:p>
    <w:p w14:paraId="657632A6">
      <w:pPr>
        <w:spacing w:line="560" w:lineRule="exact"/>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2.16.1双方当事人不得擅自中止或者终止合同；</w:t>
      </w:r>
    </w:p>
    <w:p w14:paraId="60C3AA12">
      <w:pPr>
        <w:spacing w:line="560" w:lineRule="exact"/>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2.16.2合同继续履行将损害国家利益和社会公共利益的，双方当事人应当中止或者终止合同。有过错的一方应当承担赔偿责任，双方当事人都有过错的，各自承担相应的责任。</w:t>
      </w:r>
    </w:p>
    <w:p w14:paraId="1CDF2826">
      <w:pPr>
        <w:spacing w:line="560" w:lineRule="exact"/>
        <w:ind w:firstLine="482" w:firstLineChars="200"/>
        <w:outlineLvl w:val="0"/>
        <w:rPr>
          <w:rFonts w:hint="eastAsia" w:ascii="宋体" w:hAnsi="宋体" w:eastAsia="宋体" w:cs="宋体"/>
          <w:b/>
          <w:i w:val="0"/>
          <w:iCs w:val="0"/>
          <w:color w:val="auto"/>
          <w:sz w:val="24"/>
          <w:szCs w:val="24"/>
          <w:highlight w:val="none"/>
        </w:rPr>
      </w:pPr>
      <w:bookmarkStart w:id="245" w:name="_Toc6596"/>
      <w:bookmarkStart w:id="246" w:name="_Toc14563"/>
      <w:bookmarkStart w:id="247" w:name="_Toc1125"/>
      <w:bookmarkStart w:id="248" w:name="_Toc82613328"/>
      <w:r>
        <w:rPr>
          <w:rFonts w:hint="eastAsia" w:ascii="宋体" w:hAnsi="宋体" w:eastAsia="宋体" w:cs="宋体"/>
          <w:b/>
          <w:i w:val="0"/>
          <w:iCs w:val="0"/>
          <w:color w:val="auto"/>
          <w:sz w:val="24"/>
          <w:szCs w:val="24"/>
          <w:highlight w:val="none"/>
        </w:rPr>
        <w:t>2.17 检验和验收</w:t>
      </w:r>
      <w:bookmarkEnd w:id="245"/>
      <w:bookmarkEnd w:id="246"/>
      <w:bookmarkEnd w:id="247"/>
      <w:bookmarkEnd w:id="248"/>
    </w:p>
    <w:p w14:paraId="38C480A3">
      <w:pPr>
        <w:tabs>
          <w:tab w:val="left" w:pos="360"/>
          <w:tab w:val="left" w:pos="540"/>
          <w:tab w:val="left" w:pos="1080"/>
        </w:tabs>
        <w:spacing w:line="560" w:lineRule="exact"/>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2.17.1货物交付前，乙方应对货物的质量、数量等方面进行详细、全面的检验，并向甲方出具证明货物符合合同约定的文件；货物交付时，乙方在</w:t>
      </w:r>
      <w:r>
        <w:rPr>
          <w:rFonts w:hint="eastAsia" w:ascii="宋体" w:hAnsi="宋体" w:eastAsia="宋体" w:cs="宋体"/>
          <w:b/>
          <w:i w:val="0"/>
          <w:iCs w:val="0"/>
          <w:color w:val="auto"/>
          <w:sz w:val="24"/>
          <w:szCs w:val="24"/>
          <w:highlight w:val="none"/>
          <w:u w:val="single"/>
        </w:rPr>
        <w:t>5个工作日</w:t>
      </w:r>
      <w:r>
        <w:rPr>
          <w:rFonts w:hint="eastAsia" w:ascii="宋体" w:hAnsi="宋体" w:eastAsia="宋体" w:cs="宋体"/>
          <w:i w:val="0"/>
          <w:iCs w:val="0"/>
          <w:color w:val="auto"/>
          <w:sz w:val="24"/>
          <w:szCs w:val="24"/>
          <w:highlight w:val="none"/>
        </w:rPr>
        <w:t>内组织验收，并可依法邀请相关方参加，验收应出具验收书。</w:t>
      </w:r>
    </w:p>
    <w:p w14:paraId="6903F2CD">
      <w:pPr>
        <w:tabs>
          <w:tab w:val="left" w:pos="360"/>
          <w:tab w:val="left" w:pos="540"/>
          <w:tab w:val="left" w:pos="1080"/>
        </w:tabs>
        <w:spacing w:line="560" w:lineRule="exact"/>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2.17.2合同期满或者履行完毕后，甲方有权组织（包括依法邀请国家认可的质量检测机构参加</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由此产生的一切费用，包含在合同额内</w:t>
      </w:r>
      <w:r>
        <w:rPr>
          <w:rFonts w:hint="eastAsia" w:ascii="宋体" w:hAnsi="宋体" w:eastAsia="宋体" w:cs="宋体"/>
          <w:i w:val="0"/>
          <w:iCs w:val="0"/>
          <w:color w:val="auto"/>
          <w:sz w:val="24"/>
          <w:szCs w:val="24"/>
          <w:highlight w:val="none"/>
        </w:rPr>
        <w:t>）对乙方履约的验收，即：按照合同约定的技术、服务、安全标准，组织对每一项技术、服务、安全标准的履约情况的验收，并出具验收书。</w:t>
      </w:r>
    </w:p>
    <w:p w14:paraId="2C397AA1">
      <w:pPr>
        <w:tabs>
          <w:tab w:val="left" w:pos="360"/>
          <w:tab w:val="left" w:pos="540"/>
          <w:tab w:val="left" w:pos="1080"/>
        </w:tabs>
        <w:spacing w:line="560" w:lineRule="exact"/>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2.17.3检验和验收标准、程序等具体内容以及前述验收书的效力详见</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w:t>
      </w:r>
    </w:p>
    <w:bookmarkEnd w:id="212"/>
    <w:bookmarkEnd w:id="213"/>
    <w:bookmarkEnd w:id="214"/>
    <w:bookmarkEnd w:id="215"/>
    <w:p w14:paraId="7AC23A75">
      <w:pPr>
        <w:spacing w:line="560" w:lineRule="exact"/>
        <w:ind w:firstLine="482" w:firstLineChars="200"/>
        <w:outlineLvl w:val="0"/>
        <w:rPr>
          <w:rFonts w:hint="eastAsia" w:ascii="宋体" w:hAnsi="宋体" w:eastAsia="宋体" w:cs="宋体"/>
          <w:b/>
          <w:i w:val="0"/>
          <w:iCs w:val="0"/>
          <w:color w:val="auto"/>
          <w:sz w:val="24"/>
          <w:szCs w:val="24"/>
          <w:highlight w:val="none"/>
        </w:rPr>
      </w:pPr>
      <w:bookmarkStart w:id="249" w:name="_Toc487900371"/>
      <w:bookmarkStart w:id="250" w:name="_Toc259093690"/>
      <w:bookmarkStart w:id="251" w:name="_Toc279701261"/>
      <w:bookmarkStart w:id="252" w:name="_Toc25182"/>
      <w:bookmarkStart w:id="253" w:name="_Toc19604"/>
      <w:bookmarkStart w:id="254" w:name="_Toc11284"/>
      <w:bookmarkStart w:id="255" w:name="_Toc82613329"/>
      <w:r>
        <w:rPr>
          <w:rFonts w:hint="eastAsia" w:ascii="宋体" w:hAnsi="宋体" w:eastAsia="宋体" w:cs="宋体"/>
          <w:b/>
          <w:i w:val="0"/>
          <w:iCs w:val="0"/>
          <w:color w:val="auto"/>
          <w:sz w:val="24"/>
          <w:szCs w:val="24"/>
          <w:highlight w:val="none"/>
        </w:rPr>
        <w:t>2.18通知</w:t>
      </w:r>
      <w:bookmarkEnd w:id="249"/>
      <w:bookmarkEnd w:id="250"/>
      <w:bookmarkEnd w:id="251"/>
      <w:r>
        <w:rPr>
          <w:rFonts w:hint="eastAsia" w:ascii="宋体" w:hAnsi="宋体" w:eastAsia="宋体" w:cs="宋体"/>
          <w:b/>
          <w:i w:val="0"/>
          <w:iCs w:val="0"/>
          <w:color w:val="auto"/>
          <w:sz w:val="24"/>
          <w:szCs w:val="24"/>
          <w:highlight w:val="none"/>
        </w:rPr>
        <w:t>和送达</w:t>
      </w:r>
      <w:bookmarkEnd w:id="252"/>
      <w:bookmarkEnd w:id="253"/>
      <w:bookmarkEnd w:id="254"/>
      <w:bookmarkEnd w:id="255"/>
    </w:p>
    <w:p w14:paraId="4459B69F">
      <w:pPr>
        <w:spacing w:line="560" w:lineRule="exact"/>
        <w:ind w:firstLine="480" w:firstLineChars="200"/>
        <w:rPr>
          <w:rFonts w:hint="eastAsia" w:ascii="宋体" w:hAnsi="宋体" w:eastAsia="宋体" w:cs="宋体"/>
          <w:i w:val="0"/>
          <w:iCs w:val="0"/>
          <w:color w:val="auto"/>
          <w:sz w:val="24"/>
          <w:szCs w:val="24"/>
          <w:highlight w:val="none"/>
        </w:rPr>
      </w:pPr>
      <w:bookmarkStart w:id="256" w:name="_Toc6698"/>
      <w:bookmarkStart w:id="257" w:name="_Toc3135"/>
      <w:bookmarkStart w:id="258" w:name="_Toc259093691"/>
      <w:bookmarkStart w:id="259" w:name="_Toc279701262"/>
      <w:bookmarkStart w:id="260" w:name="_Toc487900372"/>
      <w:r>
        <w:rPr>
          <w:rFonts w:hint="eastAsia" w:ascii="宋体" w:hAnsi="宋体" w:eastAsia="宋体" w:cs="宋体"/>
          <w:i w:val="0"/>
          <w:iCs w:val="0"/>
          <w:color w:val="auto"/>
          <w:sz w:val="24"/>
          <w:szCs w:val="24"/>
          <w:highlight w:val="none"/>
        </w:rPr>
        <w:t>2.18.1任何一方因履行合同而以合同第一部分尾部所列明的地址发出的所有通知、文件、材料，均视为已向对方当事人送达；任何一方变更上述送达方式或者地址的，应于</w:t>
      </w:r>
      <w:r>
        <w:rPr>
          <w:rFonts w:hint="eastAsia" w:ascii="宋体" w:hAnsi="宋体" w:eastAsia="宋体" w:cs="宋体"/>
          <w:i w:val="0"/>
          <w:iCs w:val="0"/>
          <w:color w:val="auto"/>
          <w:sz w:val="24"/>
          <w:szCs w:val="24"/>
          <w:highlight w:val="none"/>
          <w:u w:val="single"/>
        </w:rPr>
        <w:t xml:space="preserve"> 2 </w:t>
      </w:r>
      <w:r>
        <w:rPr>
          <w:rFonts w:hint="eastAsia" w:ascii="宋体" w:hAnsi="宋体" w:eastAsia="宋体" w:cs="宋体"/>
          <w:i w:val="0"/>
          <w:iCs w:val="0"/>
          <w:color w:val="auto"/>
          <w:sz w:val="24"/>
          <w:szCs w:val="24"/>
          <w:highlight w:val="none"/>
        </w:rPr>
        <w:t>个工作日内书面通知对方当事人，在对方当事人收到有关变更通知之前，变更前的约定送达方式或者地址仍视为有效。</w:t>
      </w:r>
      <w:bookmarkEnd w:id="256"/>
      <w:bookmarkEnd w:id="257"/>
    </w:p>
    <w:p w14:paraId="17F0CD38">
      <w:pPr>
        <w:spacing w:line="560" w:lineRule="exact"/>
        <w:ind w:firstLine="480" w:firstLineChars="200"/>
        <w:rPr>
          <w:rFonts w:hint="eastAsia" w:ascii="宋体" w:hAnsi="宋体" w:eastAsia="宋体" w:cs="宋体"/>
          <w:i w:val="0"/>
          <w:iCs w:val="0"/>
          <w:color w:val="auto"/>
          <w:sz w:val="24"/>
          <w:szCs w:val="24"/>
          <w:highlight w:val="none"/>
        </w:rPr>
      </w:pPr>
      <w:bookmarkStart w:id="261" w:name="_Toc23128"/>
      <w:bookmarkStart w:id="262" w:name="_Toc23294"/>
      <w:r>
        <w:rPr>
          <w:rFonts w:hint="eastAsia" w:ascii="宋体" w:hAnsi="宋体" w:eastAsia="宋体" w:cs="宋体"/>
          <w:i w:val="0"/>
          <w:iCs w:val="0"/>
          <w:color w:val="auto"/>
          <w:sz w:val="24"/>
          <w:szCs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61"/>
      <w:bookmarkEnd w:id="262"/>
    </w:p>
    <w:p w14:paraId="3196582B">
      <w:pPr>
        <w:spacing w:line="560" w:lineRule="exact"/>
        <w:ind w:firstLine="482" w:firstLineChars="200"/>
        <w:outlineLvl w:val="0"/>
        <w:rPr>
          <w:rFonts w:hint="eastAsia" w:ascii="宋体" w:hAnsi="宋体" w:eastAsia="宋体" w:cs="宋体"/>
          <w:b/>
          <w:i w:val="0"/>
          <w:iCs w:val="0"/>
          <w:color w:val="auto"/>
          <w:sz w:val="24"/>
          <w:szCs w:val="24"/>
          <w:highlight w:val="none"/>
        </w:rPr>
      </w:pPr>
      <w:bookmarkStart w:id="263" w:name="_Toc18540"/>
      <w:bookmarkStart w:id="264" w:name="_Toc30599"/>
      <w:bookmarkStart w:id="265" w:name="_Toc4355"/>
      <w:bookmarkStart w:id="266" w:name="_Toc82613330"/>
      <w:r>
        <w:rPr>
          <w:rFonts w:hint="eastAsia" w:ascii="宋体" w:hAnsi="宋体" w:eastAsia="宋体" w:cs="宋体"/>
          <w:b/>
          <w:i w:val="0"/>
          <w:iCs w:val="0"/>
          <w:color w:val="auto"/>
          <w:sz w:val="24"/>
          <w:szCs w:val="24"/>
          <w:highlight w:val="none"/>
        </w:rPr>
        <w:t>2.19计量单位</w:t>
      </w:r>
      <w:bookmarkEnd w:id="258"/>
      <w:bookmarkEnd w:id="259"/>
      <w:bookmarkEnd w:id="260"/>
      <w:bookmarkEnd w:id="263"/>
      <w:bookmarkEnd w:id="264"/>
      <w:bookmarkEnd w:id="265"/>
      <w:bookmarkEnd w:id="266"/>
    </w:p>
    <w:p w14:paraId="1FE513AD">
      <w:pPr>
        <w:spacing w:line="560" w:lineRule="exact"/>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除技术规范中另有规定外,合同的计量单位均使用国家法定计量单位。</w:t>
      </w:r>
    </w:p>
    <w:p w14:paraId="255B75A1">
      <w:pPr>
        <w:spacing w:line="560" w:lineRule="exact"/>
        <w:ind w:firstLine="482" w:firstLineChars="200"/>
        <w:outlineLvl w:val="0"/>
        <w:rPr>
          <w:rFonts w:hint="eastAsia" w:ascii="宋体" w:hAnsi="宋体" w:eastAsia="宋体" w:cs="宋体"/>
          <w:b/>
          <w:i w:val="0"/>
          <w:iCs w:val="0"/>
          <w:color w:val="auto"/>
          <w:sz w:val="24"/>
          <w:szCs w:val="24"/>
          <w:highlight w:val="none"/>
        </w:rPr>
      </w:pPr>
      <w:bookmarkStart w:id="267" w:name="_Toc82613331"/>
      <w:bookmarkStart w:id="268" w:name="_Toc487900373"/>
      <w:bookmarkStart w:id="269" w:name="_Toc12773"/>
      <w:bookmarkStart w:id="270" w:name="_Toc18567"/>
      <w:bookmarkStart w:id="271" w:name="_Toc279701263"/>
      <w:bookmarkStart w:id="272" w:name="_Toc10330"/>
      <w:bookmarkStart w:id="273" w:name="_Toc259093692"/>
      <w:r>
        <w:rPr>
          <w:rFonts w:hint="eastAsia" w:ascii="宋体" w:hAnsi="宋体" w:eastAsia="宋体" w:cs="宋体"/>
          <w:b/>
          <w:i w:val="0"/>
          <w:iCs w:val="0"/>
          <w:color w:val="auto"/>
          <w:sz w:val="24"/>
          <w:szCs w:val="24"/>
          <w:highlight w:val="none"/>
        </w:rPr>
        <w:t>2.20合同使用的文字和适用的法律</w:t>
      </w:r>
      <w:bookmarkEnd w:id="267"/>
      <w:bookmarkEnd w:id="268"/>
      <w:bookmarkEnd w:id="269"/>
      <w:bookmarkEnd w:id="270"/>
      <w:bookmarkEnd w:id="271"/>
      <w:bookmarkEnd w:id="272"/>
      <w:bookmarkEnd w:id="273"/>
    </w:p>
    <w:p w14:paraId="6A246B93">
      <w:pPr>
        <w:spacing w:line="560" w:lineRule="exact"/>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2.20.1合同使用汉语书就、变更和解释；</w:t>
      </w:r>
    </w:p>
    <w:p w14:paraId="75A4CC08">
      <w:pPr>
        <w:spacing w:line="560" w:lineRule="exact"/>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2.20.2合同适用中华人民共和国法律。</w:t>
      </w:r>
    </w:p>
    <w:p w14:paraId="38FA97D0">
      <w:pPr>
        <w:spacing w:line="560" w:lineRule="exact"/>
        <w:ind w:firstLine="482" w:firstLineChars="200"/>
        <w:outlineLvl w:val="0"/>
        <w:rPr>
          <w:rFonts w:hint="eastAsia" w:ascii="宋体" w:hAnsi="宋体" w:eastAsia="宋体" w:cs="宋体"/>
          <w:b/>
          <w:i w:val="0"/>
          <w:iCs w:val="0"/>
          <w:color w:val="auto"/>
          <w:sz w:val="24"/>
          <w:szCs w:val="24"/>
          <w:highlight w:val="none"/>
        </w:rPr>
      </w:pPr>
      <w:bookmarkStart w:id="274" w:name="_Toc259093693"/>
      <w:bookmarkStart w:id="275" w:name="_Toc16673"/>
      <w:bookmarkStart w:id="276" w:name="_Toc82613332"/>
      <w:bookmarkStart w:id="277" w:name="_Toc12004"/>
      <w:bookmarkStart w:id="278" w:name="_Toc279701264"/>
      <w:bookmarkStart w:id="279" w:name="_Toc3148"/>
      <w:bookmarkStart w:id="280" w:name="_Toc487900374"/>
      <w:r>
        <w:rPr>
          <w:rFonts w:hint="eastAsia" w:ascii="宋体" w:hAnsi="宋体" w:eastAsia="宋体" w:cs="宋体"/>
          <w:b/>
          <w:i w:val="0"/>
          <w:iCs w:val="0"/>
          <w:color w:val="auto"/>
          <w:sz w:val="24"/>
          <w:szCs w:val="24"/>
          <w:highlight w:val="none"/>
        </w:rPr>
        <w:t>2.21履约保证金</w:t>
      </w:r>
      <w:bookmarkEnd w:id="274"/>
      <w:bookmarkEnd w:id="275"/>
      <w:bookmarkEnd w:id="276"/>
      <w:bookmarkEnd w:id="277"/>
      <w:bookmarkEnd w:id="278"/>
      <w:bookmarkEnd w:id="279"/>
    </w:p>
    <w:p w14:paraId="2B824324">
      <w:pPr>
        <w:spacing w:line="560" w:lineRule="exact"/>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2.21.1履约保证金：无，成交后按要求向采购人提供书面履约承诺书。</w:t>
      </w:r>
    </w:p>
    <w:p w14:paraId="6BFD6D14">
      <w:pPr>
        <w:spacing w:line="560" w:lineRule="exact"/>
        <w:ind w:firstLine="482" w:firstLineChars="200"/>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2.22其他约定</w:t>
      </w:r>
    </w:p>
    <w:bookmarkEnd w:id="280"/>
    <w:p w14:paraId="424F55F4">
      <w:pPr>
        <w:spacing w:line="560" w:lineRule="exact"/>
        <w:ind w:firstLine="482" w:firstLineChars="200"/>
        <w:outlineLvl w:val="0"/>
        <w:rPr>
          <w:rFonts w:hint="eastAsia" w:ascii="宋体" w:hAnsi="宋体" w:eastAsia="宋体" w:cs="宋体"/>
          <w:b/>
          <w:i w:val="0"/>
          <w:iCs w:val="0"/>
          <w:color w:val="auto"/>
          <w:sz w:val="24"/>
          <w:szCs w:val="24"/>
          <w:highlight w:val="none"/>
        </w:rPr>
      </w:pPr>
      <w:bookmarkStart w:id="281" w:name="_Toc19890"/>
      <w:bookmarkStart w:id="282" w:name="_Toc14001"/>
      <w:bookmarkStart w:id="283" w:name="_Toc6885"/>
      <w:bookmarkStart w:id="284" w:name="_Toc82613333"/>
      <w:r>
        <w:rPr>
          <w:rFonts w:hint="eastAsia" w:ascii="宋体" w:hAnsi="宋体" w:eastAsia="宋体" w:cs="宋体"/>
          <w:b/>
          <w:i w:val="0"/>
          <w:iCs w:val="0"/>
          <w:color w:val="auto"/>
          <w:sz w:val="24"/>
          <w:szCs w:val="24"/>
          <w:highlight w:val="none"/>
        </w:rPr>
        <w:t>2.23合同份数</w:t>
      </w:r>
      <w:bookmarkEnd w:id="281"/>
      <w:bookmarkEnd w:id="282"/>
      <w:bookmarkEnd w:id="283"/>
      <w:bookmarkEnd w:id="284"/>
    </w:p>
    <w:p w14:paraId="237E6A00">
      <w:pPr>
        <w:spacing w:line="560" w:lineRule="exact"/>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合同份数按</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规定，每份均具有同等法律效力。</w:t>
      </w:r>
    </w:p>
    <w:p w14:paraId="7D08B50D">
      <w:pPr>
        <w:autoSpaceDE w:val="0"/>
        <w:autoSpaceDN w:val="0"/>
        <w:adjustRightInd w:val="0"/>
        <w:spacing w:line="560" w:lineRule="exact"/>
        <w:jc w:val="center"/>
        <w:rPr>
          <w:rFonts w:hint="eastAsia" w:ascii="宋体" w:hAnsi="宋体" w:eastAsia="宋体" w:cs="宋体"/>
          <w:b/>
          <w:color w:val="auto"/>
          <w:kern w:val="0"/>
          <w:sz w:val="24"/>
          <w:highlight w:val="none"/>
          <w:lang w:val="zh-CN"/>
        </w:rPr>
      </w:pPr>
      <w:r>
        <w:rPr>
          <w:rFonts w:ascii="仿宋" w:hAnsi="仿宋" w:eastAsia="仿宋"/>
          <w:color w:val="auto"/>
          <w:kern w:val="0"/>
          <w:sz w:val="24"/>
          <w:highlight w:val="none"/>
          <w:lang w:val="zh-CN"/>
        </w:rPr>
        <w:br w:type="page"/>
      </w:r>
      <w:bookmarkStart w:id="285" w:name="_Toc331685784"/>
      <w:r>
        <w:rPr>
          <w:rFonts w:hint="eastAsia" w:ascii="宋体" w:hAnsi="宋体" w:eastAsia="宋体" w:cs="宋体"/>
          <w:b/>
          <w:color w:val="auto"/>
          <w:kern w:val="0"/>
          <w:sz w:val="24"/>
          <w:highlight w:val="none"/>
          <w:lang w:val="zh-CN"/>
        </w:rPr>
        <w:t>第三部分  合同专用条款</w:t>
      </w:r>
      <w:bookmarkEnd w:id="285"/>
    </w:p>
    <w:p w14:paraId="7094AEA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6FDE2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14:paraId="452F85DD">
            <w:pPr>
              <w:spacing w:line="560" w:lineRule="exact"/>
              <w:ind w:left="0" w:leftChars="0" w:firstLine="0" w:firstLineChars="0"/>
              <w:jc w:val="both"/>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7633" w:type="dxa"/>
            <w:noWrap w:val="0"/>
            <w:vAlign w:val="center"/>
          </w:tcPr>
          <w:p w14:paraId="2E875A26">
            <w:pPr>
              <w:spacing w:line="56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48775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13" w:hRule="atLeast"/>
        </w:trPr>
        <w:tc>
          <w:tcPr>
            <w:tcW w:w="801" w:type="dxa"/>
            <w:tcBorders>
              <w:left w:val="single" w:color="auto" w:sz="4" w:space="0"/>
            </w:tcBorders>
            <w:noWrap w:val="0"/>
            <w:vAlign w:val="center"/>
          </w:tcPr>
          <w:p w14:paraId="750530F8">
            <w:pPr>
              <w:ind w:left="0" w:leftChars="0" w:firstLine="0" w:firstLineChars="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7633" w:type="dxa"/>
            <w:noWrap w:val="0"/>
            <w:vAlign w:val="center"/>
          </w:tcPr>
          <w:p w14:paraId="0173B1F1">
            <w:pPr>
              <w:ind w:left="0" w:leftChars="0"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具有知识产权的计算机软件等货物的知识产权归属：甲方具有使用权。</w:t>
            </w:r>
          </w:p>
        </w:tc>
      </w:tr>
      <w:tr w14:paraId="5C855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7B4D9DCE">
            <w:pPr>
              <w:spacing w:line="560" w:lineRule="exact"/>
              <w:ind w:left="0" w:leftChars="0" w:firstLine="0" w:firstLineChars="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2.4.2</w:t>
            </w:r>
          </w:p>
        </w:tc>
        <w:tc>
          <w:tcPr>
            <w:tcW w:w="7633" w:type="dxa"/>
            <w:noWrap w:val="0"/>
            <w:vAlign w:val="center"/>
          </w:tcPr>
          <w:p w14:paraId="5C0D3FF2">
            <w:pPr>
              <w:spacing w:line="560" w:lineRule="exact"/>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合同货物的装运要求：</w:t>
            </w:r>
          </w:p>
          <w:p w14:paraId="7EF6AD49">
            <w:pPr>
              <w:spacing w:line="560" w:lineRule="exact"/>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1.保险、运费：应包含在报价中。</w:t>
            </w:r>
          </w:p>
          <w:p w14:paraId="10570405">
            <w:pPr>
              <w:spacing w:line="560" w:lineRule="exact"/>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2.合同履行期限（交货期）：合同签订后30天内交付使用。</w:t>
            </w:r>
          </w:p>
          <w:p w14:paraId="741A98B3">
            <w:pPr>
              <w:spacing w:line="560" w:lineRule="exact"/>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3.交货地点（项目现场）：郑州市上街区教育局指定地点。</w:t>
            </w:r>
          </w:p>
        </w:tc>
      </w:tr>
      <w:tr w14:paraId="58660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37BD2884">
            <w:pPr>
              <w:spacing w:line="560" w:lineRule="exact"/>
              <w:ind w:left="0" w:leftChars="0" w:firstLine="0" w:firstLineChars="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2.6</w:t>
            </w:r>
          </w:p>
        </w:tc>
        <w:tc>
          <w:tcPr>
            <w:tcW w:w="7633" w:type="dxa"/>
            <w:noWrap w:val="0"/>
            <w:vAlign w:val="center"/>
          </w:tcPr>
          <w:p w14:paraId="1290BC77">
            <w:pPr>
              <w:spacing w:line="360" w:lineRule="auto"/>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结算方式：转账</w:t>
            </w:r>
          </w:p>
          <w:p w14:paraId="5C74F513">
            <w:pPr>
              <w:spacing w:line="360" w:lineRule="auto"/>
              <w:ind w:left="0" w:leftChars="0" w:firstLine="0" w:firstLineChars="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付款方式：</w:t>
            </w:r>
            <w:r>
              <w:rPr>
                <w:rFonts w:hint="eastAsia" w:ascii="宋体" w:hAnsi="宋体" w:eastAsia="宋体" w:cs="宋体"/>
                <w:color w:val="auto"/>
                <w:sz w:val="24"/>
                <w:highlight w:val="none"/>
                <w:lang w:eastAsia="zh-CN"/>
              </w:rPr>
              <w:t>项目完成供货、调试，经甲方组织验收合格第一年内支付70%合同额；第二年内支付20%合同额；第三年内，质保期结束后产品无质量等问题支付10%合同额（根据采购人要求开具发票）。</w:t>
            </w:r>
          </w:p>
        </w:tc>
      </w:tr>
      <w:tr w14:paraId="745C3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42A17CFB">
            <w:pPr>
              <w:spacing w:line="560" w:lineRule="exact"/>
              <w:ind w:left="0" w:leftChars="0" w:firstLine="0" w:firstLineChars="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2.9</w:t>
            </w:r>
          </w:p>
        </w:tc>
        <w:tc>
          <w:tcPr>
            <w:tcW w:w="7633" w:type="dxa"/>
            <w:noWrap w:val="0"/>
            <w:vAlign w:val="center"/>
          </w:tcPr>
          <w:p w14:paraId="2396D9F8">
            <w:pPr>
              <w:spacing w:line="360" w:lineRule="auto"/>
              <w:ind w:left="0" w:leftChars="0" w:firstLine="0" w:firstLineChars="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货物的风险负担：交付</w:t>
            </w:r>
            <w:r>
              <w:rPr>
                <w:rFonts w:hint="eastAsia" w:cs="宋体"/>
                <w:color w:val="auto"/>
                <w:sz w:val="24"/>
                <w:highlight w:val="none"/>
                <w:lang w:eastAsia="zh-CN"/>
              </w:rPr>
              <w:t>、</w:t>
            </w:r>
            <w:r>
              <w:rPr>
                <w:rFonts w:hint="eastAsia" w:cs="宋体"/>
                <w:color w:val="auto"/>
                <w:sz w:val="24"/>
                <w:highlight w:val="none"/>
                <w:lang w:val="en-US" w:eastAsia="zh-CN"/>
              </w:rPr>
              <w:t>安装</w:t>
            </w:r>
            <w:r>
              <w:rPr>
                <w:rFonts w:hint="eastAsia" w:ascii="宋体" w:hAnsi="宋体" w:eastAsia="宋体" w:cs="宋体"/>
                <w:color w:val="auto"/>
                <w:sz w:val="24"/>
                <w:highlight w:val="none"/>
              </w:rPr>
              <w:t>使用前的毁损、灭失</w:t>
            </w:r>
            <w:r>
              <w:rPr>
                <w:rFonts w:hint="eastAsia" w:cs="宋体"/>
                <w:color w:val="auto"/>
                <w:sz w:val="24"/>
                <w:highlight w:val="none"/>
                <w:lang w:eastAsia="zh-CN"/>
              </w:rPr>
              <w:t>、</w:t>
            </w:r>
            <w:r>
              <w:rPr>
                <w:rFonts w:hint="eastAsia" w:cs="宋体"/>
                <w:color w:val="auto"/>
                <w:sz w:val="24"/>
                <w:highlight w:val="none"/>
                <w:lang w:val="en-US" w:eastAsia="zh-CN"/>
              </w:rPr>
              <w:t>安装过程的施工人员及货物安全问题等</w:t>
            </w:r>
            <w:r>
              <w:rPr>
                <w:rFonts w:hint="eastAsia" w:ascii="宋体" w:hAnsi="宋体" w:eastAsia="宋体" w:cs="宋体"/>
                <w:color w:val="auto"/>
                <w:sz w:val="24"/>
                <w:highlight w:val="none"/>
              </w:rPr>
              <w:t>风险均由乙方承担。</w:t>
            </w:r>
          </w:p>
        </w:tc>
      </w:tr>
      <w:tr w14:paraId="5ECB1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1183F085">
            <w:pPr>
              <w:spacing w:line="560" w:lineRule="exact"/>
              <w:ind w:left="0" w:leftChars="0" w:firstLine="0" w:firstLineChars="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2.17.3</w:t>
            </w:r>
          </w:p>
        </w:tc>
        <w:tc>
          <w:tcPr>
            <w:tcW w:w="7633" w:type="dxa"/>
            <w:noWrap w:val="0"/>
            <w:vAlign w:val="center"/>
          </w:tcPr>
          <w:p w14:paraId="34A422CC">
            <w:pPr>
              <w:spacing w:line="360" w:lineRule="auto"/>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检验和验收标准、程序等具体内容以及前述验收书的效力：双方约定。</w:t>
            </w:r>
          </w:p>
        </w:tc>
      </w:tr>
      <w:tr w14:paraId="7DE2C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48777321">
            <w:pPr>
              <w:spacing w:line="560" w:lineRule="exact"/>
              <w:ind w:left="0" w:leftChars="0" w:firstLine="0" w:firstLineChars="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2.21.1</w:t>
            </w:r>
          </w:p>
        </w:tc>
        <w:tc>
          <w:tcPr>
            <w:tcW w:w="7633" w:type="dxa"/>
            <w:noWrap w:val="0"/>
            <w:vAlign w:val="center"/>
          </w:tcPr>
          <w:p w14:paraId="0B6D2DE7">
            <w:pPr>
              <w:spacing w:line="360" w:lineRule="auto"/>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履约保证金：无，成交后成交人向采购人提供履约承诺书。</w:t>
            </w:r>
          </w:p>
        </w:tc>
      </w:tr>
      <w:tr w14:paraId="0C724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1DF27020">
            <w:pPr>
              <w:spacing w:line="560" w:lineRule="exact"/>
              <w:ind w:left="0" w:leftChars="0" w:firstLine="0" w:firstLineChars="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2.22</w:t>
            </w:r>
          </w:p>
        </w:tc>
        <w:tc>
          <w:tcPr>
            <w:tcW w:w="7633" w:type="dxa"/>
            <w:noWrap w:val="0"/>
            <w:vAlign w:val="center"/>
          </w:tcPr>
          <w:p w14:paraId="6D00C443">
            <w:pPr>
              <w:spacing w:line="360" w:lineRule="auto"/>
              <w:ind w:left="0" w:leftChars="0" w:firstLine="0" w:firstLineChars="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其他约定：</w:t>
            </w:r>
            <w:r>
              <w:rPr>
                <w:rFonts w:hint="eastAsia" w:ascii="宋体" w:hAnsi="宋体" w:eastAsia="宋体" w:cs="宋体"/>
                <w:color w:val="auto"/>
                <w:sz w:val="24"/>
                <w:szCs w:val="24"/>
                <w:highlight w:val="none"/>
                <w:u w:val="none"/>
                <w:lang w:val="en-US" w:eastAsia="zh-CN"/>
              </w:rPr>
              <w:t>项目验收过程中产生的一切费用，均包含在合同额内，包括但不限于第三方服务费等</w:t>
            </w:r>
          </w:p>
        </w:tc>
      </w:tr>
      <w:tr w14:paraId="63410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554D778F">
            <w:pPr>
              <w:spacing w:line="560" w:lineRule="exact"/>
              <w:ind w:left="0" w:leftChars="0" w:firstLine="0" w:firstLineChars="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2.23</w:t>
            </w:r>
          </w:p>
        </w:tc>
        <w:tc>
          <w:tcPr>
            <w:tcW w:w="7633" w:type="dxa"/>
            <w:noWrap w:val="0"/>
            <w:vAlign w:val="center"/>
          </w:tcPr>
          <w:p w14:paraId="729657B7">
            <w:pPr>
              <w:spacing w:line="360" w:lineRule="auto"/>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本合同</w:t>
            </w:r>
            <w:r>
              <w:rPr>
                <w:rFonts w:hint="eastAsia" w:ascii="宋体" w:hAnsi="宋体" w:eastAsia="宋体" w:cs="宋体"/>
                <w:color w:val="auto"/>
                <w:sz w:val="24"/>
                <w:highlight w:val="none"/>
              </w:rPr>
              <w:t>一式</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份，甲乙双方各</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经甲乙双方授权代表签字，并加盖公章后生效</w:t>
            </w:r>
            <w:r>
              <w:rPr>
                <w:rFonts w:hint="eastAsia" w:ascii="宋体" w:hAnsi="宋体" w:eastAsia="宋体" w:cs="宋体"/>
                <w:color w:val="auto"/>
                <w:sz w:val="24"/>
                <w:highlight w:val="none"/>
              </w:rPr>
              <w:t>。</w:t>
            </w:r>
          </w:p>
        </w:tc>
      </w:tr>
    </w:tbl>
    <w:p w14:paraId="1EED636C">
      <w:pPr>
        <w:spacing w:line="360" w:lineRule="auto"/>
        <w:rPr>
          <w:rFonts w:hint="eastAsia" w:ascii="仿宋" w:hAnsi="仿宋" w:eastAsia="仿宋" w:cs="宋体"/>
          <w:color w:val="auto"/>
          <w:szCs w:val="21"/>
          <w:highlight w:val="none"/>
        </w:rPr>
      </w:pPr>
    </w:p>
    <w:p w14:paraId="281B104A">
      <w:pPr>
        <w:spacing w:line="480" w:lineRule="auto"/>
        <w:ind w:left="0" w:leftChars="0" w:firstLine="0" w:firstLineChars="0"/>
        <w:jc w:val="left"/>
        <w:rPr>
          <w:rFonts w:hint="eastAsia" w:ascii="宋体" w:hAnsi="宋体" w:eastAsia="宋体" w:cs="宋体"/>
          <w:color w:val="auto"/>
          <w:szCs w:val="21"/>
          <w:highlight w:val="none"/>
          <w:lang w:val="zh-CN"/>
        </w:rPr>
      </w:pPr>
    </w:p>
    <w:p w14:paraId="5CB1358A">
      <w:pPr>
        <w:spacing w:line="480" w:lineRule="auto"/>
        <w:ind w:left="0" w:leftChars="0" w:firstLine="0" w:firstLineChars="0"/>
        <w:jc w:val="left"/>
        <w:rPr>
          <w:rFonts w:hint="eastAsia" w:ascii="宋体" w:hAnsi="宋体" w:eastAsia="宋体" w:cs="宋体"/>
          <w:color w:val="auto"/>
          <w:szCs w:val="21"/>
          <w:highlight w:val="none"/>
          <w:lang w:val="zh-CN"/>
        </w:rPr>
      </w:pPr>
    </w:p>
    <w:p w14:paraId="77E7BE98">
      <w:pPr>
        <w:spacing w:line="480" w:lineRule="auto"/>
        <w:ind w:left="0" w:leftChars="0" w:firstLine="0" w:firstLineChars="0"/>
        <w:jc w:val="left"/>
        <w:rPr>
          <w:rFonts w:hint="eastAsia" w:ascii="宋体" w:hAnsi="宋体" w:eastAsia="宋体" w:cs="宋体"/>
          <w:color w:val="auto"/>
          <w:szCs w:val="21"/>
          <w:highlight w:val="none"/>
          <w:lang w:val="zh-CN"/>
        </w:rPr>
      </w:pPr>
    </w:p>
    <w:p w14:paraId="3F4BD439">
      <w:pPr>
        <w:spacing w:line="480" w:lineRule="auto"/>
        <w:ind w:left="0" w:leftChars="0" w:firstLine="0" w:firstLineChars="0"/>
        <w:jc w:val="left"/>
        <w:rPr>
          <w:rFonts w:hint="eastAsia" w:ascii="宋体" w:hAnsi="宋体" w:eastAsia="宋体" w:cs="宋体"/>
          <w:color w:val="auto"/>
          <w:szCs w:val="21"/>
          <w:highlight w:val="none"/>
          <w:lang w:val="zh-CN"/>
        </w:rPr>
      </w:pPr>
    </w:p>
    <w:p w14:paraId="0A9867EB">
      <w:pPr>
        <w:spacing w:line="480" w:lineRule="auto"/>
        <w:ind w:left="0" w:leftChars="0" w:firstLine="0" w:firstLineChars="0"/>
        <w:jc w:val="left"/>
        <w:rPr>
          <w:rFonts w:hint="eastAsia" w:ascii="宋体" w:hAnsi="宋体" w:eastAsia="宋体" w:cs="宋体"/>
          <w:color w:val="auto"/>
          <w:sz w:val="24"/>
          <w:szCs w:val="20"/>
          <w:highlight w:val="none"/>
          <w:lang w:val="zh-CN"/>
        </w:rPr>
      </w:pPr>
      <w:r>
        <w:rPr>
          <w:rFonts w:hint="eastAsia" w:ascii="宋体" w:hAnsi="宋体" w:eastAsia="宋体" w:cs="宋体"/>
          <w:color w:val="auto"/>
          <w:sz w:val="24"/>
          <w:szCs w:val="20"/>
          <w:highlight w:val="none"/>
          <w:lang w:val="zh-CN"/>
        </w:rPr>
        <w:t>附件</w:t>
      </w:r>
      <w:r>
        <w:rPr>
          <w:rFonts w:hint="eastAsia" w:ascii="宋体" w:hAnsi="宋体" w:eastAsia="宋体" w:cs="宋体"/>
          <w:color w:val="auto"/>
          <w:sz w:val="24"/>
          <w:szCs w:val="20"/>
          <w:highlight w:val="none"/>
        </w:rPr>
        <w:t>一：</w:t>
      </w:r>
    </w:p>
    <w:p w14:paraId="5FFE30A8">
      <w:pPr>
        <w:spacing w:line="48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政府采购合同融资意向征求函</w:t>
      </w:r>
    </w:p>
    <w:p w14:paraId="5D162300">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减轻中小企业资金成本运行压力，缓解中小微企业融资难、融资贵问题，促进中小微企业健康发展，省、市、区积极研究出台了《深入推进政府采购合同融资工作实施方案》（豫财办﹝2020）33号）、《河南省政府采购合同融资工作实施方案》（豫财购〔2017〕10号）等一系列支持中小微企业政府采购合同融资政策。</w:t>
      </w:r>
    </w:p>
    <w:p w14:paraId="1BE90FCA">
      <w:pPr>
        <w:spacing w:line="480" w:lineRule="auto"/>
        <w:ind w:firstLine="480" w:firstLineChars="200"/>
        <w:rPr>
          <w:rFonts w:hint="eastAsia" w:ascii="宋体" w:hAnsi="宋体" w:eastAsia="宋体" w:cs="宋体"/>
          <w:color w:val="auto"/>
          <w:sz w:val="24"/>
          <w:szCs w:val="24"/>
          <w:highlight w:val="none"/>
        </w:rPr>
      </w:pPr>
    </w:p>
    <w:p w14:paraId="2ED1263A">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请问是否了解或者知晓相关政策？</w:t>
      </w:r>
    </w:p>
    <w:p w14:paraId="4F19A89D">
      <w:pPr>
        <w:spacing w:line="480" w:lineRule="auto"/>
        <w:ind w:firstLine="480" w:firstLineChars="200"/>
        <w:rPr>
          <w:rFonts w:hint="eastAsia" w:ascii="宋体" w:hAnsi="宋体" w:eastAsia="宋体" w:cs="宋体"/>
          <w:color w:val="auto"/>
          <w:sz w:val="24"/>
          <w:szCs w:val="24"/>
          <w:highlight w:val="none"/>
        </w:rPr>
      </w:pPr>
    </w:p>
    <w:p w14:paraId="48F7ABDC">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请问您是否有合同融资意向？</w:t>
      </w:r>
    </w:p>
    <w:p w14:paraId="7E24D237">
      <w:pPr>
        <w:spacing w:line="480" w:lineRule="auto"/>
        <w:ind w:firstLine="480" w:firstLineChars="200"/>
        <w:rPr>
          <w:rFonts w:hint="eastAsia" w:ascii="宋体" w:hAnsi="宋体" w:eastAsia="宋体" w:cs="宋体"/>
          <w:color w:val="auto"/>
          <w:sz w:val="24"/>
          <w:szCs w:val="24"/>
          <w:highlight w:val="none"/>
        </w:rPr>
      </w:pPr>
    </w:p>
    <w:p w14:paraId="576AD464">
      <w:pPr>
        <w:spacing w:line="480" w:lineRule="auto"/>
        <w:ind w:firstLine="480" w:firstLineChars="200"/>
        <w:rPr>
          <w:rFonts w:hint="eastAsia" w:ascii="宋体" w:hAnsi="宋体" w:eastAsia="宋体" w:cs="宋体"/>
          <w:color w:val="auto"/>
          <w:sz w:val="24"/>
          <w:szCs w:val="24"/>
          <w:highlight w:val="none"/>
        </w:rPr>
      </w:pPr>
    </w:p>
    <w:p w14:paraId="2A4730FE">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成交供应商名称（盖章）：</w:t>
      </w:r>
    </w:p>
    <w:p w14:paraId="09E79617">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供应商联系方式：</w:t>
      </w:r>
    </w:p>
    <w:p w14:paraId="3426009D">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成交供应商地址：</w:t>
      </w:r>
    </w:p>
    <w:p w14:paraId="24CB148D">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w:t>
      </w:r>
    </w:p>
    <w:p w14:paraId="6669D998">
      <w:pPr>
        <w:pStyle w:val="2"/>
        <w:bidi w:val="0"/>
        <w:rPr>
          <w:rFonts w:hint="eastAsia"/>
          <w:color w:val="auto"/>
          <w:highlight w:val="none"/>
        </w:rPr>
      </w:pPr>
      <w:r>
        <w:rPr>
          <w:rFonts w:hint="eastAsia" w:ascii="宋体" w:hAnsi="宋体" w:eastAsia="宋体" w:cs="宋体"/>
          <w:color w:val="auto"/>
          <w:szCs w:val="21"/>
          <w:highlight w:val="none"/>
        </w:rPr>
        <w:br w:type="page"/>
      </w:r>
      <w:bookmarkStart w:id="286" w:name="_Toc7002"/>
      <w:r>
        <w:rPr>
          <w:rFonts w:hint="eastAsia"/>
          <w:color w:val="auto"/>
          <w:highlight w:val="none"/>
          <w:lang w:val="en-US" w:eastAsia="zh-CN"/>
        </w:rPr>
        <w:t>第五章  响应文件部分格式</w:t>
      </w:r>
      <w:bookmarkEnd w:id="94"/>
      <w:bookmarkEnd w:id="95"/>
      <w:bookmarkEnd w:id="96"/>
      <w:bookmarkEnd w:id="286"/>
    </w:p>
    <w:p w14:paraId="21193397">
      <w:pPr>
        <w:spacing w:before="130" w:line="219" w:lineRule="auto"/>
        <w:ind w:left="0" w:leftChars="0" w:firstLine="0" w:firstLineChars="0"/>
        <w:jc w:val="center"/>
        <w:rPr>
          <w:rFonts w:hint="eastAsia" w:ascii="宋体" w:hAnsi="宋体" w:cs="宋体"/>
          <w:b/>
          <w:bCs/>
          <w:color w:val="auto"/>
          <w:spacing w:val="-4"/>
          <w:sz w:val="40"/>
          <w:szCs w:val="40"/>
          <w:highlight w:val="none"/>
          <w:lang w:eastAsia="zh-CN"/>
        </w:rPr>
      </w:pPr>
      <w:r>
        <w:rPr>
          <w:rFonts w:hint="eastAsia" w:ascii="宋体" w:hAnsi="宋体" w:cs="宋体"/>
          <w:b/>
          <w:bCs/>
          <w:color w:val="auto"/>
          <w:spacing w:val="-4"/>
          <w:sz w:val="40"/>
          <w:szCs w:val="40"/>
          <w:highlight w:val="none"/>
          <w:lang w:eastAsia="zh-CN"/>
        </w:rPr>
        <w:t>郑州市上街区教育局采购智慧黑板及教室护眼灯</w:t>
      </w:r>
    </w:p>
    <w:p w14:paraId="5096FC04">
      <w:pPr>
        <w:spacing w:before="130" w:line="219" w:lineRule="auto"/>
        <w:ind w:left="0" w:leftChars="0" w:firstLine="0" w:firstLineChars="0"/>
        <w:jc w:val="center"/>
        <w:rPr>
          <w:rFonts w:hint="eastAsia" w:ascii="宋体" w:hAnsi="宋体" w:eastAsia="宋体" w:cs="宋体"/>
          <w:color w:val="auto"/>
          <w:sz w:val="40"/>
          <w:szCs w:val="40"/>
          <w:highlight w:val="none"/>
          <w:lang w:eastAsia="zh-CN"/>
        </w:rPr>
      </w:pPr>
      <w:r>
        <w:rPr>
          <w:rFonts w:hint="eastAsia" w:ascii="宋体" w:hAnsi="宋体" w:cs="宋体"/>
          <w:b/>
          <w:bCs/>
          <w:color w:val="auto"/>
          <w:spacing w:val="-4"/>
          <w:sz w:val="40"/>
          <w:szCs w:val="40"/>
          <w:highlight w:val="none"/>
          <w:lang w:eastAsia="zh-CN"/>
        </w:rPr>
        <w:t>设备项目</w:t>
      </w:r>
    </w:p>
    <w:p w14:paraId="76C0FAB6">
      <w:pPr>
        <w:pStyle w:val="24"/>
        <w:spacing w:line="241" w:lineRule="auto"/>
        <w:rPr>
          <w:color w:val="auto"/>
          <w:highlight w:val="none"/>
        </w:rPr>
      </w:pPr>
    </w:p>
    <w:p w14:paraId="2E9D0F1B">
      <w:pPr>
        <w:pStyle w:val="24"/>
        <w:spacing w:line="241" w:lineRule="auto"/>
        <w:rPr>
          <w:color w:val="auto"/>
          <w:highlight w:val="none"/>
        </w:rPr>
      </w:pPr>
    </w:p>
    <w:p w14:paraId="20326394">
      <w:pPr>
        <w:pStyle w:val="24"/>
        <w:spacing w:line="242" w:lineRule="auto"/>
        <w:ind w:left="0" w:leftChars="0" w:firstLine="0" w:firstLineChars="0"/>
        <w:rPr>
          <w:color w:val="auto"/>
          <w:highlight w:val="none"/>
        </w:rPr>
      </w:pPr>
    </w:p>
    <w:p w14:paraId="5407000B">
      <w:pPr>
        <w:pStyle w:val="24"/>
        <w:spacing w:line="242" w:lineRule="auto"/>
        <w:rPr>
          <w:color w:val="auto"/>
          <w:highlight w:val="none"/>
        </w:rPr>
      </w:pPr>
    </w:p>
    <w:p w14:paraId="12D6D69E">
      <w:pPr>
        <w:pStyle w:val="24"/>
        <w:spacing w:line="242" w:lineRule="auto"/>
        <w:rPr>
          <w:color w:val="auto"/>
          <w:highlight w:val="none"/>
        </w:rPr>
      </w:pPr>
    </w:p>
    <w:p w14:paraId="3130544A">
      <w:pPr>
        <w:spacing w:before="169" w:line="220" w:lineRule="auto"/>
        <w:ind w:left="0" w:leftChars="0" w:firstLine="0" w:firstLineChars="0"/>
        <w:jc w:val="center"/>
        <w:rPr>
          <w:rFonts w:ascii="宋体" w:hAnsi="宋体" w:eastAsia="宋体" w:cs="宋体"/>
          <w:color w:val="auto"/>
          <w:sz w:val="52"/>
          <w:szCs w:val="52"/>
          <w:highlight w:val="none"/>
        </w:rPr>
      </w:pPr>
      <w:r>
        <w:rPr>
          <w:rFonts w:hint="eastAsia" w:ascii="宋体" w:hAnsi="宋体" w:eastAsia="宋体" w:cs="宋体"/>
          <w:b/>
          <w:bCs/>
          <w:color w:val="auto"/>
          <w:spacing w:val="-24"/>
          <w:sz w:val="52"/>
          <w:szCs w:val="52"/>
          <w:highlight w:val="none"/>
          <w:lang w:val="en-US" w:eastAsia="zh-CN"/>
        </w:rPr>
        <w:t>响   应</w:t>
      </w:r>
      <w:r>
        <w:rPr>
          <w:rFonts w:ascii="宋体" w:hAnsi="宋体" w:eastAsia="宋体" w:cs="宋体"/>
          <w:color w:val="auto"/>
          <w:spacing w:val="13"/>
          <w:sz w:val="52"/>
          <w:szCs w:val="52"/>
          <w:highlight w:val="none"/>
        </w:rPr>
        <w:t xml:space="preserve">  </w:t>
      </w:r>
      <w:r>
        <w:rPr>
          <w:rFonts w:ascii="宋体" w:hAnsi="宋体" w:eastAsia="宋体" w:cs="宋体"/>
          <w:b/>
          <w:bCs/>
          <w:color w:val="auto"/>
          <w:spacing w:val="-24"/>
          <w:sz w:val="52"/>
          <w:szCs w:val="52"/>
          <w:highlight w:val="none"/>
        </w:rPr>
        <w:t>文</w:t>
      </w:r>
      <w:r>
        <w:rPr>
          <w:rFonts w:ascii="宋体" w:hAnsi="宋体" w:eastAsia="宋体" w:cs="宋体"/>
          <w:color w:val="auto"/>
          <w:spacing w:val="11"/>
          <w:sz w:val="52"/>
          <w:szCs w:val="52"/>
          <w:highlight w:val="none"/>
        </w:rPr>
        <w:t xml:space="preserve">  </w:t>
      </w:r>
      <w:r>
        <w:rPr>
          <w:rFonts w:ascii="宋体" w:hAnsi="宋体" w:eastAsia="宋体" w:cs="宋体"/>
          <w:b/>
          <w:bCs/>
          <w:color w:val="auto"/>
          <w:spacing w:val="-24"/>
          <w:sz w:val="52"/>
          <w:szCs w:val="52"/>
          <w:highlight w:val="none"/>
        </w:rPr>
        <w:t>件</w:t>
      </w:r>
    </w:p>
    <w:p w14:paraId="031DDE3A">
      <w:pPr>
        <w:spacing w:before="283" w:line="219" w:lineRule="auto"/>
        <w:ind w:left="3293"/>
        <w:rPr>
          <w:rFonts w:ascii="宋体" w:hAnsi="宋体" w:eastAsia="宋体" w:cs="宋体"/>
          <w:b/>
          <w:bCs/>
          <w:color w:val="auto"/>
          <w:spacing w:val="-5"/>
          <w:sz w:val="28"/>
          <w:szCs w:val="28"/>
          <w:highlight w:val="none"/>
        </w:rPr>
      </w:pPr>
      <w:r>
        <w:rPr>
          <w:rFonts w:hint="eastAsia" w:ascii="宋体" w:hAnsi="宋体" w:eastAsia="宋体" w:cs="宋体"/>
          <w:b/>
          <w:bCs/>
          <w:color w:val="auto"/>
          <w:spacing w:val="-5"/>
          <w:sz w:val="28"/>
          <w:szCs w:val="28"/>
          <w:highlight w:val="none"/>
          <w:lang w:val="en-US" w:eastAsia="zh-CN"/>
        </w:rPr>
        <w:t>项目</w:t>
      </w:r>
      <w:r>
        <w:rPr>
          <w:rFonts w:ascii="宋体" w:hAnsi="宋体" w:eastAsia="宋体" w:cs="宋体"/>
          <w:b/>
          <w:bCs/>
          <w:color w:val="auto"/>
          <w:spacing w:val="-5"/>
          <w:sz w:val="28"/>
          <w:szCs w:val="28"/>
          <w:highlight w:val="none"/>
        </w:rPr>
        <w:t>编号：</w:t>
      </w:r>
    </w:p>
    <w:p w14:paraId="0D66B8B4">
      <w:pPr>
        <w:spacing w:before="283" w:line="219" w:lineRule="auto"/>
        <w:ind w:left="3293"/>
        <w:rPr>
          <w:rFonts w:hint="default" w:ascii="宋体" w:hAnsi="宋体" w:eastAsia="宋体" w:cs="宋体"/>
          <w:b/>
          <w:bCs/>
          <w:color w:val="auto"/>
          <w:spacing w:val="-5"/>
          <w:sz w:val="28"/>
          <w:szCs w:val="28"/>
          <w:highlight w:val="none"/>
          <w:lang w:val="en-US" w:eastAsia="zh-CN"/>
        </w:rPr>
      </w:pPr>
      <w:r>
        <w:rPr>
          <w:rFonts w:hint="eastAsia" w:ascii="宋体" w:hAnsi="宋体" w:cs="宋体"/>
          <w:b/>
          <w:bCs/>
          <w:color w:val="auto"/>
          <w:spacing w:val="-5"/>
          <w:sz w:val="28"/>
          <w:szCs w:val="28"/>
          <w:highlight w:val="none"/>
          <w:lang w:val="en-US" w:eastAsia="zh-CN"/>
        </w:rPr>
        <w:t>包号：</w:t>
      </w:r>
    </w:p>
    <w:p w14:paraId="4F4E4E1E">
      <w:pPr>
        <w:pStyle w:val="24"/>
        <w:spacing w:line="241" w:lineRule="auto"/>
        <w:rPr>
          <w:color w:val="auto"/>
          <w:highlight w:val="none"/>
        </w:rPr>
      </w:pPr>
    </w:p>
    <w:p w14:paraId="1DD28F48">
      <w:pPr>
        <w:pStyle w:val="24"/>
        <w:spacing w:line="241" w:lineRule="auto"/>
        <w:rPr>
          <w:color w:val="auto"/>
          <w:highlight w:val="none"/>
        </w:rPr>
      </w:pPr>
    </w:p>
    <w:p w14:paraId="103BFE18">
      <w:pPr>
        <w:pStyle w:val="24"/>
        <w:spacing w:line="241" w:lineRule="auto"/>
        <w:rPr>
          <w:color w:val="auto"/>
          <w:highlight w:val="none"/>
        </w:rPr>
      </w:pPr>
    </w:p>
    <w:p w14:paraId="5BE511EE">
      <w:pPr>
        <w:pStyle w:val="24"/>
        <w:spacing w:line="241" w:lineRule="auto"/>
        <w:rPr>
          <w:color w:val="auto"/>
          <w:highlight w:val="none"/>
        </w:rPr>
      </w:pPr>
    </w:p>
    <w:p w14:paraId="226B12C9">
      <w:pPr>
        <w:pStyle w:val="24"/>
        <w:spacing w:line="241" w:lineRule="auto"/>
        <w:rPr>
          <w:color w:val="auto"/>
          <w:highlight w:val="none"/>
        </w:rPr>
      </w:pPr>
    </w:p>
    <w:p w14:paraId="673728D5">
      <w:pPr>
        <w:pStyle w:val="24"/>
        <w:spacing w:line="241" w:lineRule="auto"/>
        <w:rPr>
          <w:color w:val="auto"/>
          <w:highlight w:val="none"/>
        </w:rPr>
      </w:pPr>
    </w:p>
    <w:p w14:paraId="6C8EBC68">
      <w:pPr>
        <w:pStyle w:val="24"/>
        <w:spacing w:line="241" w:lineRule="auto"/>
        <w:rPr>
          <w:color w:val="auto"/>
          <w:highlight w:val="none"/>
        </w:rPr>
      </w:pPr>
    </w:p>
    <w:p w14:paraId="716A377A">
      <w:pPr>
        <w:pStyle w:val="24"/>
        <w:spacing w:line="241" w:lineRule="auto"/>
        <w:ind w:left="0" w:leftChars="0" w:firstLine="0" w:firstLineChars="0"/>
        <w:rPr>
          <w:color w:val="auto"/>
          <w:highlight w:val="none"/>
        </w:rPr>
      </w:pPr>
    </w:p>
    <w:p w14:paraId="718E2D8F">
      <w:pPr>
        <w:pStyle w:val="24"/>
        <w:spacing w:line="241" w:lineRule="auto"/>
        <w:rPr>
          <w:color w:val="auto"/>
          <w:highlight w:val="none"/>
        </w:rPr>
      </w:pPr>
    </w:p>
    <w:p w14:paraId="48DE1425">
      <w:pPr>
        <w:spacing w:before="91" w:line="398" w:lineRule="auto"/>
        <w:ind w:right="722"/>
        <w:jc w:val="center"/>
        <w:rPr>
          <w:rFonts w:hint="eastAsia" w:ascii="宋体" w:hAnsi="宋体" w:eastAsia="宋体" w:cs="宋体"/>
          <w:color w:val="auto"/>
          <w:sz w:val="28"/>
          <w:szCs w:val="28"/>
          <w:highlight w:val="none"/>
          <w:u w:val="single" w:color="auto"/>
        </w:rPr>
      </w:pPr>
      <w:r>
        <w:rPr>
          <w:rFonts w:ascii="宋体" w:hAnsi="宋体" w:eastAsia="宋体" w:cs="宋体"/>
          <w:b/>
          <w:bCs/>
          <w:color w:val="auto"/>
          <w:spacing w:val="-4"/>
          <w:sz w:val="28"/>
          <w:szCs w:val="28"/>
          <w:highlight w:val="none"/>
        </w:rPr>
        <w:t>供应商名称</w:t>
      </w:r>
      <w:r>
        <w:rPr>
          <w:rFonts w:ascii="宋体" w:hAnsi="宋体" w:eastAsia="宋体" w:cs="宋体"/>
          <w:b/>
          <w:bCs/>
          <w:color w:val="auto"/>
          <w:spacing w:val="-23"/>
          <w:sz w:val="28"/>
          <w:szCs w:val="28"/>
          <w:highlight w:val="none"/>
        </w:rPr>
        <w:t>：</w:t>
      </w:r>
      <w:r>
        <w:rPr>
          <w:rFonts w:ascii="宋体" w:hAnsi="宋体" w:eastAsia="宋体" w:cs="宋体"/>
          <w:color w:val="auto"/>
          <w:sz w:val="28"/>
          <w:szCs w:val="28"/>
          <w:highlight w:val="none"/>
          <w:u w:val="single" w:color="auto"/>
        </w:rPr>
        <w:t xml:space="preserve">                 </w:t>
      </w:r>
      <w:r>
        <w:rPr>
          <w:rFonts w:hint="eastAsia" w:ascii="宋体" w:hAnsi="宋体" w:eastAsia="宋体" w:cs="宋体"/>
          <w:b/>
          <w:bCs/>
          <w:color w:val="auto"/>
          <w:sz w:val="28"/>
          <w:szCs w:val="28"/>
          <w:highlight w:val="none"/>
          <w:u w:val="none" w:color="auto"/>
        </w:rPr>
        <w:t>（加盖电子签章）</w:t>
      </w:r>
    </w:p>
    <w:p w14:paraId="737E4267">
      <w:pPr>
        <w:spacing w:before="91" w:line="398" w:lineRule="auto"/>
        <w:ind w:right="722"/>
        <w:jc w:val="center"/>
        <w:rPr>
          <w:rFonts w:ascii="宋体" w:hAnsi="宋体" w:eastAsia="宋体" w:cs="宋体"/>
          <w:b/>
          <w:bCs/>
          <w:color w:val="auto"/>
          <w:sz w:val="28"/>
          <w:szCs w:val="28"/>
          <w:highlight w:val="none"/>
          <w:u w:val="none" w:color="auto"/>
        </w:rPr>
      </w:pPr>
      <w:r>
        <w:rPr>
          <w:rFonts w:ascii="宋体" w:hAnsi="宋体" w:eastAsia="宋体" w:cs="宋体"/>
          <w:b/>
          <w:bCs/>
          <w:color w:val="auto"/>
          <w:spacing w:val="-4"/>
          <w:sz w:val="28"/>
          <w:szCs w:val="28"/>
          <w:highlight w:val="none"/>
        </w:rPr>
        <w:t>法定代表人或其委托代理人</w:t>
      </w:r>
      <w:r>
        <w:rPr>
          <w:rFonts w:ascii="宋体" w:hAnsi="宋体" w:eastAsia="宋体" w:cs="宋体"/>
          <w:b/>
          <w:bCs/>
          <w:color w:val="auto"/>
          <w:spacing w:val="-19"/>
          <w:sz w:val="28"/>
          <w:szCs w:val="28"/>
          <w:highlight w:val="none"/>
        </w:rPr>
        <w:t>：</w:t>
      </w:r>
      <w:r>
        <w:rPr>
          <w:rFonts w:ascii="宋体" w:hAnsi="宋体" w:eastAsia="宋体" w:cs="宋体"/>
          <w:color w:val="auto"/>
          <w:sz w:val="28"/>
          <w:szCs w:val="28"/>
          <w:highlight w:val="none"/>
          <w:u w:val="single" w:color="auto"/>
        </w:rPr>
        <w:t xml:space="preserve">       </w:t>
      </w:r>
      <w:r>
        <w:rPr>
          <w:rFonts w:hint="eastAsia" w:ascii="宋体" w:hAnsi="宋体" w:eastAsia="宋体" w:cs="宋体"/>
          <w:b/>
          <w:bCs/>
          <w:color w:val="auto"/>
          <w:sz w:val="28"/>
          <w:szCs w:val="28"/>
          <w:highlight w:val="none"/>
          <w:u w:val="none" w:color="auto"/>
        </w:rPr>
        <w:t>（签字或电子签章）</w:t>
      </w:r>
    </w:p>
    <w:p w14:paraId="4FAB6534">
      <w:pPr>
        <w:spacing w:before="42" w:line="220" w:lineRule="auto"/>
        <w:jc w:val="center"/>
        <w:rPr>
          <w:rFonts w:hint="eastAsia" w:ascii="宋体" w:hAnsi="宋体" w:eastAsia="宋体" w:cs="宋体"/>
          <w:color w:val="auto"/>
          <w:sz w:val="28"/>
          <w:szCs w:val="28"/>
          <w:highlight w:val="none"/>
          <w:lang w:val="en-US" w:eastAsia="zh-CN"/>
        </w:rPr>
        <w:sectPr>
          <w:footerReference r:id="rId13" w:type="default"/>
          <w:pgSz w:w="11906" w:h="16839"/>
          <w:pgMar w:top="1431" w:right="1137" w:bottom="1363" w:left="1156" w:header="0" w:footer="1198" w:gutter="0"/>
          <w:pgNumType w:fmt="decimal"/>
          <w:cols w:space="720" w:num="1"/>
        </w:sectPr>
      </w:pPr>
      <w:r>
        <w:rPr>
          <w:rFonts w:ascii="宋体" w:hAnsi="宋体" w:eastAsia="宋体" w:cs="宋体"/>
          <w:b/>
          <w:bCs/>
          <w:color w:val="auto"/>
          <w:spacing w:val="-20"/>
          <w:sz w:val="28"/>
          <w:szCs w:val="28"/>
          <w:highlight w:val="none"/>
        </w:rPr>
        <w:t>日</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20"/>
          <w:sz w:val="28"/>
          <w:szCs w:val="28"/>
          <w:highlight w:val="none"/>
        </w:rPr>
        <w:t>期：</w:t>
      </w:r>
      <w:r>
        <w:rPr>
          <w:rFonts w:ascii="宋体" w:hAnsi="宋体" w:eastAsia="宋体" w:cs="宋体"/>
          <w:color w:val="auto"/>
          <w:sz w:val="28"/>
          <w:szCs w:val="28"/>
          <w:highlight w:val="none"/>
          <w:u w:val="single" w:color="auto"/>
        </w:rPr>
        <w:t xml:space="preserve">        </w:t>
      </w:r>
      <w:r>
        <w:rPr>
          <w:rFonts w:ascii="宋体" w:hAnsi="宋体" w:eastAsia="宋体" w:cs="宋体"/>
          <w:color w:val="auto"/>
          <w:spacing w:val="-122"/>
          <w:sz w:val="28"/>
          <w:szCs w:val="28"/>
          <w:highlight w:val="none"/>
        </w:rPr>
        <w:t xml:space="preserve"> </w:t>
      </w:r>
      <w:r>
        <w:rPr>
          <w:rFonts w:ascii="宋体" w:hAnsi="宋体" w:eastAsia="宋体" w:cs="宋体"/>
          <w:b/>
          <w:bCs/>
          <w:color w:val="auto"/>
          <w:spacing w:val="-20"/>
          <w:sz w:val="28"/>
          <w:szCs w:val="28"/>
          <w:highlight w:val="none"/>
        </w:rPr>
        <w:t>年</w:t>
      </w:r>
      <w:r>
        <w:rPr>
          <w:rFonts w:ascii="宋体" w:hAnsi="宋体" w:eastAsia="宋体" w:cs="宋体"/>
          <w:color w:val="auto"/>
          <w:sz w:val="28"/>
          <w:szCs w:val="28"/>
          <w:highlight w:val="none"/>
          <w:u w:val="single" w:color="auto"/>
        </w:rPr>
        <w:t xml:space="preserve">       </w:t>
      </w:r>
      <w:r>
        <w:rPr>
          <w:rFonts w:ascii="宋体" w:hAnsi="宋体" w:eastAsia="宋体" w:cs="宋体"/>
          <w:color w:val="auto"/>
          <w:spacing w:val="-118"/>
          <w:sz w:val="28"/>
          <w:szCs w:val="28"/>
          <w:highlight w:val="none"/>
        </w:rPr>
        <w:t xml:space="preserve"> </w:t>
      </w:r>
      <w:r>
        <w:rPr>
          <w:rFonts w:ascii="宋体" w:hAnsi="宋体" w:eastAsia="宋体" w:cs="宋体"/>
          <w:b/>
          <w:bCs/>
          <w:color w:val="auto"/>
          <w:spacing w:val="-20"/>
          <w:sz w:val="28"/>
          <w:szCs w:val="28"/>
          <w:highlight w:val="none"/>
        </w:rPr>
        <w:t>月</w:t>
      </w:r>
      <w:r>
        <w:rPr>
          <w:rFonts w:ascii="宋体" w:hAnsi="宋体" w:eastAsia="宋体" w:cs="宋体"/>
          <w:color w:val="auto"/>
          <w:sz w:val="28"/>
          <w:szCs w:val="28"/>
          <w:highlight w:val="none"/>
          <w:u w:val="single" w:color="auto"/>
        </w:rPr>
        <w:t xml:space="preserve">       </w:t>
      </w:r>
      <w:r>
        <w:rPr>
          <w:rFonts w:ascii="宋体" w:hAnsi="宋体" w:eastAsia="宋体" w:cs="宋体"/>
          <w:color w:val="auto"/>
          <w:spacing w:val="-77"/>
          <w:sz w:val="28"/>
          <w:szCs w:val="28"/>
          <w:highlight w:val="none"/>
        </w:rPr>
        <w:t xml:space="preserve"> </w:t>
      </w:r>
      <w:r>
        <w:rPr>
          <w:rFonts w:hint="eastAsia" w:ascii="宋体" w:hAnsi="宋体" w:eastAsia="宋体" w:cs="宋体"/>
          <w:color w:val="auto"/>
          <w:spacing w:val="-77"/>
          <w:sz w:val="28"/>
          <w:szCs w:val="28"/>
          <w:highlight w:val="none"/>
          <w:lang w:val="en-US" w:eastAsia="zh-CN"/>
        </w:rPr>
        <w:t>日</w:t>
      </w:r>
    </w:p>
    <w:p w14:paraId="5EA5F8F8">
      <w:pPr>
        <w:pStyle w:val="3"/>
        <w:bidi w:val="0"/>
        <w:ind w:left="0" w:leftChars="0" w:firstLine="0" w:firstLineChars="0"/>
        <w:jc w:val="center"/>
        <w:rPr>
          <w:rFonts w:hint="eastAsia"/>
          <w:color w:val="auto"/>
          <w:highlight w:val="none"/>
        </w:rPr>
      </w:pPr>
      <w:bookmarkStart w:id="287" w:name="OLE_LINK48"/>
      <w:r>
        <w:rPr>
          <w:rFonts w:hint="eastAsia"/>
          <w:color w:val="auto"/>
          <w:highlight w:val="none"/>
          <w:lang w:val="en-US" w:eastAsia="zh-CN"/>
        </w:rPr>
        <w:t>1.</w:t>
      </w:r>
      <w:r>
        <w:rPr>
          <w:rFonts w:hint="eastAsia"/>
          <w:color w:val="auto"/>
          <w:highlight w:val="none"/>
        </w:rPr>
        <w:t>报 价 函</w:t>
      </w:r>
    </w:p>
    <w:p w14:paraId="3836F81D">
      <w:pPr>
        <w:bidi w:val="0"/>
        <w:rPr>
          <w:rFonts w:hint="eastAsia"/>
          <w:color w:val="auto"/>
          <w:sz w:val="24"/>
          <w:szCs w:val="24"/>
          <w:highlight w:val="none"/>
          <w:u w:val="single"/>
          <w:lang w:val="en-US" w:eastAsia="zh-CN"/>
        </w:rPr>
      </w:pPr>
      <w:r>
        <w:rPr>
          <w:rFonts w:hint="eastAsia"/>
          <w:color w:val="auto"/>
          <w:sz w:val="24"/>
          <w:szCs w:val="24"/>
          <w:highlight w:val="none"/>
        </w:rPr>
        <w:t>（采购人）：</w:t>
      </w:r>
      <w:r>
        <w:rPr>
          <w:rFonts w:hint="eastAsia"/>
          <w:color w:val="auto"/>
          <w:sz w:val="24"/>
          <w:szCs w:val="24"/>
          <w:highlight w:val="none"/>
          <w:u w:val="single"/>
          <w:lang w:val="en-US" w:eastAsia="zh-CN"/>
        </w:rPr>
        <w:t xml:space="preserve">            </w:t>
      </w:r>
    </w:p>
    <w:p w14:paraId="3B950DEB">
      <w:pPr>
        <w:bidi w:val="0"/>
        <w:rPr>
          <w:rFonts w:hint="eastAsia"/>
          <w:color w:val="auto"/>
          <w:sz w:val="24"/>
          <w:szCs w:val="24"/>
          <w:highlight w:val="none"/>
        </w:rPr>
      </w:pPr>
      <w:r>
        <w:rPr>
          <w:rFonts w:hint="eastAsia"/>
          <w:color w:val="auto"/>
          <w:sz w:val="24"/>
          <w:szCs w:val="24"/>
          <w:highlight w:val="none"/>
        </w:rPr>
        <w:t>经研究，我们决定参加（项目名称</w:t>
      </w:r>
      <w:r>
        <w:rPr>
          <w:rFonts w:hint="eastAsia"/>
          <w:color w:val="auto"/>
          <w:sz w:val="24"/>
          <w:szCs w:val="24"/>
          <w:highlight w:val="none"/>
          <w:lang w:val="en-US" w:eastAsia="zh-CN"/>
        </w:rPr>
        <w:t>及包号</w:t>
      </w:r>
      <w:r>
        <w:rPr>
          <w:rFonts w:hint="eastAsia"/>
          <w:color w:val="auto"/>
          <w:sz w:val="24"/>
          <w:szCs w:val="24"/>
          <w:highlight w:val="none"/>
        </w:rPr>
        <w:t>：</w:t>
      </w:r>
      <w:r>
        <w:rPr>
          <w:rFonts w:hint="eastAsia"/>
          <w:color w:val="auto"/>
          <w:sz w:val="24"/>
          <w:szCs w:val="24"/>
          <w:highlight w:val="none"/>
          <w:u w:val="single"/>
          <w:lang w:val="en-US" w:eastAsia="zh-CN"/>
        </w:rPr>
        <w:t xml:space="preserve">            </w:t>
      </w:r>
      <w:r>
        <w:rPr>
          <w:rFonts w:hint="eastAsia"/>
          <w:color w:val="auto"/>
          <w:sz w:val="24"/>
          <w:szCs w:val="24"/>
          <w:highlight w:val="none"/>
        </w:rPr>
        <w:t>）（项目编号：</w:t>
      </w:r>
      <w:r>
        <w:rPr>
          <w:rFonts w:hint="eastAsia"/>
          <w:color w:val="auto"/>
          <w:sz w:val="24"/>
          <w:szCs w:val="24"/>
          <w:highlight w:val="none"/>
          <w:u w:val="single"/>
          <w:lang w:val="en-US" w:eastAsia="zh-CN"/>
        </w:rPr>
        <w:t xml:space="preserve">            </w:t>
      </w:r>
      <w:r>
        <w:rPr>
          <w:rFonts w:hint="eastAsia"/>
          <w:color w:val="auto"/>
          <w:sz w:val="24"/>
          <w:szCs w:val="24"/>
          <w:highlight w:val="none"/>
        </w:rPr>
        <w:t>）采购活动并提交响应文件。为此，我方郑重声明以下诸点，并负法律责任。</w:t>
      </w:r>
    </w:p>
    <w:p w14:paraId="368BC87B">
      <w:pPr>
        <w:bidi w:val="0"/>
        <w:rPr>
          <w:rFonts w:hint="eastAsia"/>
          <w:color w:val="auto"/>
          <w:sz w:val="24"/>
          <w:szCs w:val="24"/>
          <w:highlight w:val="none"/>
        </w:rPr>
      </w:pPr>
      <w:r>
        <w:rPr>
          <w:rFonts w:hint="eastAsia"/>
          <w:color w:val="auto"/>
          <w:sz w:val="24"/>
          <w:szCs w:val="24"/>
          <w:highlight w:val="none"/>
        </w:rPr>
        <w:t>1.按磋商文件规定的各项要求，经我单位研究磋商文件后，我方愿以       （大写）</w:t>
      </w:r>
      <w:r>
        <w:rPr>
          <w:rFonts w:hint="eastAsia"/>
          <w:color w:val="auto"/>
          <w:sz w:val="24"/>
          <w:szCs w:val="24"/>
          <w:highlight w:val="none"/>
          <w:u w:val="single"/>
          <w:lang w:val="en-US" w:eastAsia="zh-CN"/>
        </w:rPr>
        <w:t xml:space="preserve">            </w:t>
      </w:r>
      <w:r>
        <w:rPr>
          <w:rFonts w:hint="eastAsia"/>
          <w:color w:val="auto"/>
          <w:sz w:val="24"/>
          <w:szCs w:val="24"/>
          <w:highlight w:val="none"/>
        </w:rPr>
        <w:t>（小写）</w:t>
      </w:r>
      <w:r>
        <w:rPr>
          <w:rFonts w:hint="eastAsia"/>
          <w:color w:val="auto"/>
          <w:sz w:val="24"/>
          <w:szCs w:val="24"/>
          <w:highlight w:val="none"/>
          <w:u w:val="single"/>
          <w:lang w:val="en-US" w:eastAsia="zh-CN"/>
        </w:rPr>
        <w:t xml:space="preserve">            </w:t>
      </w:r>
      <w:r>
        <w:rPr>
          <w:rFonts w:hint="eastAsia"/>
          <w:color w:val="auto"/>
          <w:sz w:val="24"/>
          <w:szCs w:val="24"/>
          <w:highlight w:val="none"/>
        </w:rPr>
        <w:t>的响应总价，按磋商文件的要求提供本次采购范围内的全部服务及其伴随服务。</w:t>
      </w:r>
    </w:p>
    <w:p w14:paraId="36FDD4C7">
      <w:pPr>
        <w:bidi w:val="0"/>
        <w:rPr>
          <w:rFonts w:hint="eastAsia"/>
          <w:color w:val="auto"/>
          <w:sz w:val="24"/>
          <w:szCs w:val="24"/>
          <w:highlight w:val="none"/>
        </w:rPr>
      </w:pPr>
      <w:r>
        <w:rPr>
          <w:rFonts w:hint="eastAsia"/>
          <w:color w:val="auto"/>
          <w:sz w:val="24"/>
          <w:szCs w:val="24"/>
          <w:highlight w:val="none"/>
        </w:rPr>
        <w:t>2.如果我们的报价文件被接受，我们将履行磋商文件中规定的每一项要求，并按我们响应文件中的承诺按期、按质、按量提供咨询及其伴随服务。</w:t>
      </w:r>
    </w:p>
    <w:p w14:paraId="5AAC91A1">
      <w:pPr>
        <w:bidi w:val="0"/>
        <w:rPr>
          <w:rFonts w:hint="eastAsia"/>
          <w:color w:val="auto"/>
          <w:sz w:val="24"/>
          <w:szCs w:val="24"/>
          <w:highlight w:val="none"/>
        </w:rPr>
      </w:pPr>
      <w:r>
        <w:rPr>
          <w:rFonts w:hint="eastAsia"/>
          <w:color w:val="auto"/>
          <w:sz w:val="24"/>
          <w:szCs w:val="24"/>
          <w:highlight w:val="none"/>
        </w:rPr>
        <w:t>3.若我方成交，我们保证向采购代理机构按相关收费标准交纳成交服务费。</w:t>
      </w:r>
    </w:p>
    <w:p w14:paraId="4779D82D">
      <w:pPr>
        <w:bidi w:val="0"/>
        <w:rPr>
          <w:rFonts w:hint="eastAsia"/>
          <w:color w:val="auto"/>
          <w:sz w:val="24"/>
          <w:szCs w:val="24"/>
          <w:highlight w:val="none"/>
        </w:rPr>
      </w:pPr>
      <w:r>
        <w:rPr>
          <w:rFonts w:hint="eastAsia"/>
          <w:color w:val="auto"/>
          <w:sz w:val="24"/>
          <w:szCs w:val="24"/>
          <w:highlight w:val="none"/>
        </w:rPr>
        <w:t>4.我们已经详细审阅和理解了本磋商文件，包括修改、补充的文件（如果有的话）和有关附件，我方同意放弃对这方面有不明及误解的权利。</w:t>
      </w:r>
    </w:p>
    <w:p w14:paraId="0F88848E">
      <w:pPr>
        <w:bidi w:val="0"/>
        <w:rPr>
          <w:rFonts w:hint="eastAsia"/>
          <w:color w:val="auto"/>
          <w:sz w:val="24"/>
          <w:szCs w:val="24"/>
          <w:highlight w:val="none"/>
        </w:rPr>
      </w:pPr>
      <w:r>
        <w:rPr>
          <w:rFonts w:hint="eastAsia"/>
          <w:color w:val="auto"/>
          <w:sz w:val="24"/>
          <w:szCs w:val="24"/>
          <w:highlight w:val="none"/>
        </w:rPr>
        <w:t>5.我方具有独立承担民事责任的能力</w:t>
      </w:r>
      <w:r>
        <w:rPr>
          <w:rFonts w:hint="eastAsia"/>
          <w:color w:val="auto"/>
          <w:sz w:val="24"/>
          <w:szCs w:val="24"/>
          <w:highlight w:val="none"/>
          <w:lang w:eastAsia="zh-CN"/>
        </w:rPr>
        <w:t>，</w:t>
      </w:r>
      <w:r>
        <w:rPr>
          <w:rFonts w:hint="eastAsia"/>
          <w:color w:val="auto"/>
          <w:sz w:val="24"/>
          <w:szCs w:val="24"/>
          <w:highlight w:val="none"/>
        </w:rPr>
        <w:t>愿按《中华人民共和国民法典》履行自己的全部责任。</w:t>
      </w:r>
    </w:p>
    <w:p w14:paraId="09A5BA4C">
      <w:pPr>
        <w:bidi w:val="0"/>
        <w:rPr>
          <w:rFonts w:hint="eastAsia"/>
          <w:color w:val="auto"/>
          <w:sz w:val="24"/>
          <w:szCs w:val="24"/>
          <w:highlight w:val="none"/>
        </w:rPr>
      </w:pPr>
      <w:r>
        <w:rPr>
          <w:rFonts w:hint="eastAsia"/>
          <w:color w:val="auto"/>
          <w:sz w:val="24"/>
          <w:szCs w:val="24"/>
          <w:highlight w:val="none"/>
        </w:rPr>
        <w:t>6.我们同意按磋商文件规定遵守贵机构有关采购的各项规定。</w:t>
      </w:r>
    </w:p>
    <w:p w14:paraId="617A13D3">
      <w:pPr>
        <w:bidi w:val="0"/>
        <w:rPr>
          <w:rFonts w:hint="eastAsia"/>
          <w:color w:val="auto"/>
          <w:sz w:val="24"/>
          <w:szCs w:val="24"/>
          <w:highlight w:val="none"/>
        </w:rPr>
      </w:pPr>
      <w:r>
        <w:rPr>
          <w:rFonts w:hint="eastAsia"/>
          <w:color w:val="auto"/>
          <w:sz w:val="24"/>
          <w:szCs w:val="24"/>
          <w:highlight w:val="none"/>
        </w:rPr>
        <w:t>7.我方的响应文件有效期为自响应文件提交截止之日起</w:t>
      </w:r>
      <w:r>
        <w:rPr>
          <w:rFonts w:hint="eastAsia"/>
          <w:color w:val="auto"/>
          <w:sz w:val="24"/>
          <w:szCs w:val="24"/>
          <w:highlight w:val="none"/>
          <w:u w:val="single"/>
        </w:rPr>
        <w:t xml:space="preserve">   60   </w:t>
      </w:r>
      <w:r>
        <w:rPr>
          <w:rFonts w:hint="eastAsia"/>
          <w:color w:val="auto"/>
          <w:sz w:val="24"/>
          <w:szCs w:val="24"/>
          <w:highlight w:val="none"/>
        </w:rPr>
        <w:t>日历天，若我方成交，我方的响应文件有效期延长至合同履行后。</w:t>
      </w:r>
    </w:p>
    <w:p w14:paraId="02FCAAD0">
      <w:pPr>
        <w:bidi w:val="0"/>
        <w:rPr>
          <w:rFonts w:hint="eastAsia"/>
          <w:color w:val="auto"/>
          <w:sz w:val="24"/>
          <w:szCs w:val="24"/>
          <w:highlight w:val="none"/>
        </w:rPr>
      </w:pPr>
      <w:r>
        <w:rPr>
          <w:rFonts w:hint="eastAsia"/>
          <w:color w:val="auto"/>
          <w:sz w:val="24"/>
          <w:szCs w:val="24"/>
          <w:highlight w:val="none"/>
        </w:rPr>
        <w:t>供应商单位全称：</w:t>
      </w:r>
      <w:r>
        <w:rPr>
          <w:rFonts w:hint="eastAsia"/>
          <w:color w:val="auto"/>
          <w:sz w:val="24"/>
          <w:szCs w:val="24"/>
          <w:highlight w:val="none"/>
          <w:u w:val="single"/>
          <w:lang w:val="en-US" w:eastAsia="zh-CN"/>
        </w:rPr>
        <w:t xml:space="preserve">                        </w:t>
      </w:r>
      <w:r>
        <w:rPr>
          <w:rFonts w:hint="eastAsia"/>
          <w:color w:val="auto"/>
          <w:sz w:val="24"/>
          <w:szCs w:val="24"/>
          <w:highlight w:val="none"/>
        </w:rPr>
        <w:t>（盖章）</w:t>
      </w:r>
    </w:p>
    <w:p w14:paraId="77CC3A7E">
      <w:pPr>
        <w:bidi w:val="0"/>
        <w:rPr>
          <w:rFonts w:hint="eastAsia"/>
          <w:color w:val="auto"/>
          <w:sz w:val="24"/>
          <w:szCs w:val="24"/>
          <w:highlight w:val="none"/>
        </w:rPr>
      </w:pPr>
      <w:r>
        <w:rPr>
          <w:rFonts w:hint="eastAsia"/>
          <w:color w:val="auto"/>
          <w:sz w:val="24"/>
          <w:szCs w:val="24"/>
          <w:highlight w:val="none"/>
        </w:rPr>
        <w:t>法定代表人或委托代理人（签字或盖章）：</w:t>
      </w:r>
      <w:r>
        <w:rPr>
          <w:rFonts w:hint="eastAsia"/>
          <w:color w:val="auto"/>
          <w:sz w:val="24"/>
          <w:szCs w:val="24"/>
          <w:highlight w:val="none"/>
          <w:u w:val="single"/>
        </w:rPr>
        <w:t xml:space="preserve">          </w:t>
      </w:r>
      <w:r>
        <w:rPr>
          <w:rFonts w:hint="eastAsia"/>
          <w:color w:val="auto"/>
          <w:sz w:val="24"/>
          <w:szCs w:val="24"/>
          <w:highlight w:val="none"/>
        </w:rPr>
        <w:t xml:space="preserve">                  </w:t>
      </w:r>
    </w:p>
    <w:p w14:paraId="489A16B6">
      <w:pPr>
        <w:bidi w:val="0"/>
        <w:rPr>
          <w:rFonts w:hint="eastAsia"/>
          <w:color w:val="auto"/>
          <w:sz w:val="24"/>
          <w:szCs w:val="24"/>
          <w:highlight w:val="none"/>
        </w:rPr>
      </w:pPr>
      <w:r>
        <w:rPr>
          <w:rFonts w:hint="eastAsia"/>
          <w:color w:val="auto"/>
          <w:sz w:val="24"/>
          <w:szCs w:val="24"/>
          <w:highlight w:val="none"/>
          <w:lang w:val="en-US" w:eastAsia="zh-CN"/>
        </w:rPr>
        <w:t>日期：</w:t>
      </w:r>
      <w:r>
        <w:rPr>
          <w:rFonts w:hint="eastAsia"/>
          <w:color w:val="auto"/>
          <w:sz w:val="24"/>
          <w:szCs w:val="24"/>
          <w:highlight w:val="none"/>
          <w:u w:val="single"/>
        </w:rPr>
        <w:t xml:space="preserve">    </w:t>
      </w:r>
      <w:r>
        <w:rPr>
          <w:rFonts w:hint="eastAsia"/>
          <w:color w:val="auto"/>
          <w:sz w:val="24"/>
          <w:szCs w:val="24"/>
          <w:highlight w:val="none"/>
        </w:rPr>
        <w:t>年</w:t>
      </w:r>
      <w:r>
        <w:rPr>
          <w:rFonts w:hint="eastAsia"/>
          <w:color w:val="auto"/>
          <w:sz w:val="24"/>
          <w:szCs w:val="24"/>
          <w:highlight w:val="none"/>
          <w:u w:val="single"/>
        </w:rPr>
        <w:t xml:space="preserve">   </w:t>
      </w:r>
      <w:r>
        <w:rPr>
          <w:rFonts w:hint="eastAsia"/>
          <w:color w:val="auto"/>
          <w:sz w:val="24"/>
          <w:szCs w:val="24"/>
          <w:highlight w:val="none"/>
        </w:rPr>
        <w:t>月</w:t>
      </w:r>
      <w:r>
        <w:rPr>
          <w:rFonts w:hint="eastAsia"/>
          <w:color w:val="auto"/>
          <w:sz w:val="24"/>
          <w:szCs w:val="24"/>
          <w:highlight w:val="none"/>
          <w:u w:val="single"/>
        </w:rPr>
        <w:t xml:space="preserve">   </w:t>
      </w:r>
      <w:r>
        <w:rPr>
          <w:rFonts w:hint="eastAsia"/>
          <w:color w:val="auto"/>
          <w:sz w:val="24"/>
          <w:szCs w:val="24"/>
          <w:highlight w:val="none"/>
        </w:rPr>
        <w:t>日</w:t>
      </w:r>
    </w:p>
    <w:p w14:paraId="0EC78572">
      <w:pPr>
        <w:bidi w:val="0"/>
        <w:rPr>
          <w:rFonts w:hint="eastAsia"/>
          <w:color w:val="auto"/>
          <w:sz w:val="24"/>
          <w:szCs w:val="24"/>
          <w:highlight w:val="none"/>
        </w:rPr>
      </w:pPr>
    </w:p>
    <w:p w14:paraId="538366E0">
      <w:pPr>
        <w:bidi w:val="0"/>
        <w:rPr>
          <w:rFonts w:hint="eastAsia"/>
          <w:color w:val="auto"/>
          <w:sz w:val="24"/>
          <w:szCs w:val="24"/>
          <w:highlight w:val="none"/>
        </w:rPr>
      </w:pPr>
    </w:p>
    <w:p w14:paraId="2F11C31B">
      <w:pPr>
        <w:bidi w:val="0"/>
        <w:rPr>
          <w:rFonts w:hint="eastAsia"/>
          <w:color w:val="auto"/>
          <w:sz w:val="24"/>
          <w:szCs w:val="24"/>
          <w:highlight w:val="none"/>
        </w:rPr>
      </w:pPr>
    </w:p>
    <w:p w14:paraId="3271773A">
      <w:pPr>
        <w:bidi w:val="0"/>
        <w:rPr>
          <w:rFonts w:hint="eastAsia"/>
          <w:color w:val="auto"/>
          <w:sz w:val="24"/>
          <w:szCs w:val="24"/>
          <w:highlight w:val="none"/>
        </w:rPr>
      </w:pPr>
    </w:p>
    <w:p w14:paraId="564BAF9B">
      <w:pPr>
        <w:bidi w:val="0"/>
        <w:rPr>
          <w:rFonts w:hint="eastAsia"/>
          <w:color w:val="auto"/>
          <w:sz w:val="24"/>
          <w:szCs w:val="24"/>
          <w:highlight w:val="none"/>
        </w:rPr>
      </w:pPr>
    </w:p>
    <w:p w14:paraId="3517CE58">
      <w:pPr>
        <w:pStyle w:val="3"/>
        <w:bidi w:val="0"/>
        <w:jc w:val="center"/>
        <w:rPr>
          <w:rFonts w:hint="default"/>
          <w:color w:val="auto"/>
          <w:highlight w:val="none"/>
          <w:lang w:val="en-US" w:eastAsia="zh-CN"/>
        </w:rPr>
      </w:pPr>
      <w:r>
        <w:rPr>
          <w:rFonts w:hint="eastAsia"/>
          <w:color w:val="auto"/>
          <w:highlight w:val="none"/>
          <w:lang w:val="en-US" w:eastAsia="zh-CN"/>
        </w:rPr>
        <w:t>2、报价一览表</w:t>
      </w:r>
    </w:p>
    <w:p w14:paraId="0CFC1C95">
      <w:pPr>
        <w:bidi w:val="0"/>
        <w:ind w:left="0" w:leftChars="0" w:firstLine="0" w:firstLineChars="0"/>
        <w:rPr>
          <w:rFonts w:hint="eastAsia"/>
          <w:color w:val="auto"/>
          <w:sz w:val="24"/>
          <w:szCs w:val="24"/>
          <w:highlight w:val="none"/>
        </w:rPr>
      </w:pPr>
      <w:r>
        <w:rPr>
          <w:rFonts w:hint="eastAsia"/>
          <w:color w:val="auto"/>
          <w:sz w:val="24"/>
          <w:szCs w:val="24"/>
          <w:highlight w:val="none"/>
        </w:rPr>
        <w:t xml:space="preserve">分包编号： </w:t>
      </w:r>
    </w:p>
    <w:p w14:paraId="67860907">
      <w:pPr>
        <w:bidi w:val="0"/>
        <w:ind w:left="0" w:leftChars="0" w:firstLine="0" w:firstLineChars="0"/>
        <w:rPr>
          <w:color w:val="auto"/>
          <w:sz w:val="24"/>
          <w:szCs w:val="24"/>
          <w:highlight w:val="none"/>
        </w:rPr>
      </w:pPr>
      <w:r>
        <w:rPr>
          <w:rFonts w:hint="eastAsia"/>
          <w:color w:val="auto"/>
          <w:sz w:val="24"/>
          <w:szCs w:val="24"/>
          <w:highlight w:val="none"/>
        </w:rPr>
        <w:t xml:space="preserve">分包名称： </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408"/>
      </w:tblGrid>
      <w:tr w14:paraId="598B5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1765" w:type="dxa"/>
            <w:noWrap w:val="0"/>
            <w:vAlign w:val="center"/>
          </w:tcPr>
          <w:p w14:paraId="4DEE1603">
            <w:pPr>
              <w:tabs>
                <w:tab w:val="left" w:pos="3408"/>
                <w:tab w:val="left" w:pos="10035"/>
              </w:tabs>
              <w:spacing w:line="360" w:lineRule="auto"/>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p>
        </w:tc>
        <w:tc>
          <w:tcPr>
            <w:tcW w:w="7408" w:type="dxa"/>
            <w:noWrap w:val="0"/>
            <w:vAlign w:val="center"/>
          </w:tcPr>
          <w:p w14:paraId="4CE9080F">
            <w:pPr>
              <w:tabs>
                <w:tab w:val="left" w:pos="3408"/>
                <w:tab w:val="left" w:pos="10035"/>
              </w:tabs>
              <w:spacing w:line="360" w:lineRule="auto"/>
              <w:ind w:firstLine="787" w:firstLineChars="328"/>
              <w:rPr>
                <w:rFonts w:hint="eastAsia" w:ascii="宋体" w:hAnsi="宋体" w:eastAsia="宋体" w:cs="宋体"/>
                <w:color w:val="auto"/>
                <w:sz w:val="24"/>
                <w:szCs w:val="24"/>
                <w:highlight w:val="none"/>
                <w:u w:val="single"/>
              </w:rPr>
            </w:pPr>
          </w:p>
        </w:tc>
      </w:tr>
      <w:tr w14:paraId="5E5C4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765" w:type="dxa"/>
            <w:vMerge w:val="restart"/>
            <w:noWrap w:val="0"/>
            <w:vAlign w:val="center"/>
          </w:tcPr>
          <w:p w14:paraId="70EDA532">
            <w:pPr>
              <w:tabs>
                <w:tab w:val="left" w:pos="3408"/>
                <w:tab w:val="left" w:pos="10035"/>
              </w:tabs>
              <w:spacing w:line="360" w:lineRule="auto"/>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响应总报价</w:t>
            </w:r>
          </w:p>
        </w:tc>
        <w:tc>
          <w:tcPr>
            <w:tcW w:w="7408" w:type="dxa"/>
            <w:noWrap w:val="0"/>
            <w:vAlign w:val="center"/>
          </w:tcPr>
          <w:p w14:paraId="390E2B9C">
            <w:pPr>
              <w:tabs>
                <w:tab w:val="left" w:pos="3408"/>
                <w:tab w:val="left" w:pos="10035"/>
              </w:tabs>
              <w:spacing w:line="360" w:lineRule="auto"/>
              <w:ind w:left="0" w:leftChars="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xml:space="preserve">             </w:t>
            </w:r>
          </w:p>
        </w:tc>
      </w:tr>
      <w:tr w14:paraId="65ABE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765" w:type="dxa"/>
            <w:vMerge w:val="continue"/>
            <w:noWrap w:val="0"/>
            <w:vAlign w:val="center"/>
          </w:tcPr>
          <w:p w14:paraId="7B60CA16">
            <w:pPr>
              <w:tabs>
                <w:tab w:val="left" w:pos="3408"/>
                <w:tab w:val="left" w:pos="10035"/>
              </w:tabs>
              <w:spacing w:line="360" w:lineRule="auto"/>
              <w:jc w:val="center"/>
              <w:rPr>
                <w:rFonts w:hint="eastAsia" w:ascii="宋体" w:hAnsi="宋体" w:eastAsia="宋体" w:cs="宋体"/>
                <w:color w:val="auto"/>
                <w:sz w:val="24"/>
                <w:szCs w:val="24"/>
                <w:highlight w:val="none"/>
              </w:rPr>
            </w:pPr>
          </w:p>
        </w:tc>
        <w:tc>
          <w:tcPr>
            <w:tcW w:w="7408" w:type="dxa"/>
            <w:noWrap w:val="0"/>
            <w:vAlign w:val="center"/>
          </w:tcPr>
          <w:p w14:paraId="0DB618FE">
            <w:pPr>
              <w:tabs>
                <w:tab w:val="left" w:pos="3408"/>
                <w:tab w:val="left" w:pos="10035"/>
              </w:tabs>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tc>
      </w:tr>
      <w:tr w14:paraId="0E4CC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765" w:type="dxa"/>
            <w:noWrap w:val="0"/>
            <w:vAlign w:val="center"/>
          </w:tcPr>
          <w:p w14:paraId="13D64AAE">
            <w:pPr>
              <w:tabs>
                <w:tab w:val="left" w:pos="3408"/>
                <w:tab w:val="left" w:pos="10035"/>
              </w:tabs>
              <w:spacing w:line="360" w:lineRule="auto"/>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合同履行期限</w:t>
            </w:r>
          </w:p>
        </w:tc>
        <w:tc>
          <w:tcPr>
            <w:tcW w:w="7408" w:type="dxa"/>
            <w:noWrap w:val="0"/>
            <w:vAlign w:val="center"/>
          </w:tcPr>
          <w:p w14:paraId="7656EF73">
            <w:pPr>
              <w:tabs>
                <w:tab w:val="left" w:pos="3408"/>
                <w:tab w:val="left" w:pos="10035"/>
              </w:tabs>
              <w:spacing w:line="360" w:lineRule="auto"/>
              <w:ind w:firstLine="240" w:firstLineChars="100"/>
              <w:rPr>
                <w:rFonts w:hint="eastAsia" w:ascii="宋体" w:hAnsi="宋体" w:eastAsia="宋体" w:cs="宋体"/>
                <w:color w:val="auto"/>
                <w:sz w:val="24"/>
                <w:szCs w:val="24"/>
                <w:highlight w:val="none"/>
              </w:rPr>
            </w:pPr>
          </w:p>
        </w:tc>
      </w:tr>
      <w:tr w14:paraId="23722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765" w:type="dxa"/>
            <w:noWrap w:val="0"/>
            <w:vAlign w:val="center"/>
          </w:tcPr>
          <w:p w14:paraId="339C32D6">
            <w:pPr>
              <w:tabs>
                <w:tab w:val="left" w:pos="3408"/>
                <w:tab w:val="left" w:pos="10035"/>
              </w:tabs>
              <w:spacing w:line="360" w:lineRule="auto"/>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质量要求</w:t>
            </w:r>
          </w:p>
        </w:tc>
        <w:tc>
          <w:tcPr>
            <w:tcW w:w="7408" w:type="dxa"/>
            <w:noWrap w:val="0"/>
            <w:vAlign w:val="center"/>
          </w:tcPr>
          <w:p w14:paraId="41FE5C2F">
            <w:pPr>
              <w:tabs>
                <w:tab w:val="left" w:pos="3408"/>
                <w:tab w:val="left" w:pos="10035"/>
              </w:tabs>
              <w:spacing w:line="360" w:lineRule="auto"/>
              <w:rPr>
                <w:rFonts w:hint="eastAsia" w:ascii="宋体" w:hAnsi="宋体" w:eastAsia="宋体" w:cs="宋体"/>
                <w:color w:val="auto"/>
                <w:sz w:val="24"/>
                <w:szCs w:val="24"/>
                <w:highlight w:val="none"/>
              </w:rPr>
            </w:pPr>
          </w:p>
        </w:tc>
      </w:tr>
      <w:tr w14:paraId="4BC7C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765" w:type="dxa"/>
            <w:noWrap w:val="0"/>
            <w:vAlign w:val="center"/>
          </w:tcPr>
          <w:p w14:paraId="3DBBA6D7">
            <w:pPr>
              <w:tabs>
                <w:tab w:val="left" w:pos="3408"/>
                <w:tab w:val="left" w:pos="10035"/>
              </w:tabs>
              <w:spacing w:line="360" w:lineRule="auto"/>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w:t>
            </w:r>
          </w:p>
        </w:tc>
        <w:tc>
          <w:tcPr>
            <w:tcW w:w="7408" w:type="dxa"/>
            <w:noWrap w:val="0"/>
            <w:vAlign w:val="center"/>
          </w:tcPr>
          <w:p w14:paraId="56E87FA9">
            <w:pPr>
              <w:tabs>
                <w:tab w:val="left" w:pos="3408"/>
                <w:tab w:val="left" w:pos="10035"/>
              </w:tabs>
              <w:spacing w:line="360" w:lineRule="auto"/>
              <w:rPr>
                <w:rFonts w:hint="eastAsia" w:ascii="宋体" w:hAnsi="宋体" w:eastAsia="宋体" w:cs="宋体"/>
                <w:color w:val="auto"/>
                <w:sz w:val="24"/>
                <w:szCs w:val="24"/>
                <w:highlight w:val="none"/>
              </w:rPr>
            </w:pPr>
          </w:p>
        </w:tc>
      </w:tr>
      <w:tr w14:paraId="00A55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765" w:type="dxa"/>
            <w:noWrap w:val="0"/>
            <w:vAlign w:val="center"/>
          </w:tcPr>
          <w:p w14:paraId="2E3F4C92">
            <w:pPr>
              <w:tabs>
                <w:tab w:val="left" w:pos="3408"/>
                <w:tab w:val="left" w:pos="10035"/>
              </w:tabs>
              <w:spacing w:line="360" w:lineRule="auto"/>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w:t>
            </w:r>
          </w:p>
        </w:tc>
        <w:tc>
          <w:tcPr>
            <w:tcW w:w="7408" w:type="dxa"/>
            <w:noWrap w:val="0"/>
            <w:vAlign w:val="center"/>
          </w:tcPr>
          <w:p w14:paraId="3D6635D3">
            <w:pPr>
              <w:widowControl/>
              <w:wordWrap w:val="0"/>
              <w:spacing w:line="360" w:lineRule="auto"/>
              <w:jc w:val="left"/>
              <w:rPr>
                <w:rFonts w:hint="eastAsia" w:ascii="宋体" w:hAnsi="宋体" w:eastAsia="宋体" w:cs="宋体"/>
                <w:color w:val="auto"/>
                <w:sz w:val="24"/>
                <w:szCs w:val="24"/>
                <w:highlight w:val="none"/>
              </w:rPr>
            </w:pPr>
          </w:p>
        </w:tc>
      </w:tr>
      <w:tr w14:paraId="28AEF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765" w:type="dxa"/>
            <w:noWrap w:val="0"/>
            <w:vAlign w:val="center"/>
          </w:tcPr>
          <w:p w14:paraId="5C704325">
            <w:pPr>
              <w:tabs>
                <w:tab w:val="left" w:pos="3408"/>
                <w:tab w:val="left" w:pos="10035"/>
              </w:tabs>
              <w:spacing w:line="360" w:lineRule="auto"/>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磋商有效期</w:t>
            </w:r>
          </w:p>
        </w:tc>
        <w:tc>
          <w:tcPr>
            <w:tcW w:w="7408" w:type="dxa"/>
            <w:noWrap w:val="0"/>
            <w:vAlign w:val="center"/>
          </w:tcPr>
          <w:p w14:paraId="21DA8F1C">
            <w:pPr>
              <w:widowControl/>
              <w:wordWrap w:val="0"/>
              <w:spacing w:line="360" w:lineRule="auto"/>
              <w:jc w:val="left"/>
              <w:rPr>
                <w:rFonts w:hint="eastAsia" w:ascii="宋体" w:hAnsi="宋体" w:eastAsia="宋体" w:cs="宋体"/>
                <w:color w:val="auto"/>
                <w:sz w:val="24"/>
                <w:szCs w:val="24"/>
                <w:highlight w:val="none"/>
              </w:rPr>
            </w:pPr>
          </w:p>
        </w:tc>
      </w:tr>
      <w:tr w14:paraId="3B9F6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765" w:type="dxa"/>
            <w:noWrap w:val="0"/>
            <w:vAlign w:val="center"/>
          </w:tcPr>
          <w:p w14:paraId="7DF5A1FA">
            <w:pPr>
              <w:tabs>
                <w:tab w:val="left" w:pos="3408"/>
                <w:tab w:val="left" w:pos="10035"/>
              </w:tabs>
              <w:spacing w:line="360" w:lineRule="auto"/>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其他优惠条件</w:t>
            </w:r>
          </w:p>
        </w:tc>
        <w:tc>
          <w:tcPr>
            <w:tcW w:w="7408" w:type="dxa"/>
            <w:noWrap w:val="0"/>
            <w:vAlign w:val="center"/>
          </w:tcPr>
          <w:p w14:paraId="0850CFAA">
            <w:pPr>
              <w:tabs>
                <w:tab w:val="left" w:pos="3408"/>
                <w:tab w:val="left" w:pos="10035"/>
              </w:tabs>
              <w:spacing w:line="360" w:lineRule="auto"/>
              <w:rPr>
                <w:rFonts w:hint="eastAsia" w:ascii="宋体" w:hAnsi="宋体" w:eastAsia="宋体" w:cs="宋体"/>
                <w:color w:val="auto"/>
                <w:sz w:val="24"/>
                <w:szCs w:val="24"/>
                <w:highlight w:val="none"/>
              </w:rPr>
            </w:pPr>
          </w:p>
        </w:tc>
      </w:tr>
    </w:tbl>
    <w:p w14:paraId="22211E54">
      <w:pPr>
        <w:spacing w:line="360" w:lineRule="auto"/>
        <w:ind w:firstLine="360" w:firstLineChars="150"/>
        <w:rPr>
          <w:rFonts w:hint="eastAsia" w:ascii="宋体" w:hAnsi="宋体" w:eastAsia="宋体" w:cs="宋体"/>
          <w:color w:val="auto"/>
          <w:sz w:val="24"/>
          <w:szCs w:val="24"/>
          <w:highlight w:val="none"/>
        </w:rPr>
      </w:pPr>
    </w:p>
    <w:p w14:paraId="0278FBB4">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（盖章）</w:t>
      </w:r>
    </w:p>
    <w:p w14:paraId="2A2EEAA4">
      <w:pPr>
        <w:spacing w:line="360" w:lineRule="auto"/>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供应商法定代表人或委托代理人（签字或盖章）：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349FF4B0">
      <w:pPr>
        <w:spacing w:line="360" w:lineRule="auto"/>
        <w:ind w:left="0" w:leftChars="0" w:firstLine="240" w:firstLineChars="10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    年   月   日</w:t>
      </w:r>
      <w:r>
        <w:rPr>
          <w:rFonts w:hint="eastAsia" w:ascii="宋体" w:hAnsi="宋体" w:eastAsia="宋体" w:cs="宋体"/>
          <w:b/>
          <w:color w:val="auto"/>
          <w:sz w:val="24"/>
          <w:szCs w:val="24"/>
          <w:highlight w:val="none"/>
        </w:rPr>
        <w:br w:type="page"/>
      </w:r>
      <w:bookmarkStart w:id="288" w:name="_Toc288060363"/>
      <w:bookmarkStart w:id="289" w:name="_Toc288203201"/>
    </w:p>
    <w:p w14:paraId="03DB0783">
      <w:pPr>
        <w:pStyle w:val="3"/>
        <w:bidi w:val="0"/>
        <w:jc w:val="center"/>
        <w:rPr>
          <w:rFonts w:hint="eastAsia"/>
          <w:color w:val="auto"/>
          <w:highlight w:val="none"/>
        </w:rPr>
      </w:pPr>
      <w:r>
        <w:rPr>
          <w:rFonts w:hint="eastAsia"/>
          <w:color w:val="auto"/>
          <w:highlight w:val="none"/>
        </w:rPr>
        <w:t>3.分项报价明细表</w:t>
      </w:r>
    </w:p>
    <w:p w14:paraId="417D67F5">
      <w:pPr>
        <w:pStyle w:val="33"/>
        <w:spacing w:line="360" w:lineRule="auto"/>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（格式自拟）</w:t>
      </w:r>
    </w:p>
    <w:p w14:paraId="5E786BDA">
      <w:pPr>
        <w:pStyle w:val="33"/>
        <w:spacing w:line="360" w:lineRule="auto"/>
        <w:rPr>
          <w:rFonts w:hint="eastAsia" w:ascii="宋体" w:hAnsi="宋体" w:eastAsia="宋体" w:cs="宋体"/>
          <w:bCs/>
          <w:color w:val="auto"/>
          <w:sz w:val="24"/>
          <w:szCs w:val="20"/>
          <w:highlight w:val="none"/>
        </w:rPr>
      </w:pPr>
    </w:p>
    <w:p w14:paraId="2D592E91">
      <w:pPr>
        <w:pStyle w:val="33"/>
        <w:spacing w:line="360" w:lineRule="auto"/>
        <w:rPr>
          <w:rFonts w:hint="eastAsia" w:ascii="宋体" w:hAnsi="宋体" w:eastAsia="宋体" w:cs="宋体"/>
          <w:bCs/>
          <w:color w:val="auto"/>
          <w:sz w:val="24"/>
          <w:szCs w:val="20"/>
          <w:highlight w:val="none"/>
          <w:lang w:val="en-US" w:eastAsia="zh-CN"/>
        </w:rPr>
      </w:pPr>
      <w:r>
        <w:rPr>
          <w:rFonts w:hint="eastAsia" w:ascii="宋体" w:hAnsi="宋体" w:eastAsia="宋体" w:cs="宋体"/>
          <w:bCs/>
          <w:color w:val="auto"/>
          <w:sz w:val="24"/>
          <w:szCs w:val="20"/>
          <w:highlight w:val="none"/>
        </w:rPr>
        <w:t>供应商名称（盖章）：</w:t>
      </w:r>
      <w:r>
        <w:rPr>
          <w:rFonts w:hint="eastAsia" w:ascii="宋体" w:hAnsi="宋体" w:eastAsia="宋体" w:cs="宋体"/>
          <w:bCs/>
          <w:color w:val="auto"/>
          <w:sz w:val="24"/>
          <w:szCs w:val="20"/>
          <w:highlight w:val="none"/>
          <w:u w:val="single"/>
          <w:lang w:val="en-US" w:eastAsia="zh-CN"/>
        </w:rPr>
        <w:t xml:space="preserve">             </w:t>
      </w:r>
    </w:p>
    <w:p w14:paraId="5DF18893">
      <w:pPr>
        <w:pStyle w:val="33"/>
        <w:spacing w:line="360" w:lineRule="auto"/>
        <w:rPr>
          <w:rFonts w:hint="eastAsia" w:ascii="宋体" w:hAnsi="宋体" w:eastAsia="宋体" w:cs="宋体"/>
          <w:bCs/>
          <w:color w:val="auto"/>
          <w:sz w:val="24"/>
          <w:szCs w:val="20"/>
          <w:highlight w:val="none"/>
          <w:u w:val="single"/>
          <w:lang w:val="en-US" w:eastAsia="zh-CN"/>
        </w:rPr>
      </w:pPr>
      <w:r>
        <w:rPr>
          <w:rFonts w:hint="eastAsia" w:ascii="宋体" w:hAnsi="宋体" w:eastAsia="宋体" w:cs="宋体"/>
          <w:color w:val="auto"/>
          <w:sz w:val="24"/>
          <w:szCs w:val="20"/>
          <w:highlight w:val="none"/>
        </w:rPr>
        <w:t>供应商法定代表人或委托代理人（签字或盖章）：</w:t>
      </w:r>
      <w:r>
        <w:rPr>
          <w:rFonts w:hint="eastAsia" w:ascii="宋体" w:hAnsi="宋体" w:eastAsia="宋体" w:cs="宋体"/>
          <w:color w:val="auto"/>
          <w:sz w:val="24"/>
          <w:szCs w:val="20"/>
          <w:highlight w:val="none"/>
          <w:u w:val="single"/>
          <w:lang w:val="en-US" w:eastAsia="zh-CN"/>
        </w:rPr>
        <w:t xml:space="preserve">               </w:t>
      </w:r>
    </w:p>
    <w:p w14:paraId="5A44E709">
      <w:pPr>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日期：</w:t>
      </w:r>
      <w:r>
        <w:rPr>
          <w:rFonts w:hint="eastAsia" w:ascii="宋体" w:hAnsi="宋体" w:eastAsia="宋体" w:cs="宋体"/>
          <w:color w:val="auto"/>
          <w:sz w:val="24"/>
          <w:szCs w:val="20"/>
          <w:highlight w:val="none"/>
        </w:rPr>
        <w:t xml:space="preserve">    年   月   日</w:t>
      </w:r>
    </w:p>
    <w:p w14:paraId="34697E70">
      <w:pPr>
        <w:pStyle w:val="25"/>
        <w:tabs>
          <w:tab w:val="left" w:pos="6400"/>
        </w:tabs>
        <w:adjustRightInd w:val="0"/>
        <w:snapToGrid w:val="0"/>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br w:type="page"/>
      </w:r>
    </w:p>
    <w:p w14:paraId="6AD218A9">
      <w:pPr>
        <w:pStyle w:val="3"/>
        <w:bidi w:val="0"/>
        <w:jc w:val="center"/>
        <w:rPr>
          <w:rFonts w:hint="eastAsia"/>
          <w:color w:val="auto"/>
          <w:highlight w:val="none"/>
        </w:rPr>
      </w:pPr>
      <w:r>
        <w:rPr>
          <w:rFonts w:hint="eastAsia"/>
          <w:color w:val="auto"/>
          <w:highlight w:val="none"/>
          <w:lang w:val="en-US" w:eastAsia="zh-CN"/>
        </w:rPr>
        <w:t>4.</w:t>
      </w:r>
      <w:r>
        <w:rPr>
          <w:rFonts w:hint="eastAsia"/>
          <w:color w:val="auto"/>
          <w:highlight w:val="none"/>
        </w:rPr>
        <w:t>技术规格和商务条款偏差表</w:t>
      </w:r>
    </w:p>
    <w:p w14:paraId="644D045E">
      <w:pP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此处内容由供应商自拟</w:t>
      </w:r>
    </w:p>
    <w:p w14:paraId="020F6E22">
      <w:pPr>
        <w:adjustRightInd w:val="0"/>
        <w:snapToGrid w:val="0"/>
        <w:spacing w:line="360" w:lineRule="auto"/>
        <w:ind w:firstLine="480" w:firstLineChars="200"/>
        <w:jc w:val="left"/>
        <w:rPr>
          <w:rFonts w:hint="eastAsia" w:ascii="宋体" w:hAnsi="宋体" w:eastAsia="宋体" w:cs="宋体"/>
          <w:color w:val="auto"/>
          <w:sz w:val="24"/>
          <w:szCs w:val="20"/>
          <w:highlight w:val="none"/>
        </w:rPr>
      </w:pPr>
    </w:p>
    <w:p w14:paraId="25F5BCF8">
      <w:pPr>
        <w:adjustRightInd w:val="0"/>
        <w:snapToGrid w:val="0"/>
        <w:spacing w:line="360" w:lineRule="auto"/>
        <w:ind w:firstLine="480" w:firstLineChars="200"/>
        <w:jc w:val="left"/>
        <w:rPr>
          <w:rFonts w:hint="eastAsia" w:ascii="宋体" w:hAnsi="宋体" w:eastAsia="宋体" w:cs="宋体"/>
          <w:color w:val="auto"/>
          <w:sz w:val="24"/>
          <w:szCs w:val="20"/>
          <w:highlight w:val="none"/>
        </w:rPr>
      </w:pPr>
    </w:p>
    <w:p w14:paraId="26178394">
      <w:pPr>
        <w:adjustRightInd w:val="0"/>
        <w:snapToGrid w:val="0"/>
        <w:spacing w:line="360" w:lineRule="auto"/>
        <w:ind w:firstLine="480" w:firstLineChars="200"/>
        <w:jc w:val="left"/>
        <w:rPr>
          <w:rFonts w:hint="eastAsia" w:ascii="宋体" w:hAnsi="宋体" w:eastAsia="宋体" w:cs="宋体"/>
          <w:color w:val="auto"/>
          <w:sz w:val="24"/>
          <w:szCs w:val="20"/>
          <w:highlight w:val="none"/>
        </w:rPr>
      </w:pPr>
    </w:p>
    <w:p w14:paraId="265ACF69">
      <w:pPr>
        <w:rPr>
          <w:rFonts w:hint="eastAsia" w:ascii="宋体" w:hAnsi="宋体" w:eastAsia="宋体" w:cs="宋体"/>
          <w:b/>
          <w:color w:val="auto"/>
          <w:sz w:val="24"/>
          <w:szCs w:val="20"/>
          <w:highlight w:val="none"/>
        </w:rPr>
      </w:pPr>
    </w:p>
    <w:p w14:paraId="01E64A5A">
      <w:pPr>
        <w:rPr>
          <w:rFonts w:hint="eastAsia" w:ascii="宋体" w:hAnsi="宋体" w:eastAsia="宋体" w:cs="宋体"/>
          <w:b/>
          <w:color w:val="auto"/>
          <w:sz w:val="24"/>
          <w:szCs w:val="20"/>
          <w:highlight w:val="none"/>
        </w:rPr>
      </w:pPr>
    </w:p>
    <w:p w14:paraId="642BE3DF">
      <w:pPr>
        <w:snapToGrid w:val="0"/>
        <w:spacing w:line="48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供应商名称（盖章）：</w:t>
      </w:r>
      <w:r>
        <w:rPr>
          <w:rFonts w:hint="eastAsia" w:ascii="宋体" w:hAnsi="宋体" w:eastAsia="宋体" w:cs="宋体"/>
          <w:bCs/>
          <w:color w:val="auto"/>
          <w:sz w:val="24"/>
          <w:szCs w:val="24"/>
          <w:highlight w:val="none"/>
          <w:u w:val="single"/>
          <w:lang w:val="en-US" w:eastAsia="zh-CN"/>
        </w:rPr>
        <w:t xml:space="preserve">             </w:t>
      </w:r>
    </w:p>
    <w:p w14:paraId="6A80C823">
      <w:pPr>
        <w:snapToGrid w:val="0"/>
        <w:spacing w:line="48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法定代表人（单位负责人）或</w:t>
      </w:r>
      <w:r>
        <w:rPr>
          <w:rFonts w:hint="eastAsia" w:ascii="宋体" w:hAnsi="宋体" w:eastAsia="宋体" w:cs="宋体"/>
          <w:color w:val="auto"/>
          <w:sz w:val="24"/>
          <w:szCs w:val="24"/>
          <w:highlight w:val="none"/>
        </w:rPr>
        <w:t>委托代理人</w:t>
      </w:r>
      <w:r>
        <w:rPr>
          <w:rFonts w:hint="eastAsia" w:ascii="宋体" w:hAnsi="宋体" w:eastAsia="宋体" w:cs="宋体"/>
          <w:bCs/>
          <w:color w:val="auto"/>
          <w:sz w:val="24"/>
          <w:szCs w:val="24"/>
          <w:highlight w:val="none"/>
        </w:rPr>
        <w:t>（签字或盖章）：</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lang w:val="en-US" w:eastAsia="zh-CN"/>
        </w:rPr>
        <w:t xml:space="preserve"> </w:t>
      </w:r>
    </w:p>
    <w:p w14:paraId="5F0461EE">
      <w:pPr>
        <w:snapToGrid w:val="0"/>
        <w:spacing w:line="480" w:lineRule="auto"/>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日期：</w:t>
      </w:r>
      <w:r>
        <w:rPr>
          <w:rFonts w:hint="eastAsia" w:ascii="宋体" w:hAnsi="宋体" w:eastAsia="宋体" w:cs="宋体"/>
          <w:color w:val="auto"/>
          <w:sz w:val="24"/>
          <w:szCs w:val="20"/>
          <w:highlight w:val="none"/>
        </w:rPr>
        <w:t xml:space="preserve">    年   月   日</w:t>
      </w:r>
    </w:p>
    <w:p w14:paraId="0804B861">
      <w:pPr>
        <w:pStyle w:val="25"/>
        <w:tabs>
          <w:tab w:val="left" w:pos="6400"/>
        </w:tabs>
        <w:adjustRightInd w:val="0"/>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br w:type="page"/>
      </w:r>
      <w:bookmarkEnd w:id="288"/>
      <w:bookmarkEnd w:id="289"/>
    </w:p>
    <w:p w14:paraId="653FEAA0">
      <w:pPr>
        <w:pStyle w:val="3"/>
        <w:bidi w:val="0"/>
        <w:jc w:val="center"/>
        <w:rPr>
          <w:rFonts w:hint="eastAsia"/>
          <w:color w:val="auto"/>
          <w:highlight w:val="none"/>
        </w:rPr>
      </w:pPr>
      <w:bookmarkStart w:id="290" w:name="_Toc449027499"/>
      <w:bookmarkStart w:id="291" w:name="_Toc449027585"/>
      <w:bookmarkStart w:id="292" w:name="_Toc388519770"/>
      <w:bookmarkStart w:id="293" w:name="_Toc365563076"/>
      <w:bookmarkStart w:id="294" w:name="_Toc317255555"/>
      <w:bookmarkStart w:id="295" w:name="_Toc419901236"/>
      <w:r>
        <w:rPr>
          <w:rFonts w:hint="eastAsia"/>
          <w:color w:val="auto"/>
          <w:highlight w:val="none"/>
        </w:rPr>
        <w:t>5.资格审查资料</w:t>
      </w:r>
      <w:bookmarkEnd w:id="290"/>
      <w:bookmarkEnd w:id="291"/>
      <w:bookmarkEnd w:id="292"/>
      <w:bookmarkEnd w:id="293"/>
      <w:bookmarkEnd w:id="294"/>
      <w:bookmarkEnd w:id="295"/>
    </w:p>
    <w:p w14:paraId="31EB5034">
      <w:pPr>
        <w:spacing w:line="360" w:lineRule="auto"/>
        <w:ind w:firstLine="616" w:firstLineChars="257"/>
        <w:rPr>
          <w:rFonts w:hint="eastAsia" w:asciiTheme="minorEastAsia" w:hAnsiTheme="minorEastAsia" w:eastAsiaTheme="minorEastAsia" w:cstheme="minorEastAsia"/>
          <w:color w:val="auto"/>
          <w:sz w:val="24"/>
          <w:szCs w:val="24"/>
          <w:highlight w:val="none"/>
        </w:rPr>
      </w:pPr>
      <w:bookmarkStart w:id="296" w:name="_Toc134505104"/>
      <w:bookmarkStart w:id="297" w:name="_Toc128391206"/>
      <w:bookmarkStart w:id="298" w:name="_Toc128391562"/>
      <w:bookmarkStart w:id="299" w:name="_Toc128397559"/>
      <w:r>
        <w:rPr>
          <w:rFonts w:hint="eastAsia" w:asciiTheme="minorEastAsia" w:hAnsiTheme="minorEastAsia" w:eastAsiaTheme="minorEastAsia" w:cstheme="minorEastAsia"/>
          <w:color w:val="auto"/>
          <w:sz w:val="24"/>
          <w:szCs w:val="24"/>
          <w:highlight w:val="none"/>
        </w:rPr>
        <w:t>（1）营业执照扫描件；</w:t>
      </w:r>
    </w:p>
    <w:p w14:paraId="72D1E831">
      <w:pPr>
        <w:spacing w:line="360" w:lineRule="auto"/>
        <w:ind w:firstLine="616" w:firstLineChars="25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（2）法定代表人身份证明及法定代表人授权委托书（法定代表人授权委托书须附法定代表人及委托代理人身份证扫描件）；</w:t>
      </w:r>
    </w:p>
    <w:p w14:paraId="79FA885A">
      <w:pPr>
        <w:jc w:val="center"/>
        <w:rPr>
          <w:rFonts w:hint="eastAsia" w:asciiTheme="minorEastAsia" w:hAnsiTheme="minorEastAsia" w:eastAsiaTheme="minorEastAsia" w:cstheme="minorEastAsia"/>
          <w:b/>
          <w:bCs/>
          <w:color w:val="auto"/>
          <w:sz w:val="24"/>
          <w:szCs w:val="24"/>
          <w:highlight w:val="none"/>
        </w:rPr>
      </w:pPr>
      <w:bookmarkStart w:id="300" w:name="_Toc449027581"/>
      <w:bookmarkStart w:id="301" w:name="_Toc388519766"/>
      <w:bookmarkStart w:id="302" w:name="_Toc449027495"/>
      <w:bookmarkStart w:id="303" w:name="_Toc419901232"/>
      <w:r>
        <w:rPr>
          <w:rFonts w:hint="eastAsia" w:asciiTheme="minorEastAsia" w:hAnsiTheme="minorEastAsia" w:eastAsiaTheme="minorEastAsia" w:cstheme="minorEastAsia"/>
          <w:b/>
          <w:bCs/>
          <w:color w:val="auto"/>
          <w:sz w:val="24"/>
          <w:szCs w:val="24"/>
          <w:highlight w:val="none"/>
        </w:rPr>
        <w:t>法定代表人身份证明</w:t>
      </w:r>
      <w:bookmarkEnd w:id="300"/>
      <w:bookmarkEnd w:id="301"/>
      <w:bookmarkEnd w:id="302"/>
      <w:bookmarkEnd w:id="303"/>
    </w:p>
    <w:p w14:paraId="24A99405">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供应商名称：</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2D68A144">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单位类型：</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7581D17C">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67C0C41F">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成立时间：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p>
    <w:p w14:paraId="1999AEC5">
      <w:pPr>
        <w:spacing w:line="360" w:lineRule="auto"/>
        <w:ind w:firstLine="480" w:firstLineChars="200"/>
        <w:rPr>
          <w:rFonts w:hint="eastAsia"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营业期限：</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14DC6B4D">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姓名：</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性别：</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年龄：</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职务：</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29E95ADA">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系</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（供应商名称）的法定代表人。</w:t>
      </w:r>
    </w:p>
    <w:p w14:paraId="3229BED8">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特此证明。</w:t>
      </w:r>
    </w:p>
    <w:p w14:paraId="22B3B583">
      <w:pPr>
        <w:spacing w:line="600" w:lineRule="auto"/>
        <w:ind w:firstLine="480" w:firstLineChars="200"/>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（盖章）</w:t>
      </w:r>
    </w:p>
    <w:p w14:paraId="096FC759">
      <w:pPr>
        <w:snapToGrid w:val="0"/>
        <w:spacing w:line="600" w:lineRule="auto"/>
        <w:jc w:val="righ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日期：</w:t>
      </w:r>
      <w:r>
        <w:rPr>
          <w:rFonts w:hint="eastAsia" w:asciiTheme="minorEastAsia" w:hAnsiTheme="minorEastAsia" w:eastAsiaTheme="minorEastAsia" w:cstheme="minorEastAsia"/>
          <w:color w:val="auto"/>
          <w:sz w:val="24"/>
          <w:szCs w:val="24"/>
          <w:highlight w:val="none"/>
          <w:u w:val="non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non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none"/>
        </w:rPr>
        <w:t xml:space="preserve">   </w:t>
      </w:r>
      <w:r>
        <w:rPr>
          <w:rFonts w:hint="eastAsia" w:asciiTheme="minorEastAsia" w:hAnsiTheme="minorEastAsia" w:eastAsiaTheme="minorEastAsia" w:cstheme="minorEastAsia"/>
          <w:color w:val="auto"/>
          <w:sz w:val="24"/>
          <w:szCs w:val="24"/>
          <w:highlight w:val="none"/>
        </w:rPr>
        <w:t>日</w:t>
      </w:r>
    </w:p>
    <w:p w14:paraId="234A3DFD">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p>
    <w:p w14:paraId="7BBEEAA5">
      <w:pPr>
        <w:spacing w:line="360" w:lineRule="auto"/>
        <w:ind w:firstLine="480" w:firstLineChars="200"/>
        <w:jc w:val="right"/>
        <w:rPr>
          <w:rFonts w:hint="eastAsia" w:asciiTheme="minorEastAsia" w:hAnsiTheme="minorEastAsia" w:eastAsiaTheme="minorEastAsia" w:cstheme="minorEastAsia"/>
          <w:color w:val="auto"/>
          <w:sz w:val="24"/>
          <w:szCs w:val="24"/>
          <w:highlight w:val="none"/>
        </w:rPr>
      </w:pPr>
    </w:p>
    <w:p w14:paraId="263B94D3">
      <w:pPr>
        <w:jc w:val="center"/>
        <w:rPr>
          <w:rFonts w:hint="eastAsia" w:asciiTheme="minorEastAsia" w:hAnsiTheme="minorEastAsia" w:eastAsiaTheme="minorEastAsia" w:cstheme="minorEastAsia"/>
          <w:b/>
          <w:color w:val="auto"/>
          <w:sz w:val="24"/>
          <w:szCs w:val="24"/>
          <w:highlight w:val="none"/>
        </w:rPr>
      </w:pPr>
      <w:bookmarkStart w:id="304" w:name="_Toc419901234"/>
      <w:bookmarkStart w:id="305" w:name="_Toc449027497"/>
      <w:bookmarkStart w:id="306" w:name="_Toc317255553"/>
      <w:bookmarkStart w:id="307" w:name="_Toc449027583"/>
      <w:bookmarkStart w:id="308" w:name="_Toc365563074"/>
      <w:bookmarkStart w:id="309" w:name="_Toc388519768"/>
      <w:r>
        <w:rPr>
          <w:rFonts w:hint="eastAsia" w:asciiTheme="minorEastAsia" w:hAnsiTheme="minorEastAsia" w:eastAsiaTheme="minorEastAsia" w:cstheme="minorEastAsia"/>
          <w:b/>
          <w:color w:val="auto"/>
          <w:sz w:val="24"/>
          <w:szCs w:val="24"/>
          <w:highlight w:val="none"/>
        </w:rPr>
        <w:t>法定代表人授权委托书</w:t>
      </w:r>
      <w:bookmarkEnd w:id="304"/>
      <w:bookmarkEnd w:id="305"/>
      <w:bookmarkEnd w:id="306"/>
      <w:bookmarkEnd w:id="307"/>
      <w:bookmarkEnd w:id="308"/>
      <w:bookmarkEnd w:id="309"/>
    </w:p>
    <w:p w14:paraId="7A79E31F">
      <w:pPr>
        <w:spacing w:line="360" w:lineRule="auto"/>
        <w:ind w:firstLine="480" w:firstLineChars="200"/>
        <w:rPr>
          <w:rFonts w:hint="eastAsia" w:asciiTheme="minorEastAsia" w:hAnsiTheme="minorEastAsia" w:eastAsiaTheme="minorEastAsia" w:cstheme="minorEastAsia"/>
          <w:color w:val="auto"/>
          <w:sz w:val="24"/>
          <w:szCs w:val="24"/>
          <w:highlight w:val="none"/>
        </w:rPr>
      </w:pPr>
      <w:bookmarkStart w:id="310" w:name="_Toc288203194"/>
      <w:bookmarkStart w:id="311" w:name="_Toc288060355"/>
      <w:r>
        <w:rPr>
          <w:rFonts w:hint="eastAsia" w:asciiTheme="minorEastAsia" w:hAnsiTheme="minorEastAsia" w:eastAsiaTheme="minorEastAsia" w:cstheme="minorEastAsia"/>
          <w:color w:val="auto"/>
          <w:sz w:val="24"/>
          <w:szCs w:val="24"/>
          <w:highlight w:val="none"/>
        </w:rPr>
        <w:t>本授权委托书声明：我</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（姓名）系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（供应商名称）的法定代表人，现授权委托</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（供应商名称）的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（姓名、职务）为我单位授权代理人，以本单位的名义参加</w:t>
      </w:r>
      <w:r>
        <w:rPr>
          <w:rFonts w:hint="eastAsia" w:asciiTheme="minorEastAsia" w:hAnsiTheme="minorEastAsia" w:eastAsiaTheme="minorEastAsia" w:cstheme="minorEastAsia"/>
          <w:color w:val="auto"/>
          <w:sz w:val="24"/>
          <w:szCs w:val="24"/>
          <w:highlight w:val="none"/>
          <w:lang w:eastAsia="zh-CN"/>
        </w:rPr>
        <w:t>河南广信项目管理有限公司</w:t>
      </w:r>
      <w:r>
        <w:rPr>
          <w:rFonts w:hint="eastAsia" w:asciiTheme="minorEastAsia" w:hAnsiTheme="minorEastAsia" w:eastAsiaTheme="minorEastAsia" w:cstheme="minorEastAsia"/>
          <w:color w:val="auto"/>
          <w:sz w:val="24"/>
          <w:szCs w:val="24"/>
          <w:highlight w:val="none"/>
        </w:rPr>
        <w:t>组织的</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rPr>
        <w:t>项目名称</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项目编号     </w:t>
      </w:r>
      <w:r>
        <w:rPr>
          <w:rFonts w:hint="eastAsia" w:asciiTheme="minorEastAsia" w:hAnsiTheme="minorEastAsia" w:eastAsiaTheme="minorEastAsia" w:cstheme="minorEastAsia"/>
          <w:color w:val="auto"/>
          <w:sz w:val="24"/>
          <w:szCs w:val="24"/>
          <w:highlight w:val="none"/>
        </w:rPr>
        <w:t>）的采购活动。委托代理人在磋商过程中所签署的一切文件和处理与之有关的一切事务，我均予以承认。</w:t>
      </w:r>
      <w:bookmarkEnd w:id="310"/>
      <w:bookmarkEnd w:id="311"/>
    </w:p>
    <w:p w14:paraId="67088416">
      <w:pPr>
        <w:spacing w:line="360" w:lineRule="auto"/>
        <w:ind w:firstLine="410" w:firstLineChars="17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授权代理人无转委托权。特此委托。</w:t>
      </w:r>
    </w:p>
    <w:p w14:paraId="3CEAAC31">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委托期限：自委托之日起</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w:t>
      </w:r>
    </w:p>
    <w:p w14:paraId="3810D1C4">
      <w:pPr>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6917F161">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附：法定代表人及委托代理人身份证扫描件（正面、反面）</w:t>
      </w:r>
    </w:p>
    <w:p w14:paraId="7CF2A7CE">
      <w:pPr>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44C74FF8">
      <w:pPr>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2465BD15">
      <w:pPr>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30F78146">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（盖单位章）</w:t>
      </w:r>
    </w:p>
    <w:p w14:paraId="25B88CD9">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法定代表人（签字或盖章）：</w:t>
      </w:r>
      <w:r>
        <w:rPr>
          <w:rFonts w:hint="eastAsia" w:asciiTheme="minorEastAsia" w:hAnsiTheme="minorEastAsia" w:eastAsiaTheme="minorEastAsia" w:cstheme="minorEastAsia"/>
          <w:color w:val="auto"/>
          <w:sz w:val="24"/>
          <w:szCs w:val="24"/>
          <w:highlight w:val="none"/>
          <w:u w:val="single"/>
        </w:rPr>
        <w:t xml:space="preserve">                               </w:t>
      </w:r>
    </w:p>
    <w:p w14:paraId="6179D93A">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身份证号码：</w:t>
      </w:r>
      <w:r>
        <w:rPr>
          <w:rFonts w:hint="eastAsia" w:asciiTheme="minorEastAsia" w:hAnsiTheme="minorEastAsia" w:eastAsiaTheme="minorEastAsia" w:cstheme="minorEastAsia"/>
          <w:color w:val="auto"/>
          <w:sz w:val="24"/>
          <w:szCs w:val="24"/>
          <w:highlight w:val="none"/>
          <w:u w:val="single"/>
        </w:rPr>
        <w:t xml:space="preserve">                                     </w:t>
      </w:r>
    </w:p>
    <w:p w14:paraId="4D95489F">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委托代理人（签字或盖章）：</w:t>
      </w:r>
      <w:r>
        <w:rPr>
          <w:rFonts w:hint="eastAsia" w:asciiTheme="minorEastAsia" w:hAnsiTheme="minorEastAsia" w:eastAsiaTheme="minorEastAsia" w:cstheme="minorEastAsia"/>
          <w:color w:val="auto"/>
          <w:sz w:val="24"/>
          <w:szCs w:val="24"/>
          <w:highlight w:val="none"/>
          <w:u w:val="single"/>
        </w:rPr>
        <w:t xml:space="preserve">                               </w:t>
      </w:r>
    </w:p>
    <w:p w14:paraId="0A5437DE">
      <w:pPr>
        <w:pStyle w:val="25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身份证号码：</w:t>
      </w:r>
      <w:r>
        <w:rPr>
          <w:rFonts w:hint="eastAsia" w:asciiTheme="minorEastAsia" w:hAnsiTheme="minorEastAsia" w:eastAsiaTheme="minorEastAsia" w:cstheme="minorEastAsia"/>
          <w:color w:val="auto"/>
          <w:sz w:val="24"/>
          <w:szCs w:val="24"/>
          <w:highlight w:val="none"/>
          <w:u w:val="single"/>
        </w:rPr>
        <w:t xml:space="preserve">                                     </w:t>
      </w:r>
    </w:p>
    <w:p w14:paraId="3829962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日期：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p>
    <w:p w14:paraId="0C461C36">
      <w:pPr>
        <w:bidi w:val="0"/>
        <w:rPr>
          <w:rFonts w:hint="eastAsia" w:ascii="宋体" w:hAnsi="宋体" w:eastAsia="宋体" w:cs="宋体"/>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br w:type="page"/>
      </w:r>
      <w:bookmarkEnd w:id="296"/>
      <w:bookmarkEnd w:id="297"/>
      <w:bookmarkEnd w:id="298"/>
      <w:bookmarkEnd w:id="299"/>
      <w:bookmarkStart w:id="312" w:name="_Toc388519791"/>
      <w:r>
        <w:rPr>
          <w:rFonts w:hint="eastAsia" w:ascii="宋体" w:hAnsi="宋体" w:eastAsia="宋体" w:cs="宋体"/>
          <w:color w:val="auto"/>
          <w:sz w:val="24"/>
          <w:szCs w:val="24"/>
          <w:highlight w:val="none"/>
        </w:rPr>
        <w:t>（3）具有履行合同所必须的设备和专业技术能力（提供书面承诺书，格式自理）</w:t>
      </w:r>
      <w:r>
        <w:rPr>
          <w:rFonts w:hint="eastAsia" w:ascii="宋体" w:hAnsi="宋体" w:cs="宋体"/>
          <w:color w:val="auto"/>
          <w:sz w:val="24"/>
          <w:szCs w:val="24"/>
          <w:highlight w:val="none"/>
          <w:lang w:eastAsia="zh-CN"/>
        </w:rPr>
        <w:t>；</w:t>
      </w:r>
    </w:p>
    <w:p w14:paraId="5440319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6718B21">
      <w:pPr>
        <w:bidi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（4）具有依法缴纳税收和社会保障资金的良好记录（提供202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年以来连续6个月依法缴纳税收和社会保障资金的证明资料，依法免税或不需要缴纳社会保障资金的投标人，应提供相应文件证明其依法免税或不需要缴纳社会保障资金）</w:t>
      </w:r>
      <w:r>
        <w:rPr>
          <w:rFonts w:hint="eastAsia" w:ascii="宋体" w:hAnsi="宋体" w:eastAsia="宋体" w:cs="宋体"/>
          <w:color w:val="auto"/>
          <w:sz w:val="24"/>
          <w:szCs w:val="24"/>
          <w:highlight w:val="none"/>
          <w:lang w:eastAsia="zh-CN"/>
        </w:rPr>
        <w:t>；</w:t>
      </w:r>
    </w:p>
    <w:p w14:paraId="43D2655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04EA608D">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（5）参加政府采购活动前三年内，在经营活动中没有重大违法记录（提供书面承诺书，格式自理）；</w:t>
      </w:r>
    </w:p>
    <w:p w14:paraId="3275503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2DBFA8E8">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p w14:paraId="13714F24">
      <w:pPr>
        <w:rPr>
          <w:rFonts w:hint="eastAsia" w:cs="宋体"/>
          <w:color w:val="auto"/>
          <w:sz w:val="24"/>
          <w:szCs w:val="24"/>
          <w:highlight w:val="none"/>
          <w:lang w:eastAsia="zh-CN"/>
        </w:rPr>
      </w:pPr>
      <w:r>
        <w:rPr>
          <w:rFonts w:hint="eastAsia" w:cs="宋体"/>
          <w:color w:val="auto"/>
          <w:sz w:val="24"/>
          <w:szCs w:val="24"/>
          <w:highlight w:val="none"/>
          <w:lang w:eastAsia="zh-CN"/>
        </w:rPr>
        <w:br w:type="page"/>
      </w:r>
    </w:p>
    <w:p w14:paraId="3294535B">
      <w:pPr>
        <w:bidi w:val="0"/>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7</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根据《关于在政府采购活动中查询及使用信用记录有关问题的通知》(财库[2016]125 号) 的规定，对列入失信被执行人、</w:t>
      </w:r>
      <w:r>
        <w:rPr>
          <w:rFonts w:hint="eastAsia" w:ascii="宋体" w:hAnsi="宋体" w:eastAsia="宋体" w:cs="宋体"/>
          <w:color w:val="auto"/>
          <w:sz w:val="24"/>
          <w:szCs w:val="20"/>
          <w:highlight w:val="none"/>
        </w:rPr>
        <w:t>重大税收违法失信主体</w:t>
      </w:r>
      <w:r>
        <w:rPr>
          <w:rFonts w:hint="eastAsia" w:ascii="宋体" w:hAnsi="宋体" w:eastAsia="宋体" w:cs="宋体"/>
          <w:color w:val="auto"/>
          <w:sz w:val="24"/>
          <w:szCs w:val="24"/>
          <w:highlight w:val="none"/>
        </w:rPr>
        <w:t>【查询渠道：“信用中国”网站（</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"http://www.creditchina.gov.cn/"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www.creditchina.gov.cn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）】，政府采购严重违法失信行为记录名单【查询渠道：中国政府采购网（www.ccgp.gov.cn）】的供应商，拒绝参与本项目政府采购活动。投标人需提供投标单位信用记录查询结果网页截图。</w:t>
      </w:r>
    </w:p>
    <w:p w14:paraId="3D5AA9B4">
      <w:pPr>
        <w:rPr>
          <w:rFonts w:hint="eastAsia" w:cs="宋体"/>
          <w:color w:val="auto"/>
          <w:sz w:val="24"/>
          <w:szCs w:val="24"/>
          <w:highlight w:val="none"/>
          <w:lang w:eastAsia="zh-CN"/>
        </w:rPr>
      </w:pPr>
      <w:r>
        <w:rPr>
          <w:rFonts w:hint="eastAsia" w:cs="宋体"/>
          <w:color w:val="auto"/>
          <w:sz w:val="24"/>
          <w:szCs w:val="24"/>
          <w:highlight w:val="none"/>
          <w:lang w:eastAsia="zh-CN"/>
        </w:rPr>
        <w:br w:type="page"/>
      </w:r>
    </w:p>
    <w:p w14:paraId="262D3F62">
      <w:pPr>
        <w:bidi w:val="0"/>
        <w:rPr>
          <w:rFonts w:hint="eastAsia" w:ascii="宋体" w:hAnsi="宋体" w:eastAsia="宋体" w:cs="宋体"/>
          <w:color w:val="auto"/>
          <w:sz w:val="24"/>
          <w:szCs w:val="20"/>
          <w:highlight w:val="none"/>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8</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单位负责人为同一人或存在控股、管理关系的不同单位，不得参加同一标段投标，否则相关投标均无效。</w:t>
      </w:r>
    </w:p>
    <w:p w14:paraId="6D063295">
      <w:pPr>
        <w:spacing w:line="360" w:lineRule="auto"/>
        <w:rPr>
          <w:rFonts w:hint="eastAsia" w:asciiTheme="minorEastAsia" w:hAnsiTheme="minorEastAsia" w:eastAsiaTheme="minorEastAsia" w:cstheme="minorEastAsia"/>
          <w:color w:val="auto"/>
          <w:sz w:val="21"/>
          <w:szCs w:val="21"/>
          <w:highlight w:val="none"/>
        </w:rPr>
      </w:pPr>
    </w:p>
    <w:p w14:paraId="6376468B">
      <w:pPr>
        <w:pStyle w:val="24"/>
        <w:rPr>
          <w:rFonts w:hint="eastAsia" w:asciiTheme="minorEastAsia" w:hAnsiTheme="minorEastAsia" w:eastAsiaTheme="minorEastAsia" w:cstheme="minorEastAsia"/>
          <w:color w:val="auto"/>
          <w:sz w:val="24"/>
          <w:szCs w:val="24"/>
          <w:highlight w:val="none"/>
          <w:lang w:eastAsia="zh-CN"/>
        </w:rPr>
      </w:pPr>
    </w:p>
    <w:p w14:paraId="63A17E59">
      <w:pPr>
        <w:pStyle w:val="3"/>
        <w:bidi w:val="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br w:type="page"/>
      </w:r>
      <w:r>
        <w:rPr>
          <w:rFonts w:hint="eastAsia" w:asciiTheme="minorEastAsia" w:hAnsiTheme="minorEastAsia" w:eastAsiaTheme="minorEastAsia" w:cstheme="minorEastAsia"/>
          <w:color w:val="auto"/>
          <w:sz w:val="24"/>
          <w:szCs w:val="24"/>
          <w:highlight w:val="none"/>
        </w:rPr>
        <w:t>6.磋商承诺函</w:t>
      </w:r>
    </w:p>
    <w:p w14:paraId="32DA32B5">
      <w:pPr>
        <w:spacing w:line="360" w:lineRule="auto"/>
        <w:ind w:firstLine="55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我单位就</w:t>
      </w:r>
      <w:r>
        <w:rPr>
          <w:rFonts w:hint="eastAsia" w:asciiTheme="minorEastAsia" w:hAnsiTheme="minorEastAsia" w:eastAsiaTheme="minorEastAsia" w:cstheme="minorEastAsia"/>
          <w:color w:val="auto"/>
          <w:sz w:val="24"/>
          <w:szCs w:val="24"/>
          <w:highlight w:val="none"/>
          <w:u w:val="single"/>
        </w:rPr>
        <w:t xml:space="preserve">   （项目名称） </w:t>
      </w:r>
      <w:r>
        <w:rPr>
          <w:rFonts w:hint="eastAsia" w:asciiTheme="minorEastAsia" w:hAnsiTheme="minorEastAsia" w:eastAsiaTheme="minorEastAsia" w:cstheme="minorEastAsia"/>
          <w:color w:val="auto"/>
          <w:sz w:val="24"/>
          <w:szCs w:val="24"/>
          <w:highlight w:val="none"/>
        </w:rPr>
        <w:t>作如下承诺：</w:t>
      </w:r>
    </w:p>
    <w:p w14:paraId="3515BAB2">
      <w:pPr>
        <w:spacing w:line="360" w:lineRule="auto"/>
        <w:ind w:firstLine="55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承诺事项：</w:t>
      </w:r>
    </w:p>
    <w:p w14:paraId="15433C6C">
      <w:pPr>
        <w:spacing w:line="360" w:lineRule="auto"/>
        <w:ind w:firstLine="55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（1）我单位参加本次采购活动，不存在与单位负责人为同一人或者存在直接控股管理关系的其他供应商参与同一合同项下的投标活动行为；</w:t>
      </w:r>
    </w:p>
    <w:p w14:paraId="43ECFE67">
      <w:pPr>
        <w:spacing w:line="360" w:lineRule="auto"/>
        <w:ind w:firstLine="555"/>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（2）我单位在本次响应文件中提供的所有内容、资料、陈述是真实的、有效的、合法的；</w:t>
      </w:r>
      <w:r>
        <w:rPr>
          <w:rFonts w:hint="eastAsia" w:asciiTheme="minorEastAsia" w:hAnsiTheme="minorEastAsia" w:eastAsiaTheme="minorEastAsia" w:cstheme="minorEastAsia"/>
          <w:color w:val="auto"/>
          <w:sz w:val="24"/>
          <w:szCs w:val="24"/>
          <w:highlight w:val="none"/>
          <w:lang w:val="en-US" w:eastAsia="zh-CN"/>
        </w:rPr>
        <w:t>我单位不存在磋商文件“供应商须知前附表第23条”规定的响应文件无效的情形；</w:t>
      </w:r>
    </w:p>
    <w:p w14:paraId="61FEE0BF">
      <w:pPr>
        <w:spacing w:line="360" w:lineRule="auto"/>
        <w:ind w:firstLine="55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（3）若我单位成交，我方保证在领取成交通知书前按照竞争性磋商文件要求向采购代理机构缴纳成交服务费；</w:t>
      </w:r>
    </w:p>
    <w:p w14:paraId="02BFC1CB">
      <w:pPr>
        <w:spacing w:line="360" w:lineRule="auto"/>
        <w:ind w:firstLine="55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（4）若我单位成交，我方保证在成交通知书规定的时间内签订合同。</w:t>
      </w:r>
    </w:p>
    <w:p w14:paraId="5AF228CE">
      <w:pPr>
        <w:spacing w:line="360" w:lineRule="auto"/>
        <w:ind w:firstLine="555"/>
        <w:rPr>
          <w:rFonts w:hint="eastAsia" w:asciiTheme="minorEastAsia" w:hAnsiTheme="minorEastAsia" w:eastAsiaTheme="minorEastAsia" w:cstheme="minorEastAsia"/>
          <w:color w:val="auto"/>
          <w:sz w:val="24"/>
          <w:szCs w:val="24"/>
          <w:highlight w:val="none"/>
          <w:lang w:eastAsia="zh-CN"/>
        </w:rPr>
      </w:pPr>
    </w:p>
    <w:p w14:paraId="1F877FE2">
      <w:pPr>
        <w:spacing w:line="360" w:lineRule="auto"/>
        <w:ind w:firstLine="55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若我单位违背以上承诺，采购人可取消我单位成交资格，且产生的一切法律后果和责任由我单位承担。</w:t>
      </w:r>
    </w:p>
    <w:p w14:paraId="503B3571">
      <w:pPr>
        <w:spacing w:line="360" w:lineRule="auto"/>
        <w:ind w:firstLine="555"/>
        <w:rPr>
          <w:rFonts w:hint="eastAsia" w:asciiTheme="minorEastAsia" w:hAnsiTheme="minorEastAsia" w:eastAsiaTheme="minorEastAsia" w:cstheme="minorEastAsia"/>
          <w:color w:val="auto"/>
          <w:sz w:val="24"/>
          <w:szCs w:val="24"/>
          <w:highlight w:val="none"/>
        </w:rPr>
      </w:pPr>
    </w:p>
    <w:p w14:paraId="606BA264">
      <w:pPr>
        <w:pStyle w:val="16"/>
        <w:wordWrap w:val="0"/>
        <w:adjustRightInd w:val="0"/>
        <w:snapToGrid w:val="0"/>
        <w:spacing w:before="100" w:beforeLines="50" w:beforeAutospacing="1" w:after="100" w:afterLines="50" w:afterAutospacing="1"/>
        <w:ind w:right="42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供应商名称（盖章）：</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4406F2BE">
      <w:pPr>
        <w:pStyle w:val="16"/>
        <w:wordWrap w:val="0"/>
        <w:adjustRightInd w:val="0"/>
        <w:snapToGrid w:val="0"/>
        <w:spacing w:before="100" w:beforeLines="50" w:beforeAutospacing="1" w:after="100" w:afterLines="50" w:afterAutospacing="1"/>
        <w:ind w:right="42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供应商法定代表人</w:t>
      </w:r>
      <w:r>
        <w:rPr>
          <w:rFonts w:hint="eastAsia" w:asciiTheme="minorEastAsia" w:hAnsiTheme="minorEastAsia" w:eastAsiaTheme="minorEastAsia" w:cstheme="minorEastAsia"/>
          <w:color w:val="auto"/>
          <w:sz w:val="24"/>
          <w:szCs w:val="24"/>
          <w:highlight w:val="none"/>
          <w:lang w:val="en-US" w:eastAsia="zh-CN"/>
        </w:rPr>
        <w:t>或委托代理人</w:t>
      </w:r>
      <w:r>
        <w:rPr>
          <w:rFonts w:hint="eastAsia" w:asciiTheme="minorEastAsia" w:hAnsiTheme="minorEastAsia" w:eastAsiaTheme="minorEastAsia" w:cstheme="minorEastAsia"/>
          <w:color w:val="auto"/>
          <w:sz w:val="24"/>
          <w:szCs w:val="24"/>
          <w:highlight w:val="none"/>
        </w:rPr>
        <w:t>（签字或盖章）：</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2ADD9E1A">
      <w:pPr>
        <w:pStyle w:val="259"/>
        <w:tabs>
          <w:tab w:val="left" w:pos="748"/>
        </w:tabs>
        <w:autoSpaceDE w:val="0"/>
        <w:autoSpaceDN w:val="0"/>
        <w:spacing w:before="1" w:line="48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    年   月   日</w:t>
      </w:r>
    </w:p>
    <w:p w14:paraId="208B0043">
      <w:pPr>
        <w:pStyle w:val="33"/>
        <w:spacing w:line="360" w:lineRule="auto"/>
        <w:jc w:val="center"/>
        <w:rPr>
          <w:rFonts w:hint="eastAsia" w:asciiTheme="minorEastAsia" w:hAnsiTheme="minorEastAsia" w:eastAsiaTheme="minorEastAsia" w:cstheme="minorEastAsia"/>
          <w:b/>
          <w:bCs/>
          <w:color w:val="auto"/>
          <w:sz w:val="24"/>
          <w:szCs w:val="24"/>
          <w:highlight w:val="none"/>
        </w:rPr>
      </w:pPr>
    </w:p>
    <w:p w14:paraId="55AE2E8A">
      <w:pPr>
        <w:pStyle w:val="3"/>
        <w:bidi w:val="0"/>
        <w:ind w:left="0" w:leftChars="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br w:type="page"/>
      </w:r>
      <w:r>
        <w:rPr>
          <w:rFonts w:hint="eastAsia" w:asciiTheme="minorEastAsia" w:hAnsiTheme="minorEastAsia" w:eastAsiaTheme="minorEastAsia" w:cstheme="minorEastAsia"/>
          <w:color w:val="auto"/>
          <w:sz w:val="24"/>
          <w:szCs w:val="24"/>
          <w:highlight w:val="none"/>
        </w:rPr>
        <w:t>7.商务评分资料</w:t>
      </w:r>
    </w:p>
    <w:p w14:paraId="6E97DB7B">
      <w:pPr>
        <w:pStyle w:val="33"/>
        <w:spacing w:line="520" w:lineRule="exact"/>
        <w:rPr>
          <w:rFonts w:hint="eastAsia" w:asciiTheme="minorEastAsia" w:hAnsiTheme="minorEastAsia" w:eastAsiaTheme="minorEastAsia" w:cstheme="minorEastAsia"/>
          <w:b/>
          <w:color w:val="auto"/>
          <w:sz w:val="24"/>
          <w:szCs w:val="24"/>
          <w:highlight w:val="none"/>
        </w:rPr>
      </w:pPr>
    </w:p>
    <w:p w14:paraId="72E6935E">
      <w:pPr>
        <w:pStyle w:val="3"/>
        <w:bidi w:val="0"/>
        <w:ind w:left="0" w:leftChars="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r>
        <w:rPr>
          <w:rFonts w:hint="eastAsia" w:asciiTheme="minorEastAsia" w:hAnsiTheme="minorEastAsia" w:eastAsiaTheme="minorEastAsia" w:cstheme="minorEastAsia"/>
          <w:color w:val="auto"/>
          <w:sz w:val="24"/>
          <w:szCs w:val="24"/>
          <w:highlight w:val="none"/>
        </w:rPr>
        <w:t>8.技术评分资料</w:t>
      </w:r>
    </w:p>
    <w:p w14:paraId="0811A2F5">
      <w:pPr>
        <w:pStyle w:val="33"/>
        <w:spacing w:line="520" w:lineRule="exact"/>
        <w:rPr>
          <w:rFonts w:hint="eastAsia" w:asciiTheme="minorEastAsia" w:hAnsiTheme="minorEastAsia" w:eastAsiaTheme="minorEastAsia" w:cstheme="minorEastAsia"/>
          <w:b/>
          <w:color w:val="auto"/>
          <w:sz w:val="24"/>
          <w:szCs w:val="24"/>
          <w:highlight w:val="none"/>
        </w:rPr>
      </w:pPr>
    </w:p>
    <w:p w14:paraId="3F34B2A0">
      <w:pPr>
        <w:pStyle w:val="33"/>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p>
    <w:bookmarkEnd w:id="312"/>
    <w:p w14:paraId="7CF96A3E">
      <w:pPr>
        <w:pStyle w:val="16"/>
        <w:spacing w:line="360" w:lineRule="auto"/>
        <w:ind w:firstLine="422"/>
        <w:jc w:val="center"/>
        <w:rPr>
          <w:rFonts w:hint="eastAsia" w:asciiTheme="minorEastAsia" w:hAnsiTheme="minorEastAsia" w:eastAsiaTheme="minorEastAsia" w:cstheme="minorEastAsia"/>
          <w:b/>
          <w:color w:val="auto"/>
          <w:sz w:val="24"/>
          <w:szCs w:val="24"/>
          <w:highlight w:val="none"/>
        </w:rPr>
      </w:pPr>
      <w:bookmarkStart w:id="313" w:name="_Toc419901263"/>
      <w:bookmarkStart w:id="314" w:name="_Toc449027514"/>
      <w:bookmarkStart w:id="315" w:name="_Toc388519794"/>
      <w:bookmarkStart w:id="316" w:name="_Toc449027600"/>
      <w:r>
        <w:rPr>
          <w:rFonts w:hint="eastAsia" w:asciiTheme="minorEastAsia" w:hAnsiTheme="minorEastAsia" w:eastAsiaTheme="minorEastAsia" w:cstheme="minorEastAsia"/>
          <w:b/>
          <w:color w:val="auto"/>
          <w:sz w:val="24"/>
          <w:szCs w:val="24"/>
          <w:highlight w:val="none"/>
          <w:lang w:val="en-US" w:eastAsia="zh-CN"/>
        </w:rPr>
        <w:t>9</w:t>
      </w:r>
      <w:r>
        <w:rPr>
          <w:rFonts w:hint="eastAsia" w:asciiTheme="minorEastAsia" w:hAnsiTheme="minorEastAsia" w:eastAsiaTheme="minorEastAsia" w:cstheme="minorEastAsia"/>
          <w:b/>
          <w:color w:val="auto"/>
          <w:sz w:val="24"/>
          <w:szCs w:val="24"/>
          <w:highlight w:val="none"/>
        </w:rPr>
        <w:t>.反商业贿赂承诺书</w:t>
      </w:r>
      <w:bookmarkEnd w:id="313"/>
      <w:bookmarkEnd w:id="314"/>
      <w:bookmarkEnd w:id="315"/>
      <w:bookmarkEnd w:id="316"/>
    </w:p>
    <w:p w14:paraId="7A4367F8">
      <w:pPr>
        <w:autoSpaceDE w:val="0"/>
        <w:autoSpaceDN w:val="0"/>
        <w:adjustRightInd w:val="0"/>
        <w:spacing w:line="360" w:lineRule="auto"/>
        <w:rPr>
          <w:rFonts w:hint="eastAsia" w:asciiTheme="minorEastAsia" w:hAnsiTheme="minorEastAsia" w:eastAsiaTheme="minorEastAsia" w:cstheme="minorEastAsia"/>
          <w:bCs/>
          <w:color w:val="auto"/>
          <w:spacing w:val="10"/>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我公司承诺</w:t>
      </w:r>
      <w:r>
        <w:rPr>
          <w:rFonts w:hint="eastAsia" w:asciiTheme="minorEastAsia" w:hAnsiTheme="minorEastAsia" w:eastAsiaTheme="minorEastAsia" w:cstheme="minorEastAsia"/>
          <w:bCs/>
          <w:color w:val="auto"/>
          <w:spacing w:val="10"/>
          <w:kern w:val="0"/>
          <w:sz w:val="24"/>
          <w:szCs w:val="24"/>
          <w:highlight w:val="none"/>
        </w:rPr>
        <w:t>：</w:t>
      </w:r>
    </w:p>
    <w:p w14:paraId="279E29CD">
      <w:pPr>
        <w:autoSpaceDE w:val="0"/>
        <w:autoSpaceDN w:val="0"/>
        <w:adjustRightInd w:val="0"/>
        <w:spacing w:line="360" w:lineRule="auto"/>
        <w:ind w:firstLine="480" w:firstLineChars="20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在</w:t>
      </w:r>
      <w:r>
        <w:rPr>
          <w:rFonts w:hint="eastAsia" w:asciiTheme="minorEastAsia" w:hAnsiTheme="minorEastAsia" w:eastAsiaTheme="minorEastAsia" w:cstheme="minorEastAsia"/>
          <w:bCs/>
          <w:color w:val="auto"/>
          <w:kern w:val="0"/>
          <w:sz w:val="24"/>
          <w:szCs w:val="24"/>
          <w:highlight w:val="none"/>
          <w:u w:val="single"/>
          <w:lang w:eastAsia="zh-CN"/>
        </w:rPr>
        <w:t>郑州市上街区教育局采购智慧黑板及教室护眼灯设备项目</w:t>
      </w:r>
      <w:r>
        <w:rPr>
          <w:rFonts w:hint="eastAsia" w:asciiTheme="minorEastAsia" w:hAnsiTheme="minorEastAsia" w:eastAsiaTheme="minorEastAsia" w:cstheme="minorEastAsia"/>
          <w:bCs/>
          <w:color w:val="auto"/>
          <w:kern w:val="0"/>
          <w:sz w:val="24"/>
          <w:szCs w:val="24"/>
          <w:highlight w:val="none"/>
        </w:rPr>
        <w:t>竞争性磋商活动中，我公司保证做到：</w:t>
      </w:r>
    </w:p>
    <w:p w14:paraId="48486995">
      <w:pPr>
        <w:autoSpaceDE w:val="0"/>
        <w:autoSpaceDN w:val="0"/>
        <w:adjustRightInd w:val="0"/>
        <w:spacing w:line="360" w:lineRule="auto"/>
        <w:ind w:firstLine="480" w:firstLineChars="20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一、公平竞争参加本次磋商活动。</w:t>
      </w:r>
    </w:p>
    <w:p w14:paraId="5CA2ECB0">
      <w:pPr>
        <w:autoSpaceDE w:val="0"/>
        <w:autoSpaceDN w:val="0"/>
        <w:adjustRightInd w:val="0"/>
        <w:spacing w:line="360" w:lineRule="auto"/>
        <w:ind w:firstLine="480" w:firstLineChars="20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二、杜绝任何形式的商业贿赂行为。不向国家工作人员、政府招标代理机构工作人员、评审专家及其亲属提供礼品礼金、有价证券、购物券、回扣、佣金、咨询费、劳务费、赞助费、宣传费、宴请；不为其报销各种消费凭证，不支付其旅游、娱乐等费用。</w:t>
      </w:r>
    </w:p>
    <w:p w14:paraId="2FD3544F">
      <w:pPr>
        <w:autoSpaceDE w:val="0"/>
        <w:autoSpaceDN w:val="0"/>
        <w:adjustRightInd w:val="0"/>
        <w:spacing w:line="360" w:lineRule="auto"/>
        <w:ind w:firstLine="480" w:firstLineChars="20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三、若出现上述行为，我公司及参与磋商的工作人员愿意接受按照国家法律法规等有关规定给予的处罚。</w:t>
      </w:r>
    </w:p>
    <w:p w14:paraId="14AEA3E6">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p>
    <w:p w14:paraId="729A2F1C">
      <w:pPr>
        <w:autoSpaceDE w:val="0"/>
        <w:autoSpaceDN w:val="0"/>
        <w:adjustRightInd w:val="0"/>
        <w:spacing w:line="360" w:lineRule="auto"/>
        <w:ind w:firstLine="480" w:firstLineChars="200"/>
        <w:jc w:val="left"/>
        <w:rPr>
          <w:rFonts w:hint="eastAsia" w:asciiTheme="minorEastAsia" w:hAnsiTheme="minorEastAsia" w:eastAsiaTheme="minorEastAsia" w:cstheme="minorEastAsia"/>
          <w:bCs/>
          <w:color w:val="auto"/>
          <w:kern w:val="0"/>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供应商名称</w:t>
      </w:r>
      <w:r>
        <w:rPr>
          <w:rFonts w:hint="eastAsia" w:asciiTheme="minorEastAsia" w:hAnsiTheme="minorEastAsia" w:eastAsiaTheme="minorEastAsia" w:cstheme="minorEastAsia"/>
          <w:bCs/>
          <w:color w:val="auto"/>
          <w:kern w:val="0"/>
          <w:sz w:val="24"/>
          <w:szCs w:val="24"/>
          <w:highlight w:val="none"/>
        </w:rPr>
        <w:t>（</w:t>
      </w:r>
      <w:r>
        <w:rPr>
          <w:rFonts w:hint="eastAsia" w:asciiTheme="minorEastAsia" w:hAnsiTheme="minorEastAsia" w:eastAsiaTheme="minorEastAsia" w:cstheme="minorEastAsia"/>
          <w:color w:val="auto"/>
          <w:sz w:val="24"/>
          <w:szCs w:val="24"/>
          <w:highlight w:val="none"/>
        </w:rPr>
        <w:t>盖章</w:t>
      </w:r>
      <w:r>
        <w:rPr>
          <w:rFonts w:hint="eastAsia" w:asciiTheme="minorEastAsia" w:hAnsiTheme="minorEastAsia" w:eastAsiaTheme="minorEastAsia" w:cstheme="minorEastAsia"/>
          <w:bCs/>
          <w:color w:val="auto"/>
          <w:kern w:val="0"/>
          <w:sz w:val="24"/>
          <w:szCs w:val="24"/>
          <w:highlight w:val="none"/>
        </w:rPr>
        <w:t>）：</w:t>
      </w:r>
      <w:r>
        <w:rPr>
          <w:rFonts w:hint="eastAsia" w:asciiTheme="minorEastAsia" w:hAnsiTheme="minorEastAsia" w:eastAsiaTheme="minorEastAsia" w:cstheme="minorEastAsia"/>
          <w:bCs/>
          <w:color w:val="auto"/>
          <w:kern w:val="0"/>
          <w:sz w:val="24"/>
          <w:szCs w:val="24"/>
          <w:highlight w:val="none"/>
          <w:u w:val="single"/>
          <w:lang w:val="en-US" w:eastAsia="zh-CN"/>
        </w:rPr>
        <w:t xml:space="preserve">               </w:t>
      </w:r>
    </w:p>
    <w:p w14:paraId="71BC15CE">
      <w:pPr>
        <w:autoSpaceDE w:val="0"/>
        <w:autoSpaceDN w:val="0"/>
        <w:adjustRightInd w:val="0"/>
        <w:spacing w:line="360" w:lineRule="auto"/>
        <w:ind w:firstLine="480" w:firstLineChars="200"/>
        <w:rPr>
          <w:rFonts w:hint="eastAsia" w:asciiTheme="minorEastAsia" w:hAnsiTheme="minorEastAsia" w:eastAsiaTheme="minorEastAsia" w:cstheme="minorEastAsia"/>
          <w:bCs/>
          <w:color w:val="auto"/>
          <w:kern w:val="0"/>
          <w:sz w:val="24"/>
          <w:szCs w:val="24"/>
          <w:highlight w:val="none"/>
        </w:rPr>
      </w:pPr>
    </w:p>
    <w:p w14:paraId="6FD335A1">
      <w:pPr>
        <w:autoSpaceDE w:val="0"/>
        <w:autoSpaceDN w:val="0"/>
        <w:adjustRightInd w:val="0"/>
        <w:spacing w:line="360" w:lineRule="auto"/>
        <w:ind w:firstLine="480" w:firstLineChars="200"/>
        <w:rPr>
          <w:rFonts w:hint="eastAsia" w:asciiTheme="minorEastAsia" w:hAnsiTheme="minorEastAsia" w:eastAsiaTheme="minorEastAsia" w:cstheme="minorEastAsia"/>
          <w:bCs/>
          <w:color w:val="auto"/>
          <w:kern w:val="0"/>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法定代表人或委托代理人（签字或盖章）：</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74E6411C">
      <w:pPr>
        <w:autoSpaceDE w:val="0"/>
        <w:autoSpaceDN w:val="0"/>
        <w:adjustRightInd w:val="0"/>
        <w:spacing w:line="360" w:lineRule="auto"/>
        <w:jc w:val="left"/>
        <w:rPr>
          <w:rFonts w:hint="eastAsia" w:asciiTheme="minorEastAsia" w:hAnsiTheme="minorEastAsia" w:eastAsiaTheme="minorEastAsia" w:cstheme="minorEastAsia"/>
          <w:bCs/>
          <w:color w:val="auto"/>
          <w:kern w:val="0"/>
          <w:sz w:val="24"/>
          <w:szCs w:val="24"/>
          <w:highlight w:val="none"/>
        </w:rPr>
      </w:pPr>
    </w:p>
    <w:p w14:paraId="4B5DD694">
      <w:pPr>
        <w:pStyle w:val="259"/>
        <w:tabs>
          <w:tab w:val="left" w:pos="748"/>
        </w:tabs>
        <w:autoSpaceDE w:val="0"/>
        <w:autoSpaceDN w:val="0"/>
        <w:spacing w:before="1" w:line="480" w:lineRule="auto"/>
        <w:rPr>
          <w:rFonts w:hint="eastAsia" w:asciiTheme="minorEastAsia" w:hAnsiTheme="minorEastAsia" w:eastAsiaTheme="minorEastAsia" w:cstheme="minorEastAsia"/>
          <w:color w:val="auto"/>
          <w:sz w:val="24"/>
          <w:szCs w:val="24"/>
          <w:highlight w:val="none"/>
        </w:rPr>
      </w:pPr>
      <w:bookmarkStart w:id="317" w:name="_Toc388519795"/>
      <w:bookmarkStart w:id="318" w:name="_Toc419901264"/>
      <w:r>
        <w:rPr>
          <w:rFonts w:hint="eastAsia" w:asciiTheme="minorEastAsia" w:hAnsiTheme="minorEastAsia" w:eastAsiaTheme="minorEastAsia" w:cstheme="minorEastAsia"/>
          <w:color w:val="auto"/>
          <w:sz w:val="24"/>
          <w:szCs w:val="24"/>
          <w:highlight w:val="none"/>
        </w:rPr>
        <w:t>日期：    年   月   日</w:t>
      </w:r>
    </w:p>
    <w:p w14:paraId="19862088">
      <w:pPr>
        <w:pStyle w:val="25"/>
        <w:tabs>
          <w:tab w:val="left" w:pos="6400"/>
        </w:tabs>
        <w:adjustRightInd w:val="0"/>
        <w:snapToGrid w:val="0"/>
        <w:spacing w:line="360" w:lineRule="auto"/>
        <w:ind w:left="0" w:leftChars="0"/>
        <w:rPr>
          <w:rFonts w:hint="eastAsia" w:asciiTheme="minorEastAsia" w:hAnsiTheme="minorEastAsia" w:eastAsiaTheme="minorEastAsia" w:cstheme="minorEastAsia"/>
          <w:b/>
          <w:color w:val="auto"/>
          <w:sz w:val="24"/>
          <w:szCs w:val="24"/>
          <w:highlight w:val="none"/>
        </w:rPr>
      </w:pPr>
    </w:p>
    <w:p w14:paraId="258BE457">
      <w:pPr>
        <w:jc w:val="center"/>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br w:type="page"/>
      </w:r>
      <w:bookmarkEnd w:id="317"/>
      <w:bookmarkEnd w:id="318"/>
      <w:r>
        <w:rPr>
          <w:rFonts w:hint="eastAsia" w:asciiTheme="minorEastAsia" w:hAnsiTheme="minorEastAsia" w:eastAsiaTheme="minorEastAsia" w:cstheme="minorEastAsia"/>
          <w:b/>
          <w:color w:val="auto"/>
          <w:sz w:val="24"/>
          <w:szCs w:val="24"/>
          <w:highlight w:val="none"/>
        </w:rPr>
        <w:t>10.中小企业声明函</w:t>
      </w:r>
      <w:r>
        <w:rPr>
          <w:rFonts w:hint="eastAsia" w:asciiTheme="minorEastAsia" w:hAnsiTheme="minorEastAsia" w:eastAsiaTheme="minorEastAsia" w:cstheme="minorEastAsia"/>
          <w:b/>
          <w:color w:val="auto"/>
          <w:sz w:val="24"/>
          <w:szCs w:val="24"/>
          <w:highlight w:val="none"/>
          <w:lang w:eastAsia="zh-CN"/>
        </w:rPr>
        <w:t>（大型企业可不提供此项）</w:t>
      </w:r>
    </w:p>
    <w:p w14:paraId="42E817BA">
      <w:pPr>
        <w:pStyle w:val="24"/>
        <w:spacing w:line="328" w:lineRule="auto"/>
        <w:ind w:right="420" w:firstLine="708"/>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本公司郑重声明，根据《政府采购促进中小企业发展管理办法》（财库﹝2020﹞46 号）的规定，本公司参加</w:t>
      </w:r>
      <w:r>
        <w:rPr>
          <w:rFonts w:hint="eastAsia" w:asciiTheme="minorEastAsia" w:hAnsiTheme="minorEastAsia" w:eastAsiaTheme="minorEastAsia" w:cstheme="minorEastAsia"/>
          <w:color w:val="auto"/>
          <w:spacing w:val="-4"/>
          <w:sz w:val="24"/>
          <w:szCs w:val="24"/>
          <w:highlight w:val="none"/>
          <w:u w:val="single"/>
        </w:rPr>
        <w:t xml:space="preserve"> 郑州市上街区教育局</w:t>
      </w:r>
      <w:r>
        <w:rPr>
          <w:rFonts w:hint="eastAsia" w:asciiTheme="minorEastAsia" w:hAnsiTheme="minorEastAsia" w:eastAsiaTheme="minorEastAsia" w:cstheme="minorEastAsia"/>
          <w:color w:val="auto"/>
          <w:spacing w:val="-4"/>
          <w:sz w:val="24"/>
          <w:szCs w:val="24"/>
          <w:highlight w:val="none"/>
        </w:rPr>
        <w:t>的</w:t>
      </w:r>
      <w:r>
        <w:rPr>
          <w:rFonts w:hint="eastAsia" w:asciiTheme="minorEastAsia" w:hAnsiTheme="minorEastAsia" w:eastAsiaTheme="minorEastAsia" w:cstheme="minorEastAsia"/>
          <w:color w:val="auto"/>
          <w:spacing w:val="-4"/>
          <w:sz w:val="24"/>
          <w:szCs w:val="24"/>
          <w:highlight w:val="none"/>
          <w:u w:val="single"/>
          <w:lang w:eastAsia="zh-CN"/>
        </w:rPr>
        <w:t>郑州市上街区教育局采购智慧黑板及教室护眼灯设备项目</w:t>
      </w:r>
      <w:r>
        <w:rPr>
          <w:rFonts w:hint="eastAsia" w:asciiTheme="minorEastAsia" w:hAnsiTheme="minorEastAsia" w:eastAsiaTheme="minorEastAsia" w:cstheme="minorEastAsia"/>
          <w:color w:val="auto"/>
          <w:spacing w:val="-4"/>
          <w:sz w:val="24"/>
          <w:szCs w:val="24"/>
          <w:highlight w:val="none"/>
        </w:rPr>
        <w:t>采购活动，提供的货物全部由符合政策要求的中小企业制造。相关企业（含联合体中的中小企业、签订分包意向协议的中小企业）的具体情况如下：</w:t>
      </w:r>
    </w:p>
    <w:p w14:paraId="31C6CCD6">
      <w:pPr>
        <w:pStyle w:val="24"/>
        <w:spacing w:line="328" w:lineRule="auto"/>
        <w:ind w:right="420" w:firstLine="708"/>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 xml:space="preserve">1. </w:t>
      </w:r>
      <w:r>
        <w:rPr>
          <w:rFonts w:hint="eastAsia" w:asciiTheme="minorEastAsia" w:hAnsiTheme="minorEastAsia" w:eastAsiaTheme="minorEastAsia" w:cstheme="minorEastAsia"/>
          <w:color w:val="auto"/>
          <w:spacing w:val="-4"/>
          <w:sz w:val="24"/>
          <w:szCs w:val="24"/>
          <w:highlight w:val="none"/>
          <w:u w:val="single"/>
        </w:rPr>
        <w:t>（标的名称）</w:t>
      </w:r>
      <w:r>
        <w:rPr>
          <w:rFonts w:hint="eastAsia" w:asciiTheme="minorEastAsia" w:hAnsiTheme="minorEastAsia" w:eastAsiaTheme="minorEastAsia" w:cstheme="minorEastAsia"/>
          <w:color w:val="auto"/>
          <w:spacing w:val="-4"/>
          <w:sz w:val="24"/>
          <w:szCs w:val="24"/>
          <w:highlight w:val="none"/>
        </w:rPr>
        <w:t xml:space="preserve"> ，属于</w:t>
      </w:r>
      <w:r>
        <w:rPr>
          <w:rFonts w:hint="eastAsia" w:asciiTheme="minorEastAsia" w:hAnsiTheme="minorEastAsia" w:eastAsiaTheme="minorEastAsia" w:cstheme="minorEastAsia"/>
          <w:color w:val="auto"/>
          <w:spacing w:val="-4"/>
          <w:sz w:val="24"/>
          <w:szCs w:val="24"/>
          <w:highlight w:val="none"/>
          <w:u w:val="single"/>
        </w:rPr>
        <w:t xml:space="preserve">工业  </w:t>
      </w:r>
      <w:r>
        <w:rPr>
          <w:rFonts w:hint="eastAsia" w:asciiTheme="minorEastAsia" w:hAnsiTheme="minorEastAsia" w:eastAsiaTheme="minorEastAsia" w:cstheme="minorEastAsia"/>
          <w:color w:val="auto"/>
          <w:spacing w:val="-4"/>
          <w:sz w:val="24"/>
          <w:szCs w:val="24"/>
          <w:highlight w:val="none"/>
        </w:rPr>
        <w:t>行业 ；制造商为</w:t>
      </w:r>
      <w:r>
        <w:rPr>
          <w:rFonts w:hint="eastAsia" w:asciiTheme="minorEastAsia" w:hAnsiTheme="minorEastAsia" w:eastAsiaTheme="minorEastAsia" w:cstheme="minorEastAsia"/>
          <w:color w:val="auto"/>
          <w:spacing w:val="-4"/>
          <w:sz w:val="24"/>
          <w:szCs w:val="24"/>
          <w:highlight w:val="none"/>
          <w:u w:val="single"/>
        </w:rPr>
        <w:t xml:space="preserve"> （企业名称）</w:t>
      </w:r>
      <w:r>
        <w:rPr>
          <w:rFonts w:hint="eastAsia" w:asciiTheme="minorEastAsia" w:hAnsiTheme="minorEastAsia" w:eastAsiaTheme="minorEastAsia" w:cstheme="minorEastAsia"/>
          <w:color w:val="auto"/>
          <w:spacing w:val="-4"/>
          <w:sz w:val="24"/>
          <w:szCs w:val="24"/>
          <w:highlight w:val="none"/>
        </w:rPr>
        <w:t xml:space="preserve"> ，从业人员</w:t>
      </w:r>
      <w:r>
        <w:rPr>
          <w:rFonts w:hint="eastAsia" w:asciiTheme="minorEastAsia" w:hAnsiTheme="minorEastAsia" w:eastAsiaTheme="minorEastAsia" w:cstheme="minorEastAsia"/>
          <w:color w:val="auto"/>
          <w:spacing w:val="-4"/>
          <w:sz w:val="24"/>
          <w:szCs w:val="24"/>
          <w:highlight w:val="none"/>
          <w:u w:val="single"/>
        </w:rPr>
        <w:t xml:space="preserve">      </w:t>
      </w:r>
      <w:r>
        <w:rPr>
          <w:rFonts w:hint="eastAsia" w:asciiTheme="minorEastAsia" w:hAnsiTheme="minorEastAsia" w:eastAsiaTheme="minorEastAsia" w:cstheme="minorEastAsia"/>
          <w:color w:val="auto"/>
          <w:spacing w:val="-4"/>
          <w:sz w:val="24"/>
          <w:szCs w:val="24"/>
          <w:highlight w:val="none"/>
        </w:rPr>
        <w:t>人，营业收入为</w:t>
      </w:r>
      <w:r>
        <w:rPr>
          <w:rFonts w:hint="eastAsia" w:asciiTheme="minorEastAsia" w:hAnsiTheme="minorEastAsia" w:eastAsiaTheme="minorEastAsia" w:cstheme="minorEastAsia"/>
          <w:color w:val="auto"/>
          <w:spacing w:val="-4"/>
          <w:sz w:val="24"/>
          <w:szCs w:val="24"/>
          <w:highlight w:val="none"/>
          <w:u w:val="single"/>
        </w:rPr>
        <w:t xml:space="preserve">      </w:t>
      </w:r>
      <w:r>
        <w:rPr>
          <w:rFonts w:hint="eastAsia" w:asciiTheme="minorEastAsia" w:hAnsiTheme="minorEastAsia" w:eastAsiaTheme="minorEastAsia" w:cstheme="minorEastAsia"/>
          <w:color w:val="auto"/>
          <w:spacing w:val="-4"/>
          <w:sz w:val="24"/>
          <w:szCs w:val="24"/>
          <w:highlight w:val="none"/>
        </w:rPr>
        <w:t xml:space="preserve">万元，资产总额为 </w:t>
      </w:r>
      <w:r>
        <w:rPr>
          <w:rFonts w:hint="eastAsia" w:asciiTheme="minorEastAsia" w:hAnsiTheme="minorEastAsia" w:eastAsiaTheme="minorEastAsia" w:cstheme="minorEastAsia"/>
          <w:color w:val="auto"/>
          <w:spacing w:val="-4"/>
          <w:sz w:val="24"/>
          <w:szCs w:val="24"/>
          <w:highlight w:val="none"/>
          <w:u w:val="single"/>
        </w:rPr>
        <w:t xml:space="preserve">      </w:t>
      </w:r>
      <w:r>
        <w:rPr>
          <w:rFonts w:hint="eastAsia" w:asciiTheme="minorEastAsia" w:hAnsiTheme="minorEastAsia" w:eastAsiaTheme="minorEastAsia" w:cstheme="minorEastAsia"/>
          <w:color w:val="auto"/>
          <w:spacing w:val="-4"/>
          <w:sz w:val="24"/>
          <w:szCs w:val="24"/>
          <w:highlight w:val="none"/>
        </w:rPr>
        <w:t>万元，属于</w:t>
      </w:r>
      <w:r>
        <w:rPr>
          <w:rFonts w:hint="eastAsia" w:asciiTheme="minorEastAsia" w:hAnsiTheme="minorEastAsia" w:eastAsiaTheme="minorEastAsia" w:cstheme="minorEastAsia"/>
          <w:color w:val="auto"/>
          <w:spacing w:val="-4"/>
          <w:sz w:val="24"/>
          <w:szCs w:val="24"/>
          <w:highlight w:val="none"/>
          <w:u w:val="single"/>
        </w:rPr>
        <w:t xml:space="preserve">     （中型企业、小型企业、微型企业）</w:t>
      </w:r>
      <w:r>
        <w:rPr>
          <w:rFonts w:hint="eastAsia" w:asciiTheme="minorEastAsia" w:hAnsiTheme="minorEastAsia" w:eastAsiaTheme="minorEastAsia" w:cstheme="minorEastAsia"/>
          <w:color w:val="auto"/>
          <w:spacing w:val="-4"/>
          <w:sz w:val="24"/>
          <w:szCs w:val="24"/>
          <w:highlight w:val="none"/>
        </w:rPr>
        <w:t xml:space="preserve"> ；</w:t>
      </w:r>
    </w:p>
    <w:p w14:paraId="1766850B">
      <w:pPr>
        <w:pStyle w:val="24"/>
        <w:spacing w:line="328" w:lineRule="auto"/>
        <w:ind w:right="420" w:firstLine="708"/>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 xml:space="preserve">2. </w:t>
      </w:r>
      <w:r>
        <w:rPr>
          <w:rFonts w:hint="eastAsia" w:asciiTheme="minorEastAsia" w:hAnsiTheme="minorEastAsia" w:eastAsiaTheme="minorEastAsia" w:cstheme="minorEastAsia"/>
          <w:color w:val="auto"/>
          <w:spacing w:val="-4"/>
          <w:sz w:val="24"/>
          <w:szCs w:val="24"/>
          <w:highlight w:val="none"/>
          <w:u w:val="single"/>
        </w:rPr>
        <w:t>（标的名称）</w:t>
      </w:r>
      <w:r>
        <w:rPr>
          <w:rFonts w:hint="eastAsia" w:asciiTheme="minorEastAsia" w:hAnsiTheme="minorEastAsia" w:eastAsiaTheme="minorEastAsia" w:cstheme="minorEastAsia"/>
          <w:color w:val="auto"/>
          <w:spacing w:val="-4"/>
          <w:sz w:val="24"/>
          <w:szCs w:val="24"/>
          <w:highlight w:val="none"/>
        </w:rPr>
        <w:t xml:space="preserve"> ，属于</w:t>
      </w:r>
      <w:r>
        <w:rPr>
          <w:rFonts w:hint="eastAsia" w:asciiTheme="minorEastAsia" w:hAnsiTheme="minorEastAsia" w:eastAsiaTheme="minorEastAsia" w:cstheme="minorEastAsia"/>
          <w:color w:val="auto"/>
          <w:spacing w:val="-4"/>
          <w:sz w:val="24"/>
          <w:szCs w:val="24"/>
          <w:highlight w:val="none"/>
          <w:u w:val="single"/>
        </w:rPr>
        <w:t xml:space="preserve">工业  </w:t>
      </w:r>
      <w:r>
        <w:rPr>
          <w:rFonts w:hint="eastAsia" w:asciiTheme="minorEastAsia" w:hAnsiTheme="minorEastAsia" w:eastAsiaTheme="minorEastAsia" w:cstheme="minorEastAsia"/>
          <w:color w:val="auto"/>
          <w:spacing w:val="-4"/>
          <w:sz w:val="24"/>
          <w:szCs w:val="24"/>
          <w:highlight w:val="none"/>
        </w:rPr>
        <w:t>行业 ；制造商为</w:t>
      </w:r>
      <w:r>
        <w:rPr>
          <w:rFonts w:hint="eastAsia" w:asciiTheme="minorEastAsia" w:hAnsiTheme="minorEastAsia" w:eastAsiaTheme="minorEastAsia" w:cstheme="minorEastAsia"/>
          <w:color w:val="auto"/>
          <w:spacing w:val="-4"/>
          <w:sz w:val="24"/>
          <w:szCs w:val="24"/>
          <w:highlight w:val="none"/>
          <w:u w:val="single"/>
        </w:rPr>
        <w:t xml:space="preserve"> （企业名称）</w:t>
      </w:r>
      <w:r>
        <w:rPr>
          <w:rFonts w:hint="eastAsia" w:asciiTheme="minorEastAsia" w:hAnsiTheme="minorEastAsia" w:eastAsiaTheme="minorEastAsia" w:cstheme="minorEastAsia"/>
          <w:color w:val="auto"/>
          <w:spacing w:val="-4"/>
          <w:sz w:val="24"/>
          <w:szCs w:val="24"/>
          <w:highlight w:val="none"/>
        </w:rPr>
        <w:t xml:space="preserve"> ，从业人员</w:t>
      </w:r>
      <w:r>
        <w:rPr>
          <w:rFonts w:hint="eastAsia" w:asciiTheme="minorEastAsia" w:hAnsiTheme="minorEastAsia" w:eastAsiaTheme="minorEastAsia" w:cstheme="minorEastAsia"/>
          <w:color w:val="auto"/>
          <w:spacing w:val="-4"/>
          <w:sz w:val="24"/>
          <w:szCs w:val="24"/>
          <w:highlight w:val="none"/>
          <w:u w:val="single"/>
        </w:rPr>
        <w:t xml:space="preserve">      </w:t>
      </w:r>
      <w:r>
        <w:rPr>
          <w:rFonts w:hint="eastAsia" w:asciiTheme="minorEastAsia" w:hAnsiTheme="minorEastAsia" w:eastAsiaTheme="minorEastAsia" w:cstheme="minorEastAsia"/>
          <w:color w:val="auto"/>
          <w:spacing w:val="-4"/>
          <w:sz w:val="24"/>
          <w:szCs w:val="24"/>
          <w:highlight w:val="none"/>
        </w:rPr>
        <w:t>人，营业收入为</w:t>
      </w:r>
      <w:r>
        <w:rPr>
          <w:rFonts w:hint="eastAsia" w:asciiTheme="minorEastAsia" w:hAnsiTheme="minorEastAsia" w:eastAsiaTheme="minorEastAsia" w:cstheme="minorEastAsia"/>
          <w:color w:val="auto"/>
          <w:spacing w:val="-4"/>
          <w:sz w:val="24"/>
          <w:szCs w:val="24"/>
          <w:highlight w:val="none"/>
          <w:u w:val="single"/>
        </w:rPr>
        <w:t xml:space="preserve">      </w:t>
      </w:r>
      <w:r>
        <w:rPr>
          <w:rFonts w:hint="eastAsia" w:asciiTheme="minorEastAsia" w:hAnsiTheme="minorEastAsia" w:eastAsiaTheme="minorEastAsia" w:cstheme="minorEastAsia"/>
          <w:color w:val="auto"/>
          <w:spacing w:val="-4"/>
          <w:sz w:val="24"/>
          <w:szCs w:val="24"/>
          <w:highlight w:val="none"/>
        </w:rPr>
        <w:t xml:space="preserve">万元，资产总额为 </w:t>
      </w:r>
      <w:r>
        <w:rPr>
          <w:rFonts w:hint="eastAsia" w:asciiTheme="minorEastAsia" w:hAnsiTheme="minorEastAsia" w:eastAsiaTheme="minorEastAsia" w:cstheme="minorEastAsia"/>
          <w:color w:val="auto"/>
          <w:spacing w:val="-4"/>
          <w:sz w:val="24"/>
          <w:szCs w:val="24"/>
          <w:highlight w:val="none"/>
          <w:u w:val="single"/>
        </w:rPr>
        <w:t xml:space="preserve">      </w:t>
      </w:r>
      <w:r>
        <w:rPr>
          <w:rFonts w:hint="eastAsia" w:asciiTheme="minorEastAsia" w:hAnsiTheme="minorEastAsia" w:eastAsiaTheme="minorEastAsia" w:cstheme="minorEastAsia"/>
          <w:color w:val="auto"/>
          <w:spacing w:val="-4"/>
          <w:sz w:val="24"/>
          <w:szCs w:val="24"/>
          <w:highlight w:val="none"/>
        </w:rPr>
        <w:t>万元，属于</w:t>
      </w:r>
      <w:r>
        <w:rPr>
          <w:rFonts w:hint="eastAsia" w:asciiTheme="minorEastAsia" w:hAnsiTheme="minorEastAsia" w:eastAsiaTheme="minorEastAsia" w:cstheme="minorEastAsia"/>
          <w:color w:val="auto"/>
          <w:spacing w:val="-4"/>
          <w:sz w:val="24"/>
          <w:szCs w:val="24"/>
          <w:highlight w:val="none"/>
          <w:u w:val="single"/>
        </w:rPr>
        <w:t xml:space="preserve">     （中型企业、小型企业、微型企业）</w:t>
      </w:r>
      <w:r>
        <w:rPr>
          <w:rFonts w:hint="eastAsia" w:asciiTheme="minorEastAsia" w:hAnsiTheme="minorEastAsia" w:eastAsiaTheme="minorEastAsia" w:cstheme="minorEastAsia"/>
          <w:color w:val="auto"/>
          <w:spacing w:val="-4"/>
          <w:sz w:val="24"/>
          <w:szCs w:val="24"/>
          <w:highlight w:val="none"/>
        </w:rPr>
        <w:t xml:space="preserve"> ；</w:t>
      </w:r>
    </w:p>
    <w:p w14:paraId="4E31951C">
      <w:pPr>
        <w:pStyle w:val="24"/>
        <w:spacing w:line="328" w:lineRule="auto"/>
        <w:ind w:right="420" w:firstLine="708"/>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w:t>
      </w:r>
    </w:p>
    <w:p w14:paraId="745AD43B">
      <w:pPr>
        <w:pStyle w:val="24"/>
        <w:spacing w:line="328" w:lineRule="auto"/>
        <w:ind w:right="420" w:firstLine="708"/>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以上企业，不属于大企业的分支机构，不存在控股股东为大企业的情形，也不存在与大企业的负责人为同一人的情形。</w:t>
      </w:r>
    </w:p>
    <w:p w14:paraId="54254E0B">
      <w:pPr>
        <w:pStyle w:val="24"/>
        <w:spacing w:line="328" w:lineRule="auto"/>
        <w:ind w:right="420" w:firstLine="708"/>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本企业对上述声明内容的真实性负责。如有虚假，将依法承担相应责任。</w:t>
      </w:r>
    </w:p>
    <w:p w14:paraId="438E4AE8">
      <w:pPr>
        <w:pStyle w:val="24"/>
        <w:spacing w:before="29" w:line="316" w:lineRule="auto"/>
        <w:ind w:left="4060" w:right="2166"/>
        <w:rPr>
          <w:rFonts w:hint="eastAsia" w:asciiTheme="minorEastAsia" w:hAnsiTheme="minorEastAsia" w:eastAsiaTheme="minorEastAsia" w:cstheme="minorEastAsia"/>
          <w:color w:val="auto"/>
          <w:w w:val="99"/>
          <w:sz w:val="24"/>
          <w:szCs w:val="24"/>
          <w:highlight w:val="none"/>
        </w:rPr>
      </w:pPr>
    </w:p>
    <w:p w14:paraId="2E7E63E0">
      <w:pPr>
        <w:pStyle w:val="24"/>
        <w:spacing w:before="29" w:line="316" w:lineRule="auto"/>
        <w:ind w:left="4060" w:right="2166"/>
        <w:rPr>
          <w:rFonts w:hint="eastAsia" w:asciiTheme="minorEastAsia" w:hAnsiTheme="minorEastAsia" w:eastAsiaTheme="minorEastAsia" w:cstheme="minorEastAsia"/>
          <w:color w:val="auto"/>
          <w:w w:val="99"/>
          <w:sz w:val="24"/>
          <w:szCs w:val="24"/>
          <w:highlight w:val="none"/>
        </w:rPr>
      </w:pPr>
    </w:p>
    <w:p w14:paraId="65EF92A2">
      <w:pPr>
        <w:pStyle w:val="24"/>
        <w:spacing w:before="29" w:line="316" w:lineRule="auto"/>
        <w:ind w:left="4060" w:right="2166"/>
        <w:rPr>
          <w:rFonts w:hint="eastAsia" w:asciiTheme="minorEastAsia" w:hAnsiTheme="minorEastAsia" w:eastAsiaTheme="minorEastAsia" w:cstheme="minorEastAsia"/>
          <w:color w:val="auto"/>
          <w:spacing w:val="-8"/>
          <w:w w:val="99"/>
          <w:sz w:val="24"/>
          <w:szCs w:val="24"/>
          <w:highlight w:val="none"/>
        </w:rPr>
      </w:pPr>
      <w:r>
        <w:rPr>
          <w:rFonts w:hint="eastAsia" w:asciiTheme="minorEastAsia" w:hAnsiTheme="minorEastAsia" w:eastAsiaTheme="minorEastAsia" w:cstheme="minorEastAsia"/>
          <w:color w:val="auto"/>
          <w:w w:val="99"/>
          <w:sz w:val="24"/>
          <w:szCs w:val="24"/>
          <w:highlight w:val="none"/>
        </w:rPr>
        <w:t>企业名称</w:t>
      </w:r>
      <w:r>
        <w:rPr>
          <w:rFonts w:hint="eastAsia" w:asciiTheme="minorEastAsia" w:hAnsiTheme="minorEastAsia" w:eastAsiaTheme="minorEastAsia" w:cstheme="minorEastAsia"/>
          <w:color w:val="auto"/>
          <w:spacing w:val="2"/>
          <w:w w:val="99"/>
          <w:sz w:val="24"/>
          <w:szCs w:val="24"/>
          <w:highlight w:val="none"/>
        </w:rPr>
        <w:t>（</w:t>
      </w:r>
      <w:r>
        <w:rPr>
          <w:rFonts w:hint="eastAsia" w:asciiTheme="minorEastAsia" w:hAnsiTheme="minorEastAsia" w:eastAsiaTheme="minorEastAsia" w:cstheme="minorEastAsia"/>
          <w:color w:val="auto"/>
          <w:w w:val="99"/>
          <w:sz w:val="24"/>
          <w:szCs w:val="24"/>
          <w:highlight w:val="none"/>
        </w:rPr>
        <w:t>盖章</w:t>
      </w:r>
      <w:r>
        <w:rPr>
          <w:rFonts w:hint="eastAsia" w:asciiTheme="minorEastAsia" w:hAnsiTheme="minorEastAsia" w:eastAsiaTheme="minorEastAsia" w:cstheme="minorEastAsia"/>
          <w:color w:val="auto"/>
          <w:spacing w:val="2"/>
          <w:w w:val="99"/>
          <w:sz w:val="24"/>
          <w:szCs w:val="24"/>
          <w:highlight w:val="none"/>
        </w:rPr>
        <w:t>）：</w:t>
      </w:r>
    </w:p>
    <w:p w14:paraId="6F6D5DC6">
      <w:pPr>
        <w:bidi w:val="0"/>
        <w:ind w:firstLine="4080" w:firstLineChars="17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期：    年   月</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日</w:t>
      </w:r>
    </w:p>
    <w:p w14:paraId="0A0F980B">
      <w:pPr>
        <w:pStyle w:val="16"/>
        <w:spacing w:line="360" w:lineRule="auto"/>
        <w:ind w:right="420" w:firstLine="0" w:firstLineChars="0"/>
        <w:jc w:val="center"/>
        <w:rPr>
          <w:rFonts w:hint="eastAsia" w:asciiTheme="minorEastAsia" w:hAnsiTheme="minorEastAsia" w:eastAsiaTheme="minorEastAsia" w:cstheme="minorEastAsia"/>
          <w:b/>
          <w:bCs/>
          <w:color w:val="auto"/>
          <w:sz w:val="24"/>
          <w:szCs w:val="24"/>
          <w:highlight w:val="none"/>
          <w:lang w:val="en-US" w:eastAsia="zh-CN"/>
        </w:rPr>
      </w:pPr>
    </w:p>
    <w:p w14:paraId="34A4CB07">
      <w:pPr>
        <w:pStyle w:val="16"/>
        <w:spacing w:line="360" w:lineRule="auto"/>
        <w:ind w:right="420" w:firstLine="0" w:firstLineChars="0"/>
        <w:jc w:val="center"/>
        <w:rPr>
          <w:rFonts w:hint="eastAsia" w:asciiTheme="minorEastAsia" w:hAnsiTheme="minorEastAsia" w:eastAsiaTheme="minorEastAsia" w:cstheme="minorEastAsia"/>
          <w:b/>
          <w:bCs/>
          <w:color w:val="auto"/>
          <w:sz w:val="24"/>
          <w:szCs w:val="24"/>
          <w:highlight w:val="none"/>
          <w:lang w:val="en-US" w:eastAsia="zh-CN"/>
        </w:rPr>
      </w:pPr>
    </w:p>
    <w:p w14:paraId="471CAAE6">
      <w:pPr>
        <w:pStyle w:val="16"/>
        <w:spacing w:line="360" w:lineRule="auto"/>
        <w:ind w:right="420" w:firstLine="0" w:firstLineChars="0"/>
        <w:jc w:val="center"/>
        <w:rPr>
          <w:rFonts w:hint="eastAsia" w:asciiTheme="minorEastAsia" w:hAnsiTheme="minorEastAsia" w:eastAsiaTheme="minorEastAsia" w:cstheme="minorEastAsia"/>
          <w:b/>
          <w:bCs/>
          <w:color w:val="auto"/>
          <w:sz w:val="24"/>
          <w:szCs w:val="24"/>
          <w:highlight w:val="none"/>
          <w:lang w:val="en-US" w:eastAsia="zh-CN"/>
        </w:rPr>
      </w:pPr>
    </w:p>
    <w:p w14:paraId="4B551103">
      <w:pPr>
        <w:pStyle w:val="16"/>
        <w:spacing w:line="360" w:lineRule="auto"/>
        <w:ind w:right="420" w:firstLine="0" w:firstLineChars="0"/>
        <w:jc w:val="center"/>
        <w:rPr>
          <w:rFonts w:hint="eastAsia" w:asciiTheme="minorEastAsia" w:hAnsiTheme="minorEastAsia" w:eastAsiaTheme="minorEastAsia" w:cstheme="minorEastAsia"/>
          <w:b/>
          <w:bCs/>
          <w:color w:val="auto"/>
          <w:sz w:val="24"/>
          <w:szCs w:val="24"/>
          <w:highlight w:val="none"/>
          <w:lang w:val="en-US" w:eastAsia="zh-CN"/>
        </w:rPr>
      </w:pPr>
    </w:p>
    <w:p w14:paraId="501474E5">
      <w:pPr>
        <w:pStyle w:val="16"/>
        <w:spacing w:line="360" w:lineRule="auto"/>
        <w:ind w:right="420" w:firstLine="0" w:firstLineChars="0"/>
        <w:jc w:val="center"/>
        <w:rPr>
          <w:rFonts w:hint="eastAsia" w:asciiTheme="minorEastAsia" w:hAnsiTheme="minorEastAsia" w:eastAsiaTheme="minorEastAsia" w:cstheme="minorEastAsia"/>
          <w:b/>
          <w:bCs/>
          <w:color w:val="auto"/>
          <w:sz w:val="24"/>
          <w:szCs w:val="24"/>
          <w:highlight w:val="none"/>
          <w:lang w:val="en-US" w:eastAsia="zh-CN"/>
        </w:rPr>
      </w:pPr>
    </w:p>
    <w:p w14:paraId="182822C0">
      <w:pPr>
        <w:pStyle w:val="16"/>
        <w:spacing w:line="360" w:lineRule="auto"/>
        <w:ind w:right="420" w:firstLine="0" w:firstLineChars="0"/>
        <w:jc w:val="center"/>
        <w:rPr>
          <w:rFonts w:hint="eastAsia" w:asciiTheme="minorEastAsia" w:hAnsiTheme="minorEastAsia" w:eastAsiaTheme="minorEastAsia" w:cstheme="minorEastAsia"/>
          <w:b/>
          <w:bCs/>
          <w:color w:val="auto"/>
          <w:sz w:val="24"/>
          <w:szCs w:val="24"/>
          <w:highlight w:val="none"/>
          <w:lang w:val="en-US" w:eastAsia="zh-CN"/>
        </w:rPr>
      </w:pPr>
    </w:p>
    <w:p w14:paraId="457C79D7">
      <w:pPr>
        <w:pStyle w:val="16"/>
        <w:spacing w:line="360" w:lineRule="auto"/>
        <w:ind w:right="420" w:firstLine="0" w:firstLineChars="0"/>
        <w:jc w:val="center"/>
        <w:rPr>
          <w:rFonts w:hint="eastAsia" w:asciiTheme="minorEastAsia" w:hAnsiTheme="minorEastAsia" w:eastAsiaTheme="minorEastAsia" w:cstheme="minorEastAsia"/>
          <w:b/>
          <w:bCs/>
          <w:color w:val="auto"/>
          <w:sz w:val="24"/>
          <w:szCs w:val="24"/>
          <w:highlight w:val="none"/>
          <w:lang w:val="en-US" w:eastAsia="zh-CN"/>
        </w:rPr>
      </w:pPr>
    </w:p>
    <w:p w14:paraId="5F3CD058">
      <w:pPr>
        <w:pStyle w:val="16"/>
        <w:spacing w:line="360" w:lineRule="auto"/>
        <w:ind w:right="420" w:firstLine="0" w:firstLineChars="0"/>
        <w:jc w:val="center"/>
        <w:rPr>
          <w:rFonts w:hint="eastAsia" w:asciiTheme="minorEastAsia" w:hAnsiTheme="minorEastAsia" w:eastAsiaTheme="minorEastAsia" w:cstheme="minorEastAsia"/>
          <w:b/>
          <w:bCs/>
          <w:color w:val="auto"/>
          <w:sz w:val="24"/>
          <w:szCs w:val="24"/>
          <w:highlight w:val="none"/>
          <w:lang w:val="en-US" w:eastAsia="zh-CN"/>
        </w:rPr>
      </w:pPr>
    </w:p>
    <w:p w14:paraId="13F37AE7">
      <w:pPr>
        <w:pStyle w:val="16"/>
        <w:spacing w:line="360" w:lineRule="auto"/>
        <w:ind w:right="420" w:firstLine="0" w:firstLineChars="0"/>
        <w:jc w:val="center"/>
        <w:rPr>
          <w:rFonts w:hint="eastAsia" w:asciiTheme="minorEastAsia" w:hAnsiTheme="minorEastAsia" w:eastAsiaTheme="minorEastAsia" w:cstheme="minorEastAsia"/>
          <w:b/>
          <w:bCs/>
          <w:color w:val="auto"/>
          <w:sz w:val="24"/>
          <w:szCs w:val="24"/>
          <w:highlight w:val="none"/>
          <w:lang w:val="en-US" w:eastAsia="zh-CN"/>
        </w:rPr>
      </w:pPr>
    </w:p>
    <w:p w14:paraId="546FFCD4">
      <w:pPr>
        <w:pStyle w:val="16"/>
        <w:spacing w:line="360" w:lineRule="auto"/>
        <w:ind w:right="420" w:firstLine="0" w:firstLineChars="0"/>
        <w:jc w:val="center"/>
        <w:rPr>
          <w:rFonts w:hint="eastAsia" w:asciiTheme="minorEastAsia" w:hAnsiTheme="minorEastAsia" w:eastAsiaTheme="minorEastAsia" w:cstheme="minorEastAsia"/>
          <w:b/>
          <w:bCs/>
          <w:color w:val="auto"/>
          <w:sz w:val="24"/>
          <w:szCs w:val="24"/>
          <w:highlight w:val="none"/>
          <w:lang w:val="en-US" w:eastAsia="zh-CN"/>
        </w:rPr>
      </w:pPr>
    </w:p>
    <w:p w14:paraId="7E75AC03">
      <w:pPr>
        <w:pStyle w:val="16"/>
        <w:spacing w:line="360" w:lineRule="auto"/>
        <w:ind w:right="420" w:firstLine="0" w:firstLineChars="0"/>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 xml:space="preserve">残疾人福利性单位声明函（非残疾人福利性单位可不附此项） </w:t>
      </w:r>
    </w:p>
    <w:p w14:paraId="74E286D1">
      <w:pPr>
        <w:pStyle w:val="16"/>
        <w:spacing w:line="360" w:lineRule="auto"/>
        <w:ind w:right="420" w:firstLine="0" w:firstLineChars="0"/>
        <w:rPr>
          <w:rFonts w:hint="eastAsia" w:asciiTheme="minorEastAsia" w:hAnsiTheme="minorEastAsia" w:eastAsiaTheme="minorEastAsia" w:cstheme="minorEastAsia"/>
          <w:bCs/>
          <w:color w:val="auto"/>
          <w:sz w:val="24"/>
          <w:szCs w:val="24"/>
          <w:highlight w:val="none"/>
          <w:lang w:eastAsia="zh-CN"/>
        </w:rPr>
      </w:pPr>
    </w:p>
    <w:p w14:paraId="38E685B0">
      <w:pPr>
        <w:widowControl/>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color w:val="auto"/>
          <w:kern w:val="0"/>
          <w:sz w:val="24"/>
          <w:szCs w:val="24"/>
          <w:highlight w:val="none"/>
          <w:u w:val="single"/>
          <w:lang w:bidi="ar"/>
        </w:rPr>
        <w:t>（采购单位名称）</w:t>
      </w:r>
      <w:r>
        <w:rPr>
          <w:rFonts w:hint="eastAsia" w:asciiTheme="minorEastAsia" w:hAnsiTheme="minorEastAsia" w:eastAsiaTheme="minorEastAsia" w:cstheme="minorEastAsia"/>
          <w:color w:val="auto"/>
          <w:kern w:val="0"/>
          <w:sz w:val="24"/>
          <w:szCs w:val="24"/>
          <w:highlight w:val="none"/>
          <w:lang w:bidi="ar"/>
        </w:rPr>
        <w:t>单位的</w:t>
      </w:r>
      <w:r>
        <w:rPr>
          <w:rFonts w:hint="eastAsia" w:asciiTheme="minorEastAsia" w:hAnsiTheme="minorEastAsia" w:eastAsiaTheme="minorEastAsia" w:cstheme="minorEastAsia"/>
          <w:color w:val="auto"/>
          <w:kern w:val="0"/>
          <w:sz w:val="24"/>
          <w:szCs w:val="24"/>
          <w:highlight w:val="none"/>
          <w:u w:val="single"/>
          <w:lang w:bidi="ar"/>
        </w:rPr>
        <w:t xml:space="preserve">      （项目名称）          </w:t>
      </w:r>
      <w:r>
        <w:rPr>
          <w:rFonts w:hint="eastAsia" w:asciiTheme="minorEastAsia" w:hAnsiTheme="minorEastAsia" w:eastAsiaTheme="minorEastAsia" w:cstheme="minorEastAsia"/>
          <w:color w:val="auto"/>
          <w:kern w:val="0"/>
          <w:sz w:val="24"/>
          <w:szCs w:val="24"/>
          <w:highlight w:val="none"/>
          <w:lang w:bidi="ar"/>
        </w:rPr>
        <w:t>采购活动由本单位提供服务。</w:t>
      </w:r>
    </w:p>
    <w:p w14:paraId="76CF1348">
      <w:pPr>
        <w:widowControl/>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本单位对上述声明的真实性负责。如有虚假，将依法承担相应责任。</w:t>
      </w:r>
    </w:p>
    <w:p w14:paraId="0C8EA832">
      <w:pPr>
        <w:widowControl/>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单位名称（盖章）：</w:t>
      </w:r>
    </w:p>
    <w:p w14:paraId="585E5B5D">
      <w:pPr>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日期：</w:t>
      </w:r>
      <w:r>
        <w:rPr>
          <w:rFonts w:hint="eastAsia" w:asciiTheme="minorEastAsia" w:hAnsiTheme="minorEastAsia" w:eastAsiaTheme="minorEastAsia" w:cstheme="minorEastAsia"/>
          <w:color w:val="auto"/>
          <w:sz w:val="24"/>
          <w:szCs w:val="24"/>
          <w:highlight w:val="none"/>
        </w:rPr>
        <w:t xml:space="preserve">    年   月   日</w:t>
      </w:r>
    </w:p>
    <w:p w14:paraId="64264802">
      <w:pPr>
        <w:pStyle w:val="16"/>
        <w:spacing w:line="360" w:lineRule="auto"/>
        <w:ind w:right="420" w:firstLine="0" w:firstLineChars="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省级以上监狱管理局、戒毒管理局（含新疆生产建设兵团）出具的属于监狱企业的证明文件</w:t>
      </w:r>
    </w:p>
    <w:p w14:paraId="26DFF7CE">
      <w:pPr>
        <w:spacing w:line="360" w:lineRule="auto"/>
        <w:jc w:val="center"/>
        <w:rPr>
          <w:rFonts w:hint="eastAsia" w:asciiTheme="minorEastAsia" w:hAnsiTheme="minorEastAsia" w:eastAsiaTheme="minorEastAsia" w:cstheme="minorEastAsia"/>
          <w:b/>
          <w:color w:val="auto"/>
          <w:sz w:val="24"/>
          <w:szCs w:val="24"/>
          <w:highlight w:val="none"/>
        </w:rPr>
      </w:pPr>
    </w:p>
    <w:p w14:paraId="3F0D258A">
      <w:pP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7920B739">
      <w:pPr>
        <w:spacing w:line="360" w:lineRule="auto"/>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供应商认为需要提交的其他证明材料</w:t>
      </w:r>
    </w:p>
    <w:p w14:paraId="271408BA">
      <w:pPr>
        <w:jc w:val="center"/>
        <w:rPr>
          <w:rFonts w:hint="eastAsia" w:asciiTheme="minorEastAsia" w:hAnsiTheme="minorEastAsia" w:eastAsiaTheme="minorEastAsia" w:cstheme="minorEastAsia"/>
          <w:b/>
          <w:color w:val="auto"/>
          <w:sz w:val="24"/>
          <w:szCs w:val="24"/>
          <w:highlight w:val="none"/>
        </w:rPr>
      </w:pPr>
      <w:bookmarkStart w:id="319" w:name="_Toc394334708"/>
      <w:bookmarkStart w:id="320" w:name="_Toc394334464"/>
      <w:bookmarkStart w:id="321" w:name="_Toc428782251"/>
      <w:bookmarkStart w:id="322" w:name="_Toc411427419"/>
    </w:p>
    <w:p w14:paraId="078280FD">
      <w:pPr>
        <w:jc w:val="center"/>
        <w:rPr>
          <w:rFonts w:hint="eastAsia" w:asciiTheme="minorEastAsia" w:hAnsiTheme="minorEastAsia" w:eastAsiaTheme="minorEastAsia" w:cstheme="minorEastAsia"/>
          <w:b/>
          <w:color w:val="auto"/>
          <w:sz w:val="24"/>
          <w:szCs w:val="24"/>
          <w:highlight w:val="none"/>
        </w:rPr>
      </w:pPr>
    </w:p>
    <w:bookmarkEnd w:id="287"/>
    <w:bookmarkEnd w:id="319"/>
    <w:bookmarkEnd w:id="320"/>
    <w:bookmarkEnd w:id="321"/>
    <w:bookmarkEnd w:id="322"/>
    <w:p w14:paraId="72C77535">
      <w:pPr>
        <w:pStyle w:val="25"/>
        <w:tabs>
          <w:tab w:val="left" w:pos="6400"/>
        </w:tabs>
        <w:adjustRightInd w:val="0"/>
        <w:snapToGrid w:val="0"/>
        <w:spacing w:line="360" w:lineRule="auto"/>
        <w:ind w:left="0" w:leftChars="0"/>
        <w:rPr>
          <w:rFonts w:hint="eastAsia" w:asciiTheme="minorEastAsia" w:hAnsiTheme="minorEastAsia" w:eastAsiaTheme="minorEastAsia" w:cstheme="minorEastAsia"/>
          <w:b/>
          <w:color w:val="auto"/>
          <w:kern w:val="0"/>
          <w:sz w:val="24"/>
          <w:szCs w:val="24"/>
          <w:highlight w:val="none"/>
        </w:rPr>
      </w:pPr>
    </w:p>
    <w:sectPr>
      <w:footerReference r:id="rId15" w:type="first"/>
      <w:footerReference r:id="rId14" w:type="default"/>
      <w:pgSz w:w="11906" w:h="16838"/>
      <w:pgMar w:top="1418" w:right="828" w:bottom="1418" w:left="1418" w:header="851" w:footer="1191" w:gutter="0"/>
      <w:pgNumType w:fmt="decimal"/>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隶书">
    <w:panose1 w:val="02010509060101010101"/>
    <w:charset w:val="86"/>
    <w:family w:val="modern"/>
    <w:pitch w:val="default"/>
    <w:sig w:usb0="00000001" w:usb1="080E0000" w:usb2="00000000" w:usb3="00000000" w:csb0="00040000" w:csb1="00000000"/>
  </w:font>
  <w:font w:name="monospace">
    <w:altName w:val="Times New Roman"/>
    <w:panose1 w:val="00000000000000000000"/>
    <w:charset w:val="00"/>
    <w:family w:val="auto"/>
    <w:pitch w:val="default"/>
    <w:sig w:usb0="00000000" w:usb1="00000000" w:usb2="00000000" w:usb3="00000000" w:csb0="00000001" w:csb1="00000000"/>
  </w:font>
  <w:font w:name="长城仿宋">
    <w:altName w:val="黑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s?">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Plotter">
    <w:altName w:val="Segoe Print"/>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昆仑仿宋">
    <w:altName w:val="仿宋"/>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INMAB J+ Univers">
    <w:altName w:val="黑体"/>
    <w:panose1 w:val="00000000000000000000"/>
    <w:charset w:val="86"/>
    <w:family w:val="swiss"/>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长城楷体">
    <w:altName w:val="黑体"/>
    <w:panose1 w:val="00000000000000000000"/>
    <w:charset w:val="86"/>
    <w:family w:val="modern"/>
    <w:pitch w:val="default"/>
    <w:sig w:usb0="00000000" w:usb1="00000000" w:usb2="00000010" w:usb3="00000000" w:csb0="00040008"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56A93">
    <w:pPr>
      <w:pStyle w:val="39"/>
      <w:pBdr>
        <w:top w:val="none" w:color="auto" w:sz="0" w:space="1"/>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FE9CD">
    <w:pPr>
      <w:pStyle w:val="39"/>
      <w:pBdr>
        <w:top w:val="none" w:color="auto" w:sz="0" w:space="1"/>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71C40">
    <w:pPr>
      <w:pStyle w:val="39"/>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0A42A">
    <w:pPr>
      <w:spacing w:line="169" w:lineRule="auto"/>
      <w:ind w:left="4950"/>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41640E">
                          <w:pPr>
                            <w:pStyle w:val="39"/>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141640E">
                    <w:pPr>
                      <w:pStyle w:val="39"/>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6982A">
    <w:pPr>
      <w:pStyle w:val="24"/>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CF407">
    <w:pPr>
      <w:spacing w:line="169" w:lineRule="auto"/>
      <w:ind w:left="4713"/>
      <w:rPr>
        <w:rFonts w:ascii="Calibri" w:hAnsi="Calibri" w:eastAsia="Calibri" w:cs="Calibri"/>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129AF">
    <w:pPr>
      <w:pStyle w:val="39"/>
      <w:pBdr>
        <w:top w:val="single" w:color="auto" w:sz="4" w:space="0"/>
      </w:pBdr>
      <w:tabs>
        <w:tab w:val="left" w:pos="3191"/>
        <w:tab w:val="clear" w:pos="4153"/>
      </w:tabs>
      <w:rPr>
        <w:rFonts w:hint="eastAsia" w:ascii="仿宋" w:hAnsi="仿宋" w:eastAsia="仿宋" w:cs="仿宋"/>
      </w:rPr>
    </w:pPr>
    <w:r>
      <w:rPr>
        <w:rFonts w:hint="eastAsia" w:ascii="仿宋" w:hAnsi="仿宋" w:eastAsia="仿宋" w:cs="仿宋"/>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81E8CF">
                          <w:pPr>
                            <w:pStyle w:val="3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481E8CF">
                    <w:pPr>
                      <w:pStyle w:val="39"/>
                    </w:pPr>
                  </w:p>
                </w:txbxContent>
              </v:textbox>
            </v:shape>
          </w:pict>
        </mc:Fallback>
      </mc:AlternateContent>
    </w:r>
    <w:r>
      <w:rPr>
        <w:rFonts w:hint="eastAsia" w:ascii="仿宋" w:hAnsi="仿宋" w:eastAsia="仿宋" w:cs="仿宋"/>
        <w:lang w:eastAsia="zh-CN"/>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2F01B">
    <w:pPr>
      <w:pStyle w:val="3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E66A5">
    <w:pPr>
      <w:pStyle w:val="40"/>
      <w:pBdr>
        <w:bottom w:val="none" w:color="auto" w:sz="0" w:space="1"/>
      </w:pBdr>
      <w:jc w:val="left"/>
      <w:rPr>
        <w:rFonts w:hint="eastAsia" w:ascii="仿宋" w:hAnsi="仿宋" w:eastAsia="仿宋" w:cs="仿宋"/>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C9D62">
    <w:pPr>
      <w:pStyle w:val="40"/>
      <w:pBdr>
        <w:bottom w:val="none" w:color="auto" w:sz="0" w:space="1"/>
      </w:pBdr>
      <w:jc w:val="left"/>
    </w:pPr>
    <w:r>
      <w:rPr>
        <w:rFonts w:hint="eastAsia" w:ascii="宋体" w:hAnsi="宋体"/>
        <w:szCs w:val="21"/>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3EA39">
    <w:pPr>
      <w:pStyle w:val="40"/>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A96825"/>
    <w:multiLevelType w:val="singleLevel"/>
    <w:tmpl w:val="8EA96825"/>
    <w:lvl w:ilvl="0" w:tentative="0">
      <w:start w:val="1"/>
      <w:numFmt w:val="decimal"/>
      <w:lvlText w:val="%1."/>
      <w:lvlJc w:val="left"/>
      <w:pPr>
        <w:ind w:left="425" w:hanging="425"/>
      </w:pPr>
      <w:rPr>
        <w:rFonts w:hint="default"/>
      </w:rPr>
    </w:lvl>
  </w:abstractNum>
  <w:abstractNum w:abstractNumId="1">
    <w:nsid w:val="9068A1D3"/>
    <w:multiLevelType w:val="singleLevel"/>
    <w:tmpl w:val="9068A1D3"/>
    <w:lvl w:ilvl="0" w:tentative="0">
      <w:start w:val="1"/>
      <w:numFmt w:val="decimal"/>
      <w:lvlText w:val="%1."/>
      <w:lvlJc w:val="left"/>
      <w:pPr>
        <w:ind w:left="425" w:hanging="425"/>
      </w:pPr>
      <w:rPr>
        <w:rFonts w:hint="default"/>
      </w:rPr>
    </w:lvl>
  </w:abstractNum>
  <w:abstractNum w:abstractNumId="2">
    <w:nsid w:val="A2AC4150"/>
    <w:multiLevelType w:val="singleLevel"/>
    <w:tmpl w:val="A2AC4150"/>
    <w:lvl w:ilvl="0" w:tentative="0">
      <w:start w:val="1"/>
      <w:numFmt w:val="decimal"/>
      <w:suff w:val="nothing"/>
      <w:lvlText w:val="（%1）"/>
      <w:lvlJc w:val="left"/>
    </w:lvl>
  </w:abstractNum>
  <w:abstractNum w:abstractNumId="3">
    <w:nsid w:val="AFCD6606"/>
    <w:multiLevelType w:val="singleLevel"/>
    <w:tmpl w:val="AFCD6606"/>
    <w:lvl w:ilvl="0" w:tentative="0">
      <w:start w:val="1"/>
      <w:numFmt w:val="decimal"/>
      <w:lvlText w:val="%1."/>
      <w:lvlJc w:val="left"/>
      <w:pPr>
        <w:ind w:left="425" w:hanging="425"/>
      </w:pPr>
      <w:rPr>
        <w:rFonts w:hint="default"/>
      </w:rPr>
    </w:lvl>
  </w:abstractNum>
  <w:abstractNum w:abstractNumId="4">
    <w:nsid w:val="B3AB1A26"/>
    <w:multiLevelType w:val="singleLevel"/>
    <w:tmpl w:val="B3AB1A26"/>
    <w:lvl w:ilvl="0" w:tentative="0">
      <w:start w:val="1"/>
      <w:numFmt w:val="decimal"/>
      <w:lvlText w:val="%1."/>
      <w:lvlJc w:val="left"/>
      <w:pPr>
        <w:ind w:left="425" w:hanging="425"/>
      </w:pPr>
      <w:rPr>
        <w:rFonts w:hint="default"/>
      </w:rPr>
    </w:lvl>
  </w:abstractNum>
  <w:abstractNum w:abstractNumId="5">
    <w:nsid w:val="F5A7221A"/>
    <w:multiLevelType w:val="singleLevel"/>
    <w:tmpl w:val="F5A7221A"/>
    <w:lvl w:ilvl="0" w:tentative="0">
      <w:start w:val="1"/>
      <w:numFmt w:val="decimal"/>
      <w:lvlText w:val="%1."/>
      <w:lvlJc w:val="left"/>
      <w:pPr>
        <w:ind w:left="425" w:hanging="425"/>
      </w:pPr>
      <w:rPr>
        <w:rFonts w:hint="default"/>
      </w:rPr>
    </w:lvl>
  </w:abstractNum>
  <w:abstractNum w:abstractNumId="6">
    <w:nsid w:val="F6437067"/>
    <w:multiLevelType w:val="singleLevel"/>
    <w:tmpl w:val="F6437067"/>
    <w:lvl w:ilvl="0" w:tentative="0">
      <w:start w:val="1"/>
      <w:numFmt w:val="decimal"/>
      <w:lvlText w:val="%1."/>
      <w:lvlJc w:val="left"/>
      <w:pPr>
        <w:ind w:left="425" w:hanging="425"/>
      </w:pPr>
      <w:rPr>
        <w:rFonts w:hint="default"/>
      </w:rPr>
    </w:lvl>
  </w:abstractNum>
  <w:abstractNum w:abstractNumId="7">
    <w:nsid w:val="F9FCD5C8"/>
    <w:multiLevelType w:val="singleLevel"/>
    <w:tmpl w:val="F9FCD5C8"/>
    <w:lvl w:ilvl="0" w:tentative="0">
      <w:start w:val="1"/>
      <w:numFmt w:val="decimal"/>
      <w:lvlText w:val="%1."/>
      <w:lvlJc w:val="left"/>
      <w:pPr>
        <w:ind w:left="425" w:hanging="425"/>
      </w:pPr>
      <w:rPr>
        <w:rFonts w:hint="default"/>
      </w:rPr>
    </w:lvl>
  </w:abstractNum>
  <w:abstractNum w:abstractNumId="8">
    <w:nsid w:val="FC3FCD4E"/>
    <w:multiLevelType w:val="singleLevel"/>
    <w:tmpl w:val="FC3FCD4E"/>
    <w:lvl w:ilvl="0" w:tentative="0">
      <w:start w:val="1"/>
      <w:numFmt w:val="decimal"/>
      <w:lvlText w:val="%1."/>
      <w:lvlJc w:val="left"/>
      <w:pPr>
        <w:ind w:left="425" w:hanging="425"/>
      </w:pPr>
      <w:rPr>
        <w:rFonts w:hint="default"/>
      </w:rPr>
    </w:lvl>
  </w:abstractNum>
  <w:abstractNum w:abstractNumId="9">
    <w:nsid w:val="FF680B9C"/>
    <w:multiLevelType w:val="singleLevel"/>
    <w:tmpl w:val="FF680B9C"/>
    <w:lvl w:ilvl="0" w:tentative="0">
      <w:start w:val="1"/>
      <w:numFmt w:val="decimal"/>
      <w:lvlText w:val="%1."/>
      <w:lvlJc w:val="left"/>
      <w:pPr>
        <w:ind w:left="425" w:hanging="425"/>
      </w:pPr>
      <w:rPr>
        <w:rFonts w:hint="default"/>
      </w:rPr>
    </w:lvl>
  </w:abstractNum>
  <w:abstractNum w:abstractNumId="10">
    <w:nsid w:val="0597E56D"/>
    <w:multiLevelType w:val="singleLevel"/>
    <w:tmpl w:val="0597E56D"/>
    <w:lvl w:ilvl="0" w:tentative="0">
      <w:start w:val="1"/>
      <w:numFmt w:val="decimal"/>
      <w:lvlText w:val="%1."/>
      <w:lvlJc w:val="left"/>
      <w:pPr>
        <w:ind w:left="425" w:hanging="425"/>
      </w:pPr>
      <w:rPr>
        <w:rFonts w:hint="default"/>
      </w:rPr>
    </w:lvl>
  </w:abstractNum>
  <w:abstractNum w:abstractNumId="11">
    <w:nsid w:val="0B55BE50"/>
    <w:multiLevelType w:val="singleLevel"/>
    <w:tmpl w:val="0B55BE50"/>
    <w:lvl w:ilvl="0" w:tentative="0">
      <w:start w:val="1"/>
      <w:numFmt w:val="decimal"/>
      <w:lvlText w:val="%1."/>
      <w:lvlJc w:val="left"/>
      <w:pPr>
        <w:ind w:left="425" w:hanging="425"/>
      </w:pPr>
      <w:rPr>
        <w:rFonts w:hint="default"/>
      </w:rPr>
    </w:lvl>
  </w:abstractNum>
  <w:abstractNum w:abstractNumId="12">
    <w:nsid w:val="1ABE5A97"/>
    <w:multiLevelType w:val="singleLevel"/>
    <w:tmpl w:val="1ABE5A97"/>
    <w:lvl w:ilvl="0" w:tentative="0">
      <w:start w:val="1"/>
      <w:numFmt w:val="decimal"/>
      <w:lvlText w:val="%1."/>
      <w:lvlJc w:val="left"/>
      <w:pPr>
        <w:ind w:left="425" w:hanging="425"/>
      </w:pPr>
      <w:rPr>
        <w:rFonts w:hint="default"/>
      </w:rPr>
    </w:lvl>
  </w:abstractNum>
  <w:abstractNum w:abstractNumId="13">
    <w:nsid w:val="1B3D7029"/>
    <w:multiLevelType w:val="singleLevel"/>
    <w:tmpl w:val="1B3D7029"/>
    <w:lvl w:ilvl="0" w:tentative="0">
      <w:start w:val="1"/>
      <w:numFmt w:val="decimal"/>
      <w:lvlText w:val="%1."/>
      <w:lvlJc w:val="left"/>
      <w:pPr>
        <w:ind w:left="425" w:hanging="425"/>
      </w:pPr>
      <w:rPr>
        <w:rFonts w:hint="default"/>
      </w:rPr>
    </w:lvl>
  </w:abstractNum>
  <w:abstractNum w:abstractNumId="14">
    <w:nsid w:val="1B8C72BD"/>
    <w:multiLevelType w:val="singleLevel"/>
    <w:tmpl w:val="1B8C72BD"/>
    <w:lvl w:ilvl="0" w:tentative="0">
      <w:start w:val="1"/>
      <w:numFmt w:val="decimal"/>
      <w:lvlText w:val="%1."/>
      <w:lvlJc w:val="left"/>
      <w:pPr>
        <w:ind w:left="425" w:hanging="425"/>
      </w:pPr>
      <w:rPr>
        <w:rFonts w:hint="default"/>
      </w:rPr>
    </w:lvl>
  </w:abstractNum>
  <w:abstractNum w:abstractNumId="15">
    <w:nsid w:val="36319AA0"/>
    <w:multiLevelType w:val="singleLevel"/>
    <w:tmpl w:val="36319AA0"/>
    <w:lvl w:ilvl="0" w:tentative="0">
      <w:start w:val="1"/>
      <w:numFmt w:val="decimal"/>
      <w:lvlText w:val="%1."/>
      <w:lvlJc w:val="left"/>
      <w:pPr>
        <w:ind w:left="425" w:hanging="425"/>
      </w:pPr>
      <w:rPr>
        <w:rFonts w:hint="default"/>
      </w:rPr>
    </w:lvl>
  </w:abstractNum>
  <w:num w:numId="1">
    <w:abstractNumId w:val="2"/>
  </w:num>
  <w:num w:numId="2">
    <w:abstractNumId w:val="8"/>
  </w:num>
  <w:num w:numId="3">
    <w:abstractNumId w:val="4"/>
  </w:num>
  <w:num w:numId="4">
    <w:abstractNumId w:val="15"/>
  </w:num>
  <w:num w:numId="5">
    <w:abstractNumId w:val="11"/>
  </w:num>
  <w:num w:numId="6">
    <w:abstractNumId w:val="5"/>
  </w:num>
  <w:num w:numId="7">
    <w:abstractNumId w:val="9"/>
  </w:num>
  <w:num w:numId="8">
    <w:abstractNumId w:val="7"/>
  </w:num>
  <w:num w:numId="9">
    <w:abstractNumId w:val="1"/>
  </w:num>
  <w:num w:numId="10">
    <w:abstractNumId w:val="10"/>
  </w:num>
  <w:num w:numId="11">
    <w:abstractNumId w:val="14"/>
  </w:num>
  <w:num w:numId="12">
    <w:abstractNumId w:val="12"/>
  </w:num>
  <w:num w:numId="13">
    <w:abstractNumId w:val="6"/>
  </w:num>
  <w:num w:numId="14">
    <w:abstractNumId w:val="0"/>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1YzM0MzVjZGM1ZGIxOTViOTNlODFhNTZjNDQ3YTAifQ=="/>
  </w:docVars>
  <w:rsids>
    <w:rsidRoot w:val="00172A27"/>
    <w:rsid w:val="0000067B"/>
    <w:rsid w:val="000017BE"/>
    <w:rsid w:val="00002545"/>
    <w:rsid w:val="00004969"/>
    <w:rsid w:val="000062E1"/>
    <w:rsid w:val="00010DCD"/>
    <w:rsid w:val="0001267D"/>
    <w:rsid w:val="00013071"/>
    <w:rsid w:val="00013100"/>
    <w:rsid w:val="00015C6C"/>
    <w:rsid w:val="0002037D"/>
    <w:rsid w:val="0002138D"/>
    <w:rsid w:val="00021AD4"/>
    <w:rsid w:val="00021B9D"/>
    <w:rsid w:val="00023230"/>
    <w:rsid w:val="00025872"/>
    <w:rsid w:val="000265CC"/>
    <w:rsid w:val="00031E76"/>
    <w:rsid w:val="000337A8"/>
    <w:rsid w:val="00036A09"/>
    <w:rsid w:val="00036A45"/>
    <w:rsid w:val="00036EF2"/>
    <w:rsid w:val="0003760C"/>
    <w:rsid w:val="000428B0"/>
    <w:rsid w:val="0004296F"/>
    <w:rsid w:val="00042B0E"/>
    <w:rsid w:val="00042BDC"/>
    <w:rsid w:val="00043326"/>
    <w:rsid w:val="000435D9"/>
    <w:rsid w:val="00043C2B"/>
    <w:rsid w:val="000463DD"/>
    <w:rsid w:val="00047751"/>
    <w:rsid w:val="00047F24"/>
    <w:rsid w:val="00050D6C"/>
    <w:rsid w:val="00051165"/>
    <w:rsid w:val="000522C8"/>
    <w:rsid w:val="000522CE"/>
    <w:rsid w:val="00052487"/>
    <w:rsid w:val="00052AB2"/>
    <w:rsid w:val="0005461F"/>
    <w:rsid w:val="00054A4B"/>
    <w:rsid w:val="000565D3"/>
    <w:rsid w:val="00056C79"/>
    <w:rsid w:val="000575E1"/>
    <w:rsid w:val="00057BA9"/>
    <w:rsid w:val="000633E2"/>
    <w:rsid w:val="00063F4F"/>
    <w:rsid w:val="00064563"/>
    <w:rsid w:val="00065A9C"/>
    <w:rsid w:val="00066F79"/>
    <w:rsid w:val="00072185"/>
    <w:rsid w:val="000756B5"/>
    <w:rsid w:val="00075F1E"/>
    <w:rsid w:val="00076E90"/>
    <w:rsid w:val="00077C84"/>
    <w:rsid w:val="00081567"/>
    <w:rsid w:val="00082B4B"/>
    <w:rsid w:val="00083713"/>
    <w:rsid w:val="00083FF6"/>
    <w:rsid w:val="000852E6"/>
    <w:rsid w:val="00085684"/>
    <w:rsid w:val="0009307A"/>
    <w:rsid w:val="000934B4"/>
    <w:rsid w:val="00094BAD"/>
    <w:rsid w:val="000974DA"/>
    <w:rsid w:val="000A05C8"/>
    <w:rsid w:val="000A0CE8"/>
    <w:rsid w:val="000A24D2"/>
    <w:rsid w:val="000A256F"/>
    <w:rsid w:val="000A3594"/>
    <w:rsid w:val="000A49BC"/>
    <w:rsid w:val="000A5217"/>
    <w:rsid w:val="000A6E32"/>
    <w:rsid w:val="000A76AC"/>
    <w:rsid w:val="000B0008"/>
    <w:rsid w:val="000B4512"/>
    <w:rsid w:val="000B58C8"/>
    <w:rsid w:val="000C1F28"/>
    <w:rsid w:val="000C317F"/>
    <w:rsid w:val="000C36FA"/>
    <w:rsid w:val="000C37AA"/>
    <w:rsid w:val="000C49DD"/>
    <w:rsid w:val="000C5340"/>
    <w:rsid w:val="000C5FBC"/>
    <w:rsid w:val="000C675F"/>
    <w:rsid w:val="000C7A60"/>
    <w:rsid w:val="000D1C55"/>
    <w:rsid w:val="000D3159"/>
    <w:rsid w:val="000D3A60"/>
    <w:rsid w:val="000D491C"/>
    <w:rsid w:val="000D5D5C"/>
    <w:rsid w:val="000E1077"/>
    <w:rsid w:val="000E27A7"/>
    <w:rsid w:val="000E2AB9"/>
    <w:rsid w:val="000E42B5"/>
    <w:rsid w:val="000E6023"/>
    <w:rsid w:val="000E7644"/>
    <w:rsid w:val="000F1387"/>
    <w:rsid w:val="000F18A5"/>
    <w:rsid w:val="000F1C48"/>
    <w:rsid w:val="000F204D"/>
    <w:rsid w:val="000F2D7C"/>
    <w:rsid w:val="000F3559"/>
    <w:rsid w:val="000F38C0"/>
    <w:rsid w:val="000F50A5"/>
    <w:rsid w:val="000F57F4"/>
    <w:rsid w:val="000F5F0B"/>
    <w:rsid w:val="000F645B"/>
    <w:rsid w:val="00101D32"/>
    <w:rsid w:val="00102135"/>
    <w:rsid w:val="001026C8"/>
    <w:rsid w:val="00102D26"/>
    <w:rsid w:val="001048FB"/>
    <w:rsid w:val="001056B3"/>
    <w:rsid w:val="0010584B"/>
    <w:rsid w:val="001058D1"/>
    <w:rsid w:val="001068C9"/>
    <w:rsid w:val="00107127"/>
    <w:rsid w:val="00110BAE"/>
    <w:rsid w:val="00112C7A"/>
    <w:rsid w:val="00113250"/>
    <w:rsid w:val="001148EB"/>
    <w:rsid w:val="00115BDD"/>
    <w:rsid w:val="00121A37"/>
    <w:rsid w:val="0012220E"/>
    <w:rsid w:val="00122545"/>
    <w:rsid w:val="0012486D"/>
    <w:rsid w:val="00126AF9"/>
    <w:rsid w:val="001271B9"/>
    <w:rsid w:val="00134C81"/>
    <w:rsid w:val="00141316"/>
    <w:rsid w:val="00141EA7"/>
    <w:rsid w:val="00143DD7"/>
    <w:rsid w:val="0014483F"/>
    <w:rsid w:val="00146114"/>
    <w:rsid w:val="001466FB"/>
    <w:rsid w:val="00146FD7"/>
    <w:rsid w:val="00147CAE"/>
    <w:rsid w:val="00152ACD"/>
    <w:rsid w:val="00155B71"/>
    <w:rsid w:val="0015660C"/>
    <w:rsid w:val="00156FA3"/>
    <w:rsid w:val="00162412"/>
    <w:rsid w:val="0016503D"/>
    <w:rsid w:val="00166214"/>
    <w:rsid w:val="0016635D"/>
    <w:rsid w:val="00172A27"/>
    <w:rsid w:val="0017425D"/>
    <w:rsid w:val="00174F78"/>
    <w:rsid w:val="00175983"/>
    <w:rsid w:val="00175D66"/>
    <w:rsid w:val="001765F5"/>
    <w:rsid w:val="00181ACF"/>
    <w:rsid w:val="001840E8"/>
    <w:rsid w:val="001844DD"/>
    <w:rsid w:val="0018511A"/>
    <w:rsid w:val="00187DED"/>
    <w:rsid w:val="0019038B"/>
    <w:rsid w:val="001909B4"/>
    <w:rsid w:val="0019126C"/>
    <w:rsid w:val="001919C7"/>
    <w:rsid w:val="001920B2"/>
    <w:rsid w:val="00193B0F"/>
    <w:rsid w:val="00196C80"/>
    <w:rsid w:val="00196C89"/>
    <w:rsid w:val="00197E02"/>
    <w:rsid w:val="001A4216"/>
    <w:rsid w:val="001A5FBE"/>
    <w:rsid w:val="001A638C"/>
    <w:rsid w:val="001B259C"/>
    <w:rsid w:val="001B28D0"/>
    <w:rsid w:val="001B2EA2"/>
    <w:rsid w:val="001C2389"/>
    <w:rsid w:val="001C2761"/>
    <w:rsid w:val="001C383E"/>
    <w:rsid w:val="001C3C54"/>
    <w:rsid w:val="001C7C88"/>
    <w:rsid w:val="001D06E2"/>
    <w:rsid w:val="001D0ABE"/>
    <w:rsid w:val="001D1E43"/>
    <w:rsid w:val="001D4BDD"/>
    <w:rsid w:val="001D4C4C"/>
    <w:rsid w:val="001D4FAF"/>
    <w:rsid w:val="001D6595"/>
    <w:rsid w:val="001D6E17"/>
    <w:rsid w:val="001E0BF1"/>
    <w:rsid w:val="001E3088"/>
    <w:rsid w:val="001E595D"/>
    <w:rsid w:val="001E6880"/>
    <w:rsid w:val="001F0708"/>
    <w:rsid w:val="001F2AFC"/>
    <w:rsid w:val="001F3247"/>
    <w:rsid w:val="001F4876"/>
    <w:rsid w:val="001F5280"/>
    <w:rsid w:val="001F68B9"/>
    <w:rsid w:val="001F6EE3"/>
    <w:rsid w:val="001F7430"/>
    <w:rsid w:val="00200228"/>
    <w:rsid w:val="0020025A"/>
    <w:rsid w:val="0020031D"/>
    <w:rsid w:val="00200562"/>
    <w:rsid w:val="00202E01"/>
    <w:rsid w:val="00202F98"/>
    <w:rsid w:val="00203ECE"/>
    <w:rsid w:val="002042A4"/>
    <w:rsid w:val="00205079"/>
    <w:rsid w:val="00205243"/>
    <w:rsid w:val="00207514"/>
    <w:rsid w:val="00211D52"/>
    <w:rsid w:val="00214187"/>
    <w:rsid w:val="00215E03"/>
    <w:rsid w:val="00216652"/>
    <w:rsid w:val="0022029B"/>
    <w:rsid w:val="00220E72"/>
    <w:rsid w:val="00222E98"/>
    <w:rsid w:val="0022400B"/>
    <w:rsid w:val="002260AE"/>
    <w:rsid w:val="00226295"/>
    <w:rsid w:val="002309F1"/>
    <w:rsid w:val="00233370"/>
    <w:rsid w:val="002335ED"/>
    <w:rsid w:val="00233C3C"/>
    <w:rsid w:val="00234C4A"/>
    <w:rsid w:val="00235DC5"/>
    <w:rsid w:val="002409C9"/>
    <w:rsid w:val="00241ADC"/>
    <w:rsid w:val="00251335"/>
    <w:rsid w:val="00251FFD"/>
    <w:rsid w:val="00252572"/>
    <w:rsid w:val="00252581"/>
    <w:rsid w:val="00253CAB"/>
    <w:rsid w:val="00254102"/>
    <w:rsid w:val="002549C8"/>
    <w:rsid w:val="00254DFB"/>
    <w:rsid w:val="002569CB"/>
    <w:rsid w:val="00256D3A"/>
    <w:rsid w:val="00257714"/>
    <w:rsid w:val="00260234"/>
    <w:rsid w:val="002620EA"/>
    <w:rsid w:val="002645E2"/>
    <w:rsid w:val="002665B3"/>
    <w:rsid w:val="0027123A"/>
    <w:rsid w:val="00271A7A"/>
    <w:rsid w:val="00272077"/>
    <w:rsid w:val="002730FB"/>
    <w:rsid w:val="002735B9"/>
    <w:rsid w:val="00275C70"/>
    <w:rsid w:val="00281719"/>
    <w:rsid w:val="00281DB1"/>
    <w:rsid w:val="002828C1"/>
    <w:rsid w:val="002839B0"/>
    <w:rsid w:val="00283BB1"/>
    <w:rsid w:val="00286C8F"/>
    <w:rsid w:val="002912FC"/>
    <w:rsid w:val="002A0DB7"/>
    <w:rsid w:val="002A0E61"/>
    <w:rsid w:val="002A140A"/>
    <w:rsid w:val="002A499E"/>
    <w:rsid w:val="002A73E1"/>
    <w:rsid w:val="002B0D8F"/>
    <w:rsid w:val="002B6EC5"/>
    <w:rsid w:val="002C1638"/>
    <w:rsid w:val="002C335D"/>
    <w:rsid w:val="002C3BE7"/>
    <w:rsid w:val="002C4422"/>
    <w:rsid w:val="002C453F"/>
    <w:rsid w:val="002C59CC"/>
    <w:rsid w:val="002C76D5"/>
    <w:rsid w:val="002D2753"/>
    <w:rsid w:val="002D33E4"/>
    <w:rsid w:val="002D4E4B"/>
    <w:rsid w:val="002D5515"/>
    <w:rsid w:val="002D5B57"/>
    <w:rsid w:val="002E0205"/>
    <w:rsid w:val="002E1E68"/>
    <w:rsid w:val="002E7480"/>
    <w:rsid w:val="002F0E5B"/>
    <w:rsid w:val="002F161B"/>
    <w:rsid w:val="002F352A"/>
    <w:rsid w:val="002F51CB"/>
    <w:rsid w:val="002F76F1"/>
    <w:rsid w:val="0030092C"/>
    <w:rsid w:val="00301AA3"/>
    <w:rsid w:val="00303174"/>
    <w:rsid w:val="003036CD"/>
    <w:rsid w:val="003077C8"/>
    <w:rsid w:val="003113A9"/>
    <w:rsid w:val="00315302"/>
    <w:rsid w:val="00315715"/>
    <w:rsid w:val="0031609D"/>
    <w:rsid w:val="0031618E"/>
    <w:rsid w:val="00316EB2"/>
    <w:rsid w:val="00317617"/>
    <w:rsid w:val="00317D50"/>
    <w:rsid w:val="00320156"/>
    <w:rsid w:val="00320B45"/>
    <w:rsid w:val="00321352"/>
    <w:rsid w:val="00322293"/>
    <w:rsid w:val="003241D7"/>
    <w:rsid w:val="00324233"/>
    <w:rsid w:val="00324D76"/>
    <w:rsid w:val="003264A3"/>
    <w:rsid w:val="00326E95"/>
    <w:rsid w:val="003272CE"/>
    <w:rsid w:val="00331D2A"/>
    <w:rsid w:val="00335741"/>
    <w:rsid w:val="00335ABA"/>
    <w:rsid w:val="00335BB5"/>
    <w:rsid w:val="00341AB6"/>
    <w:rsid w:val="003426E9"/>
    <w:rsid w:val="00342715"/>
    <w:rsid w:val="00346782"/>
    <w:rsid w:val="003468B8"/>
    <w:rsid w:val="00346991"/>
    <w:rsid w:val="00347A6B"/>
    <w:rsid w:val="00352A38"/>
    <w:rsid w:val="00353DA9"/>
    <w:rsid w:val="0035633B"/>
    <w:rsid w:val="0036005E"/>
    <w:rsid w:val="00360360"/>
    <w:rsid w:val="00360547"/>
    <w:rsid w:val="003606AA"/>
    <w:rsid w:val="00360BD3"/>
    <w:rsid w:val="00361856"/>
    <w:rsid w:val="00361C09"/>
    <w:rsid w:val="00372480"/>
    <w:rsid w:val="00374BDF"/>
    <w:rsid w:val="003761ED"/>
    <w:rsid w:val="00377424"/>
    <w:rsid w:val="00381567"/>
    <w:rsid w:val="00382123"/>
    <w:rsid w:val="0038252F"/>
    <w:rsid w:val="00384112"/>
    <w:rsid w:val="00384448"/>
    <w:rsid w:val="00384616"/>
    <w:rsid w:val="00384958"/>
    <w:rsid w:val="0038534D"/>
    <w:rsid w:val="003853E0"/>
    <w:rsid w:val="00385429"/>
    <w:rsid w:val="00385511"/>
    <w:rsid w:val="00385711"/>
    <w:rsid w:val="00390ACA"/>
    <w:rsid w:val="00391576"/>
    <w:rsid w:val="00393A9F"/>
    <w:rsid w:val="00393E6B"/>
    <w:rsid w:val="00395BF5"/>
    <w:rsid w:val="003968B1"/>
    <w:rsid w:val="00397BD1"/>
    <w:rsid w:val="003A0A6E"/>
    <w:rsid w:val="003A233A"/>
    <w:rsid w:val="003A3169"/>
    <w:rsid w:val="003A5731"/>
    <w:rsid w:val="003A65DA"/>
    <w:rsid w:val="003A69C0"/>
    <w:rsid w:val="003A745E"/>
    <w:rsid w:val="003B00B7"/>
    <w:rsid w:val="003B0580"/>
    <w:rsid w:val="003B09D5"/>
    <w:rsid w:val="003B0FE8"/>
    <w:rsid w:val="003B6A3B"/>
    <w:rsid w:val="003B70E3"/>
    <w:rsid w:val="003C011E"/>
    <w:rsid w:val="003C069F"/>
    <w:rsid w:val="003C159B"/>
    <w:rsid w:val="003C194E"/>
    <w:rsid w:val="003C1AE3"/>
    <w:rsid w:val="003C3539"/>
    <w:rsid w:val="003C379D"/>
    <w:rsid w:val="003C3D33"/>
    <w:rsid w:val="003C3FD4"/>
    <w:rsid w:val="003C54F1"/>
    <w:rsid w:val="003C6DBA"/>
    <w:rsid w:val="003C79AC"/>
    <w:rsid w:val="003D2118"/>
    <w:rsid w:val="003D3D8C"/>
    <w:rsid w:val="003D4148"/>
    <w:rsid w:val="003E0CA9"/>
    <w:rsid w:val="003E1E37"/>
    <w:rsid w:val="003E1E59"/>
    <w:rsid w:val="003E2C2F"/>
    <w:rsid w:val="003E44AF"/>
    <w:rsid w:val="003E4DEF"/>
    <w:rsid w:val="003E5ADA"/>
    <w:rsid w:val="003E5B50"/>
    <w:rsid w:val="003F151B"/>
    <w:rsid w:val="003F1750"/>
    <w:rsid w:val="003F3412"/>
    <w:rsid w:val="003F4F29"/>
    <w:rsid w:val="003F6D3E"/>
    <w:rsid w:val="003F773C"/>
    <w:rsid w:val="004002B7"/>
    <w:rsid w:val="00400787"/>
    <w:rsid w:val="00400C22"/>
    <w:rsid w:val="00401E74"/>
    <w:rsid w:val="0040281A"/>
    <w:rsid w:val="00404A12"/>
    <w:rsid w:val="00405790"/>
    <w:rsid w:val="00405816"/>
    <w:rsid w:val="00407799"/>
    <w:rsid w:val="0041340F"/>
    <w:rsid w:val="00413A66"/>
    <w:rsid w:val="004141DA"/>
    <w:rsid w:val="00415414"/>
    <w:rsid w:val="00416044"/>
    <w:rsid w:val="0041697B"/>
    <w:rsid w:val="00417F20"/>
    <w:rsid w:val="00420D76"/>
    <w:rsid w:val="00421FF8"/>
    <w:rsid w:val="0042475E"/>
    <w:rsid w:val="004247F6"/>
    <w:rsid w:val="00425863"/>
    <w:rsid w:val="004342B6"/>
    <w:rsid w:val="004418A0"/>
    <w:rsid w:val="00442AEB"/>
    <w:rsid w:val="004442CE"/>
    <w:rsid w:val="00444923"/>
    <w:rsid w:val="00450619"/>
    <w:rsid w:val="0045079C"/>
    <w:rsid w:val="00451187"/>
    <w:rsid w:val="00452814"/>
    <w:rsid w:val="00453B00"/>
    <w:rsid w:val="00453B10"/>
    <w:rsid w:val="00453C61"/>
    <w:rsid w:val="0045470C"/>
    <w:rsid w:val="004603C5"/>
    <w:rsid w:val="0046170B"/>
    <w:rsid w:val="0046195D"/>
    <w:rsid w:val="004626DD"/>
    <w:rsid w:val="004632EE"/>
    <w:rsid w:val="00463B71"/>
    <w:rsid w:val="00465431"/>
    <w:rsid w:val="0047390F"/>
    <w:rsid w:val="00475624"/>
    <w:rsid w:val="00477118"/>
    <w:rsid w:val="004777C2"/>
    <w:rsid w:val="00480C2E"/>
    <w:rsid w:val="00485EC0"/>
    <w:rsid w:val="0049635B"/>
    <w:rsid w:val="00496B17"/>
    <w:rsid w:val="004A0E75"/>
    <w:rsid w:val="004A151F"/>
    <w:rsid w:val="004A6266"/>
    <w:rsid w:val="004A6DB8"/>
    <w:rsid w:val="004A7099"/>
    <w:rsid w:val="004A7646"/>
    <w:rsid w:val="004B01A1"/>
    <w:rsid w:val="004B36DC"/>
    <w:rsid w:val="004C1A99"/>
    <w:rsid w:val="004C2961"/>
    <w:rsid w:val="004C3C2A"/>
    <w:rsid w:val="004C44D0"/>
    <w:rsid w:val="004C49D1"/>
    <w:rsid w:val="004C570B"/>
    <w:rsid w:val="004C5A99"/>
    <w:rsid w:val="004C5AE3"/>
    <w:rsid w:val="004D1D1E"/>
    <w:rsid w:val="004D47FC"/>
    <w:rsid w:val="004D5216"/>
    <w:rsid w:val="004D5CE6"/>
    <w:rsid w:val="004D6069"/>
    <w:rsid w:val="004E01B8"/>
    <w:rsid w:val="004E06B9"/>
    <w:rsid w:val="004E18E5"/>
    <w:rsid w:val="004E24A0"/>
    <w:rsid w:val="004E3533"/>
    <w:rsid w:val="004E37F5"/>
    <w:rsid w:val="004E3BD6"/>
    <w:rsid w:val="004E53FC"/>
    <w:rsid w:val="004F0A72"/>
    <w:rsid w:val="004F1B29"/>
    <w:rsid w:val="004F344A"/>
    <w:rsid w:val="004F56CB"/>
    <w:rsid w:val="004F7116"/>
    <w:rsid w:val="004F7D69"/>
    <w:rsid w:val="0050036C"/>
    <w:rsid w:val="005029FB"/>
    <w:rsid w:val="00512C62"/>
    <w:rsid w:val="0051652D"/>
    <w:rsid w:val="00516D7D"/>
    <w:rsid w:val="0051704B"/>
    <w:rsid w:val="005201BA"/>
    <w:rsid w:val="00521A88"/>
    <w:rsid w:val="0052360C"/>
    <w:rsid w:val="005249BC"/>
    <w:rsid w:val="00526B23"/>
    <w:rsid w:val="005306D7"/>
    <w:rsid w:val="00530FFC"/>
    <w:rsid w:val="00531161"/>
    <w:rsid w:val="00531382"/>
    <w:rsid w:val="00532240"/>
    <w:rsid w:val="005409C3"/>
    <w:rsid w:val="00541B3D"/>
    <w:rsid w:val="0054362D"/>
    <w:rsid w:val="005439F3"/>
    <w:rsid w:val="005461A6"/>
    <w:rsid w:val="005469AB"/>
    <w:rsid w:val="00546C3B"/>
    <w:rsid w:val="00553ECB"/>
    <w:rsid w:val="00554EBC"/>
    <w:rsid w:val="005557F0"/>
    <w:rsid w:val="00555E3B"/>
    <w:rsid w:val="005565EB"/>
    <w:rsid w:val="00557C25"/>
    <w:rsid w:val="00560BE4"/>
    <w:rsid w:val="00564563"/>
    <w:rsid w:val="0056684C"/>
    <w:rsid w:val="00566A67"/>
    <w:rsid w:val="005678CE"/>
    <w:rsid w:val="00570731"/>
    <w:rsid w:val="00572A30"/>
    <w:rsid w:val="005800EA"/>
    <w:rsid w:val="00581329"/>
    <w:rsid w:val="00582580"/>
    <w:rsid w:val="005847D2"/>
    <w:rsid w:val="00592D9C"/>
    <w:rsid w:val="0059409F"/>
    <w:rsid w:val="00596170"/>
    <w:rsid w:val="00597FDD"/>
    <w:rsid w:val="005A22F0"/>
    <w:rsid w:val="005A2B5E"/>
    <w:rsid w:val="005A2C45"/>
    <w:rsid w:val="005A33D5"/>
    <w:rsid w:val="005A37DA"/>
    <w:rsid w:val="005A52BB"/>
    <w:rsid w:val="005A69F2"/>
    <w:rsid w:val="005B038A"/>
    <w:rsid w:val="005B2875"/>
    <w:rsid w:val="005B29F8"/>
    <w:rsid w:val="005B2A56"/>
    <w:rsid w:val="005B3CA9"/>
    <w:rsid w:val="005C2543"/>
    <w:rsid w:val="005C4365"/>
    <w:rsid w:val="005C4E1F"/>
    <w:rsid w:val="005C61DF"/>
    <w:rsid w:val="005D0B6A"/>
    <w:rsid w:val="005D0CE1"/>
    <w:rsid w:val="005D227E"/>
    <w:rsid w:val="005D3C8E"/>
    <w:rsid w:val="005D588B"/>
    <w:rsid w:val="005E0DBC"/>
    <w:rsid w:val="005E2B65"/>
    <w:rsid w:val="005E6D83"/>
    <w:rsid w:val="005F2F13"/>
    <w:rsid w:val="005F3944"/>
    <w:rsid w:val="005F3F01"/>
    <w:rsid w:val="005F5DEF"/>
    <w:rsid w:val="006007F7"/>
    <w:rsid w:val="006013FD"/>
    <w:rsid w:val="006015F5"/>
    <w:rsid w:val="0060448D"/>
    <w:rsid w:val="006115DD"/>
    <w:rsid w:val="006138EC"/>
    <w:rsid w:val="006158C4"/>
    <w:rsid w:val="0061596E"/>
    <w:rsid w:val="00621FA0"/>
    <w:rsid w:val="006248A7"/>
    <w:rsid w:val="00630D08"/>
    <w:rsid w:val="006318E3"/>
    <w:rsid w:val="0063318A"/>
    <w:rsid w:val="006335C9"/>
    <w:rsid w:val="0063418B"/>
    <w:rsid w:val="006362F9"/>
    <w:rsid w:val="0063645A"/>
    <w:rsid w:val="00637A30"/>
    <w:rsid w:val="00641308"/>
    <w:rsid w:val="006419FF"/>
    <w:rsid w:val="006429E7"/>
    <w:rsid w:val="00644150"/>
    <w:rsid w:val="006463A9"/>
    <w:rsid w:val="00652F54"/>
    <w:rsid w:val="00654D36"/>
    <w:rsid w:val="006562AE"/>
    <w:rsid w:val="00656936"/>
    <w:rsid w:val="006572B4"/>
    <w:rsid w:val="0066061F"/>
    <w:rsid w:val="00660B34"/>
    <w:rsid w:val="00661BBC"/>
    <w:rsid w:val="00666FF7"/>
    <w:rsid w:val="006733CC"/>
    <w:rsid w:val="0067572E"/>
    <w:rsid w:val="006764D8"/>
    <w:rsid w:val="006766C8"/>
    <w:rsid w:val="00677246"/>
    <w:rsid w:val="00680380"/>
    <w:rsid w:val="0068399C"/>
    <w:rsid w:val="006849AE"/>
    <w:rsid w:val="00685555"/>
    <w:rsid w:val="0068773C"/>
    <w:rsid w:val="00690495"/>
    <w:rsid w:val="00693141"/>
    <w:rsid w:val="00694ADD"/>
    <w:rsid w:val="00696642"/>
    <w:rsid w:val="00696B87"/>
    <w:rsid w:val="006A2E63"/>
    <w:rsid w:val="006A2E76"/>
    <w:rsid w:val="006A4400"/>
    <w:rsid w:val="006A5D62"/>
    <w:rsid w:val="006B083C"/>
    <w:rsid w:val="006B0C8A"/>
    <w:rsid w:val="006B3724"/>
    <w:rsid w:val="006B3D3D"/>
    <w:rsid w:val="006B3DF7"/>
    <w:rsid w:val="006B438D"/>
    <w:rsid w:val="006B6BC0"/>
    <w:rsid w:val="006C1BDE"/>
    <w:rsid w:val="006C3A01"/>
    <w:rsid w:val="006C4B51"/>
    <w:rsid w:val="006C4D69"/>
    <w:rsid w:val="006C641C"/>
    <w:rsid w:val="006C6BFD"/>
    <w:rsid w:val="006D2A01"/>
    <w:rsid w:val="006D4984"/>
    <w:rsid w:val="006E234D"/>
    <w:rsid w:val="006E472A"/>
    <w:rsid w:val="006F0840"/>
    <w:rsid w:val="006F18EA"/>
    <w:rsid w:val="006F1B6A"/>
    <w:rsid w:val="006F25CB"/>
    <w:rsid w:val="006F7A93"/>
    <w:rsid w:val="006F7FB1"/>
    <w:rsid w:val="0070035D"/>
    <w:rsid w:val="007003C2"/>
    <w:rsid w:val="00702A87"/>
    <w:rsid w:val="007035B6"/>
    <w:rsid w:val="00704044"/>
    <w:rsid w:val="00704BE2"/>
    <w:rsid w:val="00705AB4"/>
    <w:rsid w:val="007108CC"/>
    <w:rsid w:val="0071263B"/>
    <w:rsid w:val="00714590"/>
    <w:rsid w:val="00714871"/>
    <w:rsid w:val="00721F39"/>
    <w:rsid w:val="007248EE"/>
    <w:rsid w:val="00725A2D"/>
    <w:rsid w:val="00730375"/>
    <w:rsid w:val="007309C3"/>
    <w:rsid w:val="007413A6"/>
    <w:rsid w:val="00744D43"/>
    <w:rsid w:val="00750AF5"/>
    <w:rsid w:val="0075110C"/>
    <w:rsid w:val="00752AEB"/>
    <w:rsid w:val="00754043"/>
    <w:rsid w:val="0076027E"/>
    <w:rsid w:val="0076301B"/>
    <w:rsid w:val="007652D6"/>
    <w:rsid w:val="007654E2"/>
    <w:rsid w:val="00767656"/>
    <w:rsid w:val="00767F12"/>
    <w:rsid w:val="00770F03"/>
    <w:rsid w:val="0077182E"/>
    <w:rsid w:val="0077491C"/>
    <w:rsid w:val="00775681"/>
    <w:rsid w:val="00775B48"/>
    <w:rsid w:val="00784348"/>
    <w:rsid w:val="0078638F"/>
    <w:rsid w:val="0078646B"/>
    <w:rsid w:val="0079248E"/>
    <w:rsid w:val="00792B6C"/>
    <w:rsid w:val="00795063"/>
    <w:rsid w:val="00795480"/>
    <w:rsid w:val="00797391"/>
    <w:rsid w:val="00797FE8"/>
    <w:rsid w:val="007A225B"/>
    <w:rsid w:val="007A26A6"/>
    <w:rsid w:val="007A2B98"/>
    <w:rsid w:val="007A4227"/>
    <w:rsid w:val="007A789A"/>
    <w:rsid w:val="007B0554"/>
    <w:rsid w:val="007B0658"/>
    <w:rsid w:val="007B1444"/>
    <w:rsid w:val="007B1BAE"/>
    <w:rsid w:val="007B2AD4"/>
    <w:rsid w:val="007B47D4"/>
    <w:rsid w:val="007B5526"/>
    <w:rsid w:val="007B5A3E"/>
    <w:rsid w:val="007B5B57"/>
    <w:rsid w:val="007C0315"/>
    <w:rsid w:val="007C0BDA"/>
    <w:rsid w:val="007C2CFE"/>
    <w:rsid w:val="007C3D3A"/>
    <w:rsid w:val="007C4E23"/>
    <w:rsid w:val="007C52B0"/>
    <w:rsid w:val="007C7783"/>
    <w:rsid w:val="007D346B"/>
    <w:rsid w:val="007D3740"/>
    <w:rsid w:val="007D3960"/>
    <w:rsid w:val="007D41F1"/>
    <w:rsid w:val="007D4ABA"/>
    <w:rsid w:val="007D67C9"/>
    <w:rsid w:val="007D6836"/>
    <w:rsid w:val="007D6E4F"/>
    <w:rsid w:val="007D7D6C"/>
    <w:rsid w:val="007E043C"/>
    <w:rsid w:val="007E1250"/>
    <w:rsid w:val="007E2A14"/>
    <w:rsid w:val="007E3ED5"/>
    <w:rsid w:val="007E4EF9"/>
    <w:rsid w:val="007E5709"/>
    <w:rsid w:val="007F3A4D"/>
    <w:rsid w:val="007F4FEB"/>
    <w:rsid w:val="007F55DB"/>
    <w:rsid w:val="007F6085"/>
    <w:rsid w:val="007F6873"/>
    <w:rsid w:val="007F6C8D"/>
    <w:rsid w:val="007F6D5D"/>
    <w:rsid w:val="007F71B3"/>
    <w:rsid w:val="00804B70"/>
    <w:rsid w:val="00805F88"/>
    <w:rsid w:val="008123D7"/>
    <w:rsid w:val="008136DD"/>
    <w:rsid w:val="00815620"/>
    <w:rsid w:val="008203A0"/>
    <w:rsid w:val="0082284A"/>
    <w:rsid w:val="008248B1"/>
    <w:rsid w:val="008251E9"/>
    <w:rsid w:val="0082558D"/>
    <w:rsid w:val="00826080"/>
    <w:rsid w:val="0083147C"/>
    <w:rsid w:val="00832ADD"/>
    <w:rsid w:val="0084052F"/>
    <w:rsid w:val="00842FF3"/>
    <w:rsid w:val="00850C67"/>
    <w:rsid w:val="00851646"/>
    <w:rsid w:val="00851BA6"/>
    <w:rsid w:val="00853BE1"/>
    <w:rsid w:val="00862869"/>
    <w:rsid w:val="0086405D"/>
    <w:rsid w:val="00864E62"/>
    <w:rsid w:val="008658F8"/>
    <w:rsid w:val="00865F8F"/>
    <w:rsid w:val="00866133"/>
    <w:rsid w:val="00867391"/>
    <w:rsid w:val="00870ABA"/>
    <w:rsid w:val="00871153"/>
    <w:rsid w:val="00871413"/>
    <w:rsid w:val="00871A86"/>
    <w:rsid w:val="00872A28"/>
    <w:rsid w:val="008738B6"/>
    <w:rsid w:val="008741CE"/>
    <w:rsid w:val="00876DD1"/>
    <w:rsid w:val="00876DEF"/>
    <w:rsid w:val="00877959"/>
    <w:rsid w:val="008806BC"/>
    <w:rsid w:val="0088129C"/>
    <w:rsid w:val="00881537"/>
    <w:rsid w:val="008842E8"/>
    <w:rsid w:val="0088483F"/>
    <w:rsid w:val="00884BD1"/>
    <w:rsid w:val="00884DEE"/>
    <w:rsid w:val="00886335"/>
    <w:rsid w:val="00887514"/>
    <w:rsid w:val="00890ACE"/>
    <w:rsid w:val="00894415"/>
    <w:rsid w:val="00895E62"/>
    <w:rsid w:val="008973BC"/>
    <w:rsid w:val="008976C5"/>
    <w:rsid w:val="00897F1E"/>
    <w:rsid w:val="008A08AD"/>
    <w:rsid w:val="008A0D13"/>
    <w:rsid w:val="008A25C5"/>
    <w:rsid w:val="008A2AB3"/>
    <w:rsid w:val="008A55AA"/>
    <w:rsid w:val="008A57ED"/>
    <w:rsid w:val="008B0F68"/>
    <w:rsid w:val="008B16CA"/>
    <w:rsid w:val="008B1BC2"/>
    <w:rsid w:val="008B3FF9"/>
    <w:rsid w:val="008B42A1"/>
    <w:rsid w:val="008B4EA8"/>
    <w:rsid w:val="008B7528"/>
    <w:rsid w:val="008B7B70"/>
    <w:rsid w:val="008C0782"/>
    <w:rsid w:val="008C3B6F"/>
    <w:rsid w:val="008C437F"/>
    <w:rsid w:val="008C4755"/>
    <w:rsid w:val="008C6B72"/>
    <w:rsid w:val="008C7965"/>
    <w:rsid w:val="008D007D"/>
    <w:rsid w:val="008D037E"/>
    <w:rsid w:val="008D0811"/>
    <w:rsid w:val="008D087B"/>
    <w:rsid w:val="008D2BF5"/>
    <w:rsid w:val="008D5F41"/>
    <w:rsid w:val="008D746D"/>
    <w:rsid w:val="008E1E6A"/>
    <w:rsid w:val="008E3C93"/>
    <w:rsid w:val="008E69DB"/>
    <w:rsid w:val="008F1FE8"/>
    <w:rsid w:val="008F4DDC"/>
    <w:rsid w:val="008F56D5"/>
    <w:rsid w:val="008F5C52"/>
    <w:rsid w:val="008F5E53"/>
    <w:rsid w:val="008F6337"/>
    <w:rsid w:val="009001BF"/>
    <w:rsid w:val="00901827"/>
    <w:rsid w:val="0090194E"/>
    <w:rsid w:val="009022E3"/>
    <w:rsid w:val="009029A8"/>
    <w:rsid w:val="00904FF4"/>
    <w:rsid w:val="00905D4E"/>
    <w:rsid w:val="00907203"/>
    <w:rsid w:val="0090755A"/>
    <w:rsid w:val="00907906"/>
    <w:rsid w:val="0091014D"/>
    <w:rsid w:val="00914CFE"/>
    <w:rsid w:val="00915CF2"/>
    <w:rsid w:val="009173F8"/>
    <w:rsid w:val="00917ED8"/>
    <w:rsid w:val="00921C80"/>
    <w:rsid w:val="00922EF6"/>
    <w:rsid w:val="00923594"/>
    <w:rsid w:val="0092395F"/>
    <w:rsid w:val="009239CA"/>
    <w:rsid w:val="00932DC0"/>
    <w:rsid w:val="00934148"/>
    <w:rsid w:val="009361B6"/>
    <w:rsid w:val="009426EC"/>
    <w:rsid w:val="00942B9D"/>
    <w:rsid w:val="00942D84"/>
    <w:rsid w:val="00943C74"/>
    <w:rsid w:val="00944A80"/>
    <w:rsid w:val="0095027B"/>
    <w:rsid w:val="0095095F"/>
    <w:rsid w:val="00950B49"/>
    <w:rsid w:val="00951852"/>
    <w:rsid w:val="00952103"/>
    <w:rsid w:val="009543B3"/>
    <w:rsid w:val="00955A74"/>
    <w:rsid w:val="009635E2"/>
    <w:rsid w:val="00964E6C"/>
    <w:rsid w:val="0096718E"/>
    <w:rsid w:val="00971F90"/>
    <w:rsid w:val="0097620E"/>
    <w:rsid w:val="00976D96"/>
    <w:rsid w:val="00983464"/>
    <w:rsid w:val="00985AAD"/>
    <w:rsid w:val="0098660F"/>
    <w:rsid w:val="00987F26"/>
    <w:rsid w:val="00990C3C"/>
    <w:rsid w:val="00990D7F"/>
    <w:rsid w:val="009911B0"/>
    <w:rsid w:val="00992FE1"/>
    <w:rsid w:val="00993218"/>
    <w:rsid w:val="00997405"/>
    <w:rsid w:val="0099750F"/>
    <w:rsid w:val="00997D0F"/>
    <w:rsid w:val="00997FCA"/>
    <w:rsid w:val="009A1D29"/>
    <w:rsid w:val="009A29DF"/>
    <w:rsid w:val="009A4C13"/>
    <w:rsid w:val="009B1EB2"/>
    <w:rsid w:val="009B458A"/>
    <w:rsid w:val="009B4D20"/>
    <w:rsid w:val="009B65C4"/>
    <w:rsid w:val="009B6B3A"/>
    <w:rsid w:val="009C5F51"/>
    <w:rsid w:val="009C5FB8"/>
    <w:rsid w:val="009C6A84"/>
    <w:rsid w:val="009C7D7E"/>
    <w:rsid w:val="009D20C3"/>
    <w:rsid w:val="009D4883"/>
    <w:rsid w:val="009D4AFC"/>
    <w:rsid w:val="009D6F13"/>
    <w:rsid w:val="009E08D4"/>
    <w:rsid w:val="009E5281"/>
    <w:rsid w:val="009E6C3A"/>
    <w:rsid w:val="009E79D6"/>
    <w:rsid w:val="009E7A94"/>
    <w:rsid w:val="009F118A"/>
    <w:rsid w:val="009F30FB"/>
    <w:rsid w:val="009F378E"/>
    <w:rsid w:val="009F399B"/>
    <w:rsid w:val="009F5BB1"/>
    <w:rsid w:val="009F7719"/>
    <w:rsid w:val="00A0064B"/>
    <w:rsid w:val="00A01548"/>
    <w:rsid w:val="00A01B1C"/>
    <w:rsid w:val="00A03BC9"/>
    <w:rsid w:val="00A046FC"/>
    <w:rsid w:val="00A04DDF"/>
    <w:rsid w:val="00A073A1"/>
    <w:rsid w:val="00A10C76"/>
    <w:rsid w:val="00A114AE"/>
    <w:rsid w:val="00A1473F"/>
    <w:rsid w:val="00A16162"/>
    <w:rsid w:val="00A22B25"/>
    <w:rsid w:val="00A233A5"/>
    <w:rsid w:val="00A25566"/>
    <w:rsid w:val="00A26D78"/>
    <w:rsid w:val="00A27105"/>
    <w:rsid w:val="00A307A9"/>
    <w:rsid w:val="00A31D64"/>
    <w:rsid w:val="00A3287A"/>
    <w:rsid w:val="00A33A34"/>
    <w:rsid w:val="00A33D43"/>
    <w:rsid w:val="00A36EF9"/>
    <w:rsid w:val="00A3727F"/>
    <w:rsid w:val="00A400CD"/>
    <w:rsid w:val="00A40139"/>
    <w:rsid w:val="00A40C3A"/>
    <w:rsid w:val="00A40DBF"/>
    <w:rsid w:val="00A469E8"/>
    <w:rsid w:val="00A51A46"/>
    <w:rsid w:val="00A537E4"/>
    <w:rsid w:val="00A53F68"/>
    <w:rsid w:val="00A551F7"/>
    <w:rsid w:val="00A568C7"/>
    <w:rsid w:val="00A57A50"/>
    <w:rsid w:val="00A60EF4"/>
    <w:rsid w:val="00A60FEF"/>
    <w:rsid w:val="00A61475"/>
    <w:rsid w:val="00A61954"/>
    <w:rsid w:val="00A62AE4"/>
    <w:rsid w:val="00A62EB5"/>
    <w:rsid w:val="00A63ABA"/>
    <w:rsid w:val="00A63EBC"/>
    <w:rsid w:val="00A66877"/>
    <w:rsid w:val="00A6797A"/>
    <w:rsid w:val="00A7537A"/>
    <w:rsid w:val="00A756B4"/>
    <w:rsid w:val="00A75C10"/>
    <w:rsid w:val="00A80855"/>
    <w:rsid w:val="00A81886"/>
    <w:rsid w:val="00A82627"/>
    <w:rsid w:val="00A83C07"/>
    <w:rsid w:val="00A917AC"/>
    <w:rsid w:val="00A91831"/>
    <w:rsid w:val="00A939D7"/>
    <w:rsid w:val="00A9429B"/>
    <w:rsid w:val="00AA0490"/>
    <w:rsid w:val="00AA16D9"/>
    <w:rsid w:val="00AA7626"/>
    <w:rsid w:val="00AA77F7"/>
    <w:rsid w:val="00AB0106"/>
    <w:rsid w:val="00AB05EE"/>
    <w:rsid w:val="00AB0855"/>
    <w:rsid w:val="00AB3190"/>
    <w:rsid w:val="00AB4198"/>
    <w:rsid w:val="00AB5175"/>
    <w:rsid w:val="00AC31D9"/>
    <w:rsid w:val="00AC3E97"/>
    <w:rsid w:val="00AC4821"/>
    <w:rsid w:val="00AC55EA"/>
    <w:rsid w:val="00AC6473"/>
    <w:rsid w:val="00AC769E"/>
    <w:rsid w:val="00AC7D9B"/>
    <w:rsid w:val="00AD25BC"/>
    <w:rsid w:val="00AD3207"/>
    <w:rsid w:val="00AD4425"/>
    <w:rsid w:val="00AD61B7"/>
    <w:rsid w:val="00AD688F"/>
    <w:rsid w:val="00AD6A90"/>
    <w:rsid w:val="00AE35CB"/>
    <w:rsid w:val="00AE37E9"/>
    <w:rsid w:val="00AE5630"/>
    <w:rsid w:val="00AE63A6"/>
    <w:rsid w:val="00AF2077"/>
    <w:rsid w:val="00AF225E"/>
    <w:rsid w:val="00AF4764"/>
    <w:rsid w:val="00AF52B0"/>
    <w:rsid w:val="00AF69D6"/>
    <w:rsid w:val="00AF7EDE"/>
    <w:rsid w:val="00B019BE"/>
    <w:rsid w:val="00B03B4A"/>
    <w:rsid w:val="00B05C9E"/>
    <w:rsid w:val="00B06112"/>
    <w:rsid w:val="00B06BA7"/>
    <w:rsid w:val="00B07BE6"/>
    <w:rsid w:val="00B101C4"/>
    <w:rsid w:val="00B12571"/>
    <w:rsid w:val="00B1709C"/>
    <w:rsid w:val="00B20B05"/>
    <w:rsid w:val="00B23496"/>
    <w:rsid w:val="00B276F7"/>
    <w:rsid w:val="00B27832"/>
    <w:rsid w:val="00B30FBA"/>
    <w:rsid w:val="00B325FD"/>
    <w:rsid w:val="00B32D39"/>
    <w:rsid w:val="00B33A61"/>
    <w:rsid w:val="00B35A81"/>
    <w:rsid w:val="00B36053"/>
    <w:rsid w:val="00B37BCB"/>
    <w:rsid w:val="00B410ED"/>
    <w:rsid w:val="00B42980"/>
    <w:rsid w:val="00B4356F"/>
    <w:rsid w:val="00B43C8E"/>
    <w:rsid w:val="00B5083C"/>
    <w:rsid w:val="00B50EE9"/>
    <w:rsid w:val="00B51486"/>
    <w:rsid w:val="00B522B3"/>
    <w:rsid w:val="00B52B36"/>
    <w:rsid w:val="00B53505"/>
    <w:rsid w:val="00B5389D"/>
    <w:rsid w:val="00B619F3"/>
    <w:rsid w:val="00B636AD"/>
    <w:rsid w:val="00B641D7"/>
    <w:rsid w:val="00B64DF2"/>
    <w:rsid w:val="00B65DA8"/>
    <w:rsid w:val="00B66EAA"/>
    <w:rsid w:val="00B70A81"/>
    <w:rsid w:val="00B70C16"/>
    <w:rsid w:val="00B714EE"/>
    <w:rsid w:val="00B7523E"/>
    <w:rsid w:val="00B76CD7"/>
    <w:rsid w:val="00B85B49"/>
    <w:rsid w:val="00B86AA0"/>
    <w:rsid w:val="00B86CD0"/>
    <w:rsid w:val="00B90DDA"/>
    <w:rsid w:val="00B9418F"/>
    <w:rsid w:val="00B9587C"/>
    <w:rsid w:val="00B959C2"/>
    <w:rsid w:val="00B975A3"/>
    <w:rsid w:val="00BA10F3"/>
    <w:rsid w:val="00BA1603"/>
    <w:rsid w:val="00BA2E72"/>
    <w:rsid w:val="00BA30BB"/>
    <w:rsid w:val="00BA44BC"/>
    <w:rsid w:val="00BA64F0"/>
    <w:rsid w:val="00BA75D3"/>
    <w:rsid w:val="00BB2E56"/>
    <w:rsid w:val="00BB38F5"/>
    <w:rsid w:val="00BB4D5E"/>
    <w:rsid w:val="00BC0DB5"/>
    <w:rsid w:val="00BC2A83"/>
    <w:rsid w:val="00BC2F55"/>
    <w:rsid w:val="00BC3649"/>
    <w:rsid w:val="00BD14D1"/>
    <w:rsid w:val="00BD1692"/>
    <w:rsid w:val="00BD5542"/>
    <w:rsid w:val="00BD6652"/>
    <w:rsid w:val="00BD6723"/>
    <w:rsid w:val="00BD77E8"/>
    <w:rsid w:val="00BE101A"/>
    <w:rsid w:val="00BE118C"/>
    <w:rsid w:val="00BE16FA"/>
    <w:rsid w:val="00BE6C9E"/>
    <w:rsid w:val="00BF0EDE"/>
    <w:rsid w:val="00BF22C0"/>
    <w:rsid w:val="00BF2F84"/>
    <w:rsid w:val="00BF3C19"/>
    <w:rsid w:val="00BF52F1"/>
    <w:rsid w:val="00C02291"/>
    <w:rsid w:val="00C0398C"/>
    <w:rsid w:val="00C0434A"/>
    <w:rsid w:val="00C1069E"/>
    <w:rsid w:val="00C120A9"/>
    <w:rsid w:val="00C12433"/>
    <w:rsid w:val="00C126DF"/>
    <w:rsid w:val="00C14C3A"/>
    <w:rsid w:val="00C150D4"/>
    <w:rsid w:val="00C15AC6"/>
    <w:rsid w:val="00C20D12"/>
    <w:rsid w:val="00C218CD"/>
    <w:rsid w:val="00C31648"/>
    <w:rsid w:val="00C34B4B"/>
    <w:rsid w:val="00C403B0"/>
    <w:rsid w:val="00C41033"/>
    <w:rsid w:val="00C4184B"/>
    <w:rsid w:val="00C4386B"/>
    <w:rsid w:val="00C43E91"/>
    <w:rsid w:val="00C44894"/>
    <w:rsid w:val="00C454A9"/>
    <w:rsid w:val="00C4683F"/>
    <w:rsid w:val="00C5098C"/>
    <w:rsid w:val="00C541FE"/>
    <w:rsid w:val="00C5593B"/>
    <w:rsid w:val="00C571D7"/>
    <w:rsid w:val="00C62B13"/>
    <w:rsid w:val="00C62F89"/>
    <w:rsid w:val="00C65F52"/>
    <w:rsid w:val="00C6785E"/>
    <w:rsid w:val="00C73BCF"/>
    <w:rsid w:val="00C75C40"/>
    <w:rsid w:val="00C76FDA"/>
    <w:rsid w:val="00C777E3"/>
    <w:rsid w:val="00C812BC"/>
    <w:rsid w:val="00C816F1"/>
    <w:rsid w:val="00C82F34"/>
    <w:rsid w:val="00C83CCB"/>
    <w:rsid w:val="00C84092"/>
    <w:rsid w:val="00C84537"/>
    <w:rsid w:val="00C85C2E"/>
    <w:rsid w:val="00C8615D"/>
    <w:rsid w:val="00C92C27"/>
    <w:rsid w:val="00C94919"/>
    <w:rsid w:val="00C95ECB"/>
    <w:rsid w:val="00CA2622"/>
    <w:rsid w:val="00CA56CB"/>
    <w:rsid w:val="00CA6869"/>
    <w:rsid w:val="00CA6AE6"/>
    <w:rsid w:val="00CB02F0"/>
    <w:rsid w:val="00CB145B"/>
    <w:rsid w:val="00CB288A"/>
    <w:rsid w:val="00CB5073"/>
    <w:rsid w:val="00CB6EDC"/>
    <w:rsid w:val="00CC19EE"/>
    <w:rsid w:val="00CC4C14"/>
    <w:rsid w:val="00CC7879"/>
    <w:rsid w:val="00CD104F"/>
    <w:rsid w:val="00CD10B2"/>
    <w:rsid w:val="00CD1162"/>
    <w:rsid w:val="00CD34C9"/>
    <w:rsid w:val="00CD3879"/>
    <w:rsid w:val="00CD5351"/>
    <w:rsid w:val="00CD54ED"/>
    <w:rsid w:val="00CD797C"/>
    <w:rsid w:val="00CD7FFA"/>
    <w:rsid w:val="00CE2519"/>
    <w:rsid w:val="00CE2B88"/>
    <w:rsid w:val="00CE2E5F"/>
    <w:rsid w:val="00CE53FB"/>
    <w:rsid w:val="00CE5C33"/>
    <w:rsid w:val="00CE7509"/>
    <w:rsid w:val="00CF0FEF"/>
    <w:rsid w:val="00CF28EC"/>
    <w:rsid w:val="00CF2A2E"/>
    <w:rsid w:val="00CF2C19"/>
    <w:rsid w:val="00CF59DF"/>
    <w:rsid w:val="00CF64C0"/>
    <w:rsid w:val="00D05922"/>
    <w:rsid w:val="00D061EB"/>
    <w:rsid w:val="00D06B34"/>
    <w:rsid w:val="00D07440"/>
    <w:rsid w:val="00D1766C"/>
    <w:rsid w:val="00D17CC8"/>
    <w:rsid w:val="00D2229A"/>
    <w:rsid w:val="00D2235B"/>
    <w:rsid w:val="00D22F63"/>
    <w:rsid w:val="00D237A7"/>
    <w:rsid w:val="00D2518F"/>
    <w:rsid w:val="00D25E95"/>
    <w:rsid w:val="00D27B49"/>
    <w:rsid w:val="00D3052B"/>
    <w:rsid w:val="00D308C9"/>
    <w:rsid w:val="00D310DB"/>
    <w:rsid w:val="00D32415"/>
    <w:rsid w:val="00D32E13"/>
    <w:rsid w:val="00D33D48"/>
    <w:rsid w:val="00D355B6"/>
    <w:rsid w:val="00D41BC0"/>
    <w:rsid w:val="00D431A5"/>
    <w:rsid w:val="00D43255"/>
    <w:rsid w:val="00D4341D"/>
    <w:rsid w:val="00D4352A"/>
    <w:rsid w:val="00D45531"/>
    <w:rsid w:val="00D46144"/>
    <w:rsid w:val="00D466FA"/>
    <w:rsid w:val="00D475E8"/>
    <w:rsid w:val="00D53ECF"/>
    <w:rsid w:val="00D548C9"/>
    <w:rsid w:val="00D5738F"/>
    <w:rsid w:val="00D57607"/>
    <w:rsid w:val="00D57D14"/>
    <w:rsid w:val="00D601CF"/>
    <w:rsid w:val="00D623DE"/>
    <w:rsid w:val="00D635A4"/>
    <w:rsid w:val="00D64B64"/>
    <w:rsid w:val="00D64BFD"/>
    <w:rsid w:val="00D669C4"/>
    <w:rsid w:val="00D71A31"/>
    <w:rsid w:val="00D71FA1"/>
    <w:rsid w:val="00D7733A"/>
    <w:rsid w:val="00D77E7C"/>
    <w:rsid w:val="00D77EA6"/>
    <w:rsid w:val="00D80432"/>
    <w:rsid w:val="00D82C59"/>
    <w:rsid w:val="00D843FE"/>
    <w:rsid w:val="00D86E06"/>
    <w:rsid w:val="00D86EA4"/>
    <w:rsid w:val="00D96373"/>
    <w:rsid w:val="00D974CD"/>
    <w:rsid w:val="00D97B3F"/>
    <w:rsid w:val="00DA2CE7"/>
    <w:rsid w:val="00DA49E2"/>
    <w:rsid w:val="00DA5BB1"/>
    <w:rsid w:val="00DA6312"/>
    <w:rsid w:val="00DB0220"/>
    <w:rsid w:val="00DB135D"/>
    <w:rsid w:val="00DB1BAF"/>
    <w:rsid w:val="00DB28FE"/>
    <w:rsid w:val="00DB3359"/>
    <w:rsid w:val="00DB4B6D"/>
    <w:rsid w:val="00DB545C"/>
    <w:rsid w:val="00DB6775"/>
    <w:rsid w:val="00DC04D8"/>
    <w:rsid w:val="00DC0AF3"/>
    <w:rsid w:val="00DC0BFD"/>
    <w:rsid w:val="00DC0E92"/>
    <w:rsid w:val="00DC21FE"/>
    <w:rsid w:val="00DC3C5A"/>
    <w:rsid w:val="00DC3E86"/>
    <w:rsid w:val="00DC4A8A"/>
    <w:rsid w:val="00DD014B"/>
    <w:rsid w:val="00DD0EC4"/>
    <w:rsid w:val="00DD10D3"/>
    <w:rsid w:val="00DD1CB7"/>
    <w:rsid w:val="00DD3297"/>
    <w:rsid w:val="00DD3F5D"/>
    <w:rsid w:val="00DD422E"/>
    <w:rsid w:val="00DD54DD"/>
    <w:rsid w:val="00DD6328"/>
    <w:rsid w:val="00DE6004"/>
    <w:rsid w:val="00DE690A"/>
    <w:rsid w:val="00DF3795"/>
    <w:rsid w:val="00E00E3C"/>
    <w:rsid w:val="00E02B3F"/>
    <w:rsid w:val="00E03E5B"/>
    <w:rsid w:val="00E04233"/>
    <w:rsid w:val="00E05B23"/>
    <w:rsid w:val="00E13749"/>
    <w:rsid w:val="00E168F8"/>
    <w:rsid w:val="00E203BE"/>
    <w:rsid w:val="00E21EF3"/>
    <w:rsid w:val="00E223C1"/>
    <w:rsid w:val="00E22B0B"/>
    <w:rsid w:val="00E30A6B"/>
    <w:rsid w:val="00E31596"/>
    <w:rsid w:val="00E31F4F"/>
    <w:rsid w:val="00E36130"/>
    <w:rsid w:val="00E3680A"/>
    <w:rsid w:val="00E37391"/>
    <w:rsid w:val="00E41374"/>
    <w:rsid w:val="00E44C8A"/>
    <w:rsid w:val="00E44F60"/>
    <w:rsid w:val="00E45722"/>
    <w:rsid w:val="00E46404"/>
    <w:rsid w:val="00E50FD5"/>
    <w:rsid w:val="00E5316B"/>
    <w:rsid w:val="00E563EC"/>
    <w:rsid w:val="00E56461"/>
    <w:rsid w:val="00E6162B"/>
    <w:rsid w:val="00E62A3A"/>
    <w:rsid w:val="00E63327"/>
    <w:rsid w:val="00E6548E"/>
    <w:rsid w:val="00E67D72"/>
    <w:rsid w:val="00E71324"/>
    <w:rsid w:val="00E73848"/>
    <w:rsid w:val="00E74064"/>
    <w:rsid w:val="00E751A0"/>
    <w:rsid w:val="00E7710C"/>
    <w:rsid w:val="00E80675"/>
    <w:rsid w:val="00E82225"/>
    <w:rsid w:val="00E842BD"/>
    <w:rsid w:val="00E846BD"/>
    <w:rsid w:val="00E85C6B"/>
    <w:rsid w:val="00E860F7"/>
    <w:rsid w:val="00E87DAA"/>
    <w:rsid w:val="00E90366"/>
    <w:rsid w:val="00E90806"/>
    <w:rsid w:val="00E90C7F"/>
    <w:rsid w:val="00E91CB1"/>
    <w:rsid w:val="00E92897"/>
    <w:rsid w:val="00EA2BCF"/>
    <w:rsid w:val="00EA49A9"/>
    <w:rsid w:val="00EA5BCF"/>
    <w:rsid w:val="00EA6662"/>
    <w:rsid w:val="00EA6A49"/>
    <w:rsid w:val="00EA6F4D"/>
    <w:rsid w:val="00EB0231"/>
    <w:rsid w:val="00EB0ACC"/>
    <w:rsid w:val="00EB246C"/>
    <w:rsid w:val="00EB2E32"/>
    <w:rsid w:val="00EB3146"/>
    <w:rsid w:val="00EB466C"/>
    <w:rsid w:val="00EB4A1F"/>
    <w:rsid w:val="00EC4B00"/>
    <w:rsid w:val="00EC4BA5"/>
    <w:rsid w:val="00EC4C78"/>
    <w:rsid w:val="00EC5239"/>
    <w:rsid w:val="00EC688E"/>
    <w:rsid w:val="00EC7BB3"/>
    <w:rsid w:val="00ED2054"/>
    <w:rsid w:val="00ED503F"/>
    <w:rsid w:val="00EE214D"/>
    <w:rsid w:val="00EE2925"/>
    <w:rsid w:val="00EE3CE0"/>
    <w:rsid w:val="00EE4502"/>
    <w:rsid w:val="00EE5853"/>
    <w:rsid w:val="00EE59DF"/>
    <w:rsid w:val="00EE6B3A"/>
    <w:rsid w:val="00EE6BA8"/>
    <w:rsid w:val="00EF2279"/>
    <w:rsid w:val="00EF5F31"/>
    <w:rsid w:val="00EF7E60"/>
    <w:rsid w:val="00F00CD5"/>
    <w:rsid w:val="00F0176C"/>
    <w:rsid w:val="00F04F08"/>
    <w:rsid w:val="00F13AFB"/>
    <w:rsid w:val="00F14F43"/>
    <w:rsid w:val="00F15294"/>
    <w:rsid w:val="00F179F6"/>
    <w:rsid w:val="00F20427"/>
    <w:rsid w:val="00F2074E"/>
    <w:rsid w:val="00F21B6B"/>
    <w:rsid w:val="00F21C9A"/>
    <w:rsid w:val="00F2553C"/>
    <w:rsid w:val="00F26E87"/>
    <w:rsid w:val="00F30BC4"/>
    <w:rsid w:val="00F31253"/>
    <w:rsid w:val="00F316E7"/>
    <w:rsid w:val="00F32200"/>
    <w:rsid w:val="00F32A6B"/>
    <w:rsid w:val="00F32ABC"/>
    <w:rsid w:val="00F3314B"/>
    <w:rsid w:val="00F410C2"/>
    <w:rsid w:val="00F410E5"/>
    <w:rsid w:val="00F427F7"/>
    <w:rsid w:val="00F441C7"/>
    <w:rsid w:val="00F45068"/>
    <w:rsid w:val="00F45BA2"/>
    <w:rsid w:val="00F45DAA"/>
    <w:rsid w:val="00F45F2D"/>
    <w:rsid w:val="00F462EC"/>
    <w:rsid w:val="00F478F9"/>
    <w:rsid w:val="00F51509"/>
    <w:rsid w:val="00F520D0"/>
    <w:rsid w:val="00F56A02"/>
    <w:rsid w:val="00F6027C"/>
    <w:rsid w:val="00F619B5"/>
    <w:rsid w:val="00F61BBB"/>
    <w:rsid w:val="00F622ED"/>
    <w:rsid w:val="00F62DB3"/>
    <w:rsid w:val="00F649B1"/>
    <w:rsid w:val="00F64DA8"/>
    <w:rsid w:val="00F65FEC"/>
    <w:rsid w:val="00F66F33"/>
    <w:rsid w:val="00F676BF"/>
    <w:rsid w:val="00F70644"/>
    <w:rsid w:val="00F706AB"/>
    <w:rsid w:val="00F7267F"/>
    <w:rsid w:val="00F74076"/>
    <w:rsid w:val="00F751EE"/>
    <w:rsid w:val="00F75A93"/>
    <w:rsid w:val="00F8028D"/>
    <w:rsid w:val="00F81DF2"/>
    <w:rsid w:val="00F84A81"/>
    <w:rsid w:val="00F856EE"/>
    <w:rsid w:val="00F85E47"/>
    <w:rsid w:val="00F8749D"/>
    <w:rsid w:val="00F875D6"/>
    <w:rsid w:val="00F9100A"/>
    <w:rsid w:val="00F91E78"/>
    <w:rsid w:val="00F92B60"/>
    <w:rsid w:val="00F939DA"/>
    <w:rsid w:val="00F9568A"/>
    <w:rsid w:val="00F95A38"/>
    <w:rsid w:val="00FA21A7"/>
    <w:rsid w:val="00FA236F"/>
    <w:rsid w:val="00FA2D09"/>
    <w:rsid w:val="00FA4007"/>
    <w:rsid w:val="00FA564A"/>
    <w:rsid w:val="00FA6482"/>
    <w:rsid w:val="00FA6654"/>
    <w:rsid w:val="00FA7E4B"/>
    <w:rsid w:val="00FB02C2"/>
    <w:rsid w:val="00FB265D"/>
    <w:rsid w:val="00FB310B"/>
    <w:rsid w:val="00FB4039"/>
    <w:rsid w:val="00FB6E2C"/>
    <w:rsid w:val="00FC4E6C"/>
    <w:rsid w:val="00FD144A"/>
    <w:rsid w:val="00FD17FF"/>
    <w:rsid w:val="00FD3AF1"/>
    <w:rsid w:val="00FD5111"/>
    <w:rsid w:val="00FD5D95"/>
    <w:rsid w:val="00FD7BA7"/>
    <w:rsid w:val="00FE0AFC"/>
    <w:rsid w:val="00FE2F4C"/>
    <w:rsid w:val="00FE43B7"/>
    <w:rsid w:val="00FE4A0A"/>
    <w:rsid w:val="00FE664B"/>
    <w:rsid w:val="00FE6E4D"/>
    <w:rsid w:val="00FE6FB0"/>
    <w:rsid w:val="00FF06A6"/>
    <w:rsid w:val="00FF18D0"/>
    <w:rsid w:val="00FF2387"/>
    <w:rsid w:val="00FF3949"/>
    <w:rsid w:val="01051552"/>
    <w:rsid w:val="010C401E"/>
    <w:rsid w:val="018D2D1D"/>
    <w:rsid w:val="01D9277C"/>
    <w:rsid w:val="01DF4DE5"/>
    <w:rsid w:val="01FA4497"/>
    <w:rsid w:val="021870F5"/>
    <w:rsid w:val="02551261"/>
    <w:rsid w:val="02D46255"/>
    <w:rsid w:val="02FF416A"/>
    <w:rsid w:val="030024F3"/>
    <w:rsid w:val="033D58B6"/>
    <w:rsid w:val="03563DC3"/>
    <w:rsid w:val="038835EC"/>
    <w:rsid w:val="03910BD9"/>
    <w:rsid w:val="039B6FAB"/>
    <w:rsid w:val="040D6EEC"/>
    <w:rsid w:val="049C57A7"/>
    <w:rsid w:val="04C70F86"/>
    <w:rsid w:val="04EC1D5B"/>
    <w:rsid w:val="050A1D55"/>
    <w:rsid w:val="05137A7B"/>
    <w:rsid w:val="059144D7"/>
    <w:rsid w:val="05AA66D8"/>
    <w:rsid w:val="05D73F11"/>
    <w:rsid w:val="05DA41A5"/>
    <w:rsid w:val="062F2316"/>
    <w:rsid w:val="064C60C8"/>
    <w:rsid w:val="06B279FC"/>
    <w:rsid w:val="071E6B81"/>
    <w:rsid w:val="072076D8"/>
    <w:rsid w:val="0752095C"/>
    <w:rsid w:val="075D5D2A"/>
    <w:rsid w:val="07D61A3A"/>
    <w:rsid w:val="081E1BB7"/>
    <w:rsid w:val="08453735"/>
    <w:rsid w:val="08493759"/>
    <w:rsid w:val="087B2F53"/>
    <w:rsid w:val="08A66030"/>
    <w:rsid w:val="08A953A1"/>
    <w:rsid w:val="08C057F9"/>
    <w:rsid w:val="08E34E91"/>
    <w:rsid w:val="0935786A"/>
    <w:rsid w:val="093C38FD"/>
    <w:rsid w:val="09737CAB"/>
    <w:rsid w:val="097C6F47"/>
    <w:rsid w:val="099D722B"/>
    <w:rsid w:val="09AD68CE"/>
    <w:rsid w:val="09B67E6F"/>
    <w:rsid w:val="09D8583F"/>
    <w:rsid w:val="09F96A96"/>
    <w:rsid w:val="0A09098D"/>
    <w:rsid w:val="0A204576"/>
    <w:rsid w:val="0A9719C2"/>
    <w:rsid w:val="0B09201A"/>
    <w:rsid w:val="0B1A222C"/>
    <w:rsid w:val="0B35326C"/>
    <w:rsid w:val="0BA12D78"/>
    <w:rsid w:val="0C012DA7"/>
    <w:rsid w:val="0C274043"/>
    <w:rsid w:val="0C675732"/>
    <w:rsid w:val="0CA77331"/>
    <w:rsid w:val="0CA956E7"/>
    <w:rsid w:val="0CAB5C2D"/>
    <w:rsid w:val="0CC700D3"/>
    <w:rsid w:val="0D365E9A"/>
    <w:rsid w:val="0D7309EE"/>
    <w:rsid w:val="0D7D7253"/>
    <w:rsid w:val="0DD6249F"/>
    <w:rsid w:val="0E2110C6"/>
    <w:rsid w:val="0E2B3F92"/>
    <w:rsid w:val="0E501A85"/>
    <w:rsid w:val="0E835517"/>
    <w:rsid w:val="0E85748C"/>
    <w:rsid w:val="0E9C279A"/>
    <w:rsid w:val="0EE05C31"/>
    <w:rsid w:val="0EE278CF"/>
    <w:rsid w:val="0F2B1363"/>
    <w:rsid w:val="0F36189B"/>
    <w:rsid w:val="0F3916A8"/>
    <w:rsid w:val="0F50652F"/>
    <w:rsid w:val="0F6E398D"/>
    <w:rsid w:val="0F8328BB"/>
    <w:rsid w:val="0FE47DC0"/>
    <w:rsid w:val="0FF14F96"/>
    <w:rsid w:val="101E5995"/>
    <w:rsid w:val="1023254A"/>
    <w:rsid w:val="10E83133"/>
    <w:rsid w:val="10EB0663"/>
    <w:rsid w:val="110D0283"/>
    <w:rsid w:val="11263892"/>
    <w:rsid w:val="11591AA2"/>
    <w:rsid w:val="11725BA6"/>
    <w:rsid w:val="118B764E"/>
    <w:rsid w:val="118C7AFA"/>
    <w:rsid w:val="11A42DD2"/>
    <w:rsid w:val="11BC6E80"/>
    <w:rsid w:val="11CD15AC"/>
    <w:rsid w:val="1217153B"/>
    <w:rsid w:val="122861E9"/>
    <w:rsid w:val="129B5A1B"/>
    <w:rsid w:val="12A72F95"/>
    <w:rsid w:val="13253048"/>
    <w:rsid w:val="132E2564"/>
    <w:rsid w:val="13B333F5"/>
    <w:rsid w:val="13C33ABB"/>
    <w:rsid w:val="13E02AD9"/>
    <w:rsid w:val="14041416"/>
    <w:rsid w:val="145A73FD"/>
    <w:rsid w:val="14A05BAB"/>
    <w:rsid w:val="14CC3677"/>
    <w:rsid w:val="14E81930"/>
    <w:rsid w:val="158879DE"/>
    <w:rsid w:val="15912327"/>
    <w:rsid w:val="1592616E"/>
    <w:rsid w:val="15C93F3E"/>
    <w:rsid w:val="15D51F3D"/>
    <w:rsid w:val="16113B83"/>
    <w:rsid w:val="16425A64"/>
    <w:rsid w:val="1648334C"/>
    <w:rsid w:val="168134D7"/>
    <w:rsid w:val="17211B5A"/>
    <w:rsid w:val="173F6184"/>
    <w:rsid w:val="17572BED"/>
    <w:rsid w:val="17586894"/>
    <w:rsid w:val="178C0B4E"/>
    <w:rsid w:val="17B35102"/>
    <w:rsid w:val="17D50A04"/>
    <w:rsid w:val="17D87B5B"/>
    <w:rsid w:val="18090A0A"/>
    <w:rsid w:val="183F43F5"/>
    <w:rsid w:val="18761BB3"/>
    <w:rsid w:val="18787590"/>
    <w:rsid w:val="188237F4"/>
    <w:rsid w:val="18CB71B5"/>
    <w:rsid w:val="18D87C96"/>
    <w:rsid w:val="1901601B"/>
    <w:rsid w:val="193F0DE0"/>
    <w:rsid w:val="197D2F15"/>
    <w:rsid w:val="19B32FED"/>
    <w:rsid w:val="19CF361D"/>
    <w:rsid w:val="19D61F5A"/>
    <w:rsid w:val="1A111925"/>
    <w:rsid w:val="1A310B82"/>
    <w:rsid w:val="1A3D4941"/>
    <w:rsid w:val="1A8D3EF5"/>
    <w:rsid w:val="1AA57685"/>
    <w:rsid w:val="1AAB43CF"/>
    <w:rsid w:val="1ABD3CE9"/>
    <w:rsid w:val="1B0C74AC"/>
    <w:rsid w:val="1B4019A4"/>
    <w:rsid w:val="1BD77296"/>
    <w:rsid w:val="1BE90206"/>
    <w:rsid w:val="1BF430BD"/>
    <w:rsid w:val="1C0750E5"/>
    <w:rsid w:val="1C515326"/>
    <w:rsid w:val="1D204548"/>
    <w:rsid w:val="1D332C6F"/>
    <w:rsid w:val="1D485319"/>
    <w:rsid w:val="1D6C0F89"/>
    <w:rsid w:val="1D885EC6"/>
    <w:rsid w:val="1DC270C1"/>
    <w:rsid w:val="1DEF7AE7"/>
    <w:rsid w:val="1E2843AB"/>
    <w:rsid w:val="1E3A7070"/>
    <w:rsid w:val="1E531058"/>
    <w:rsid w:val="1E5F62D5"/>
    <w:rsid w:val="1E7325D3"/>
    <w:rsid w:val="1EBF0C41"/>
    <w:rsid w:val="1ECD49D4"/>
    <w:rsid w:val="1EFD7EBB"/>
    <w:rsid w:val="1F136036"/>
    <w:rsid w:val="1F8D652A"/>
    <w:rsid w:val="1F9C381D"/>
    <w:rsid w:val="1FA45159"/>
    <w:rsid w:val="1FA8214F"/>
    <w:rsid w:val="1FA96EE5"/>
    <w:rsid w:val="1FB21EBC"/>
    <w:rsid w:val="1FF71EBB"/>
    <w:rsid w:val="20144886"/>
    <w:rsid w:val="20176124"/>
    <w:rsid w:val="202541D0"/>
    <w:rsid w:val="20642632"/>
    <w:rsid w:val="20B636AC"/>
    <w:rsid w:val="20C67A40"/>
    <w:rsid w:val="20EB4FD8"/>
    <w:rsid w:val="20EC02D1"/>
    <w:rsid w:val="21273475"/>
    <w:rsid w:val="214E0D73"/>
    <w:rsid w:val="21B43535"/>
    <w:rsid w:val="21C76111"/>
    <w:rsid w:val="22092BB0"/>
    <w:rsid w:val="22337238"/>
    <w:rsid w:val="22C16D9F"/>
    <w:rsid w:val="22DF110F"/>
    <w:rsid w:val="22E6084E"/>
    <w:rsid w:val="235E0D06"/>
    <w:rsid w:val="237C1972"/>
    <w:rsid w:val="238A1AE3"/>
    <w:rsid w:val="23C51637"/>
    <w:rsid w:val="23D30A42"/>
    <w:rsid w:val="23ED26E3"/>
    <w:rsid w:val="23F33EEC"/>
    <w:rsid w:val="240222D8"/>
    <w:rsid w:val="241A3733"/>
    <w:rsid w:val="243D2B9D"/>
    <w:rsid w:val="246D1F8B"/>
    <w:rsid w:val="24AE75DD"/>
    <w:rsid w:val="2532573C"/>
    <w:rsid w:val="25616155"/>
    <w:rsid w:val="2570282C"/>
    <w:rsid w:val="25BA65B3"/>
    <w:rsid w:val="25D127A4"/>
    <w:rsid w:val="26770C9B"/>
    <w:rsid w:val="26BC7DA7"/>
    <w:rsid w:val="26C2774B"/>
    <w:rsid w:val="26F51886"/>
    <w:rsid w:val="275D4D64"/>
    <w:rsid w:val="27B54836"/>
    <w:rsid w:val="27B673BC"/>
    <w:rsid w:val="27C106F7"/>
    <w:rsid w:val="28174EDE"/>
    <w:rsid w:val="289A0F2C"/>
    <w:rsid w:val="28A80317"/>
    <w:rsid w:val="28C446F3"/>
    <w:rsid w:val="28DD197D"/>
    <w:rsid w:val="28EC5A7D"/>
    <w:rsid w:val="28EC75AB"/>
    <w:rsid w:val="29657F00"/>
    <w:rsid w:val="29746910"/>
    <w:rsid w:val="29B13B40"/>
    <w:rsid w:val="2A333E93"/>
    <w:rsid w:val="2A4411BD"/>
    <w:rsid w:val="2A7E4D57"/>
    <w:rsid w:val="2A9011CB"/>
    <w:rsid w:val="2B151C02"/>
    <w:rsid w:val="2B4E73E5"/>
    <w:rsid w:val="2B5C6850"/>
    <w:rsid w:val="2B814E0C"/>
    <w:rsid w:val="2B9915AF"/>
    <w:rsid w:val="2BA379DC"/>
    <w:rsid w:val="2BD55728"/>
    <w:rsid w:val="2BEB4298"/>
    <w:rsid w:val="2C12130D"/>
    <w:rsid w:val="2C9B5CDF"/>
    <w:rsid w:val="2CA4779E"/>
    <w:rsid w:val="2D190AD7"/>
    <w:rsid w:val="2D614DF3"/>
    <w:rsid w:val="2DA603E7"/>
    <w:rsid w:val="2DB64C71"/>
    <w:rsid w:val="2DDF6F83"/>
    <w:rsid w:val="2E103922"/>
    <w:rsid w:val="2E894C2E"/>
    <w:rsid w:val="2EAE7829"/>
    <w:rsid w:val="2EAF5B59"/>
    <w:rsid w:val="2EDF50AF"/>
    <w:rsid w:val="2F0D0392"/>
    <w:rsid w:val="2F1C5804"/>
    <w:rsid w:val="2F1D1439"/>
    <w:rsid w:val="2F6E755A"/>
    <w:rsid w:val="2F9E782D"/>
    <w:rsid w:val="30440CA4"/>
    <w:rsid w:val="30450194"/>
    <w:rsid w:val="308A1AF1"/>
    <w:rsid w:val="30CA59A3"/>
    <w:rsid w:val="311002A4"/>
    <w:rsid w:val="31142EA5"/>
    <w:rsid w:val="31551D5A"/>
    <w:rsid w:val="316056FD"/>
    <w:rsid w:val="316675A7"/>
    <w:rsid w:val="3179282B"/>
    <w:rsid w:val="3197352A"/>
    <w:rsid w:val="31D35CAE"/>
    <w:rsid w:val="32633367"/>
    <w:rsid w:val="32967529"/>
    <w:rsid w:val="32B73329"/>
    <w:rsid w:val="333D5895"/>
    <w:rsid w:val="33526670"/>
    <w:rsid w:val="335B7289"/>
    <w:rsid w:val="33677ACD"/>
    <w:rsid w:val="3377532E"/>
    <w:rsid w:val="33AA336D"/>
    <w:rsid w:val="33AC7938"/>
    <w:rsid w:val="33E351F8"/>
    <w:rsid w:val="34941EB8"/>
    <w:rsid w:val="349C68AA"/>
    <w:rsid w:val="34A033BB"/>
    <w:rsid w:val="34C67E40"/>
    <w:rsid w:val="34F41CC8"/>
    <w:rsid w:val="3571412B"/>
    <w:rsid w:val="358B1EA0"/>
    <w:rsid w:val="35CD6837"/>
    <w:rsid w:val="36354732"/>
    <w:rsid w:val="36533F02"/>
    <w:rsid w:val="36C04073"/>
    <w:rsid w:val="37012291"/>
    <w:rsid w:val="37C66DFF"/>
    <w:rsid w:val="37EA6E4E"/>
    <w:rsid w:val="380B0529"/>
    <w:rsid w:val="38107388"/>
    <w:rsid w:val="383A2E5A"/>
    <w:rsid w:val="387B3E84"/>
    <w:rsid w:val="389B39E5"/>
    <w:rsid w:val="38D23B45"/>
    <w:rsid w:val="393120C6"/>
    <w:rsid w:val="393D0664"/>
    <w:rsid w:val="396064F0"/>
    <w:rsid w:val="39A304C2"/>
    <w:rsid w:val="39A83687"/>
    <w:rsid w:val="3A046740"/>
    <w:rsid w:val="3A3664CE"/>
    <w:rsid w:val="3A7B4E29"/>
    <w:rsid w:val="3AF76876"/>
    <w:rsid w:val="3B0621F0"/>
    <w:rsid w:val="3B305EC1"/>
    <w:rsid w:val="3B4853AA"/>
    <w:rsid w:val="3B4C77BB"/>
    <w:rsid w:val="3B77283C"/>
    <w:rsid w:val="3B794E83"/>
    <w:rsid w:val="3B8620A3"/>
    <w:rsid w:val="3BA81F4F"/>
    <w:rsid w:val="3BDF14C6"/>
    <w:rsid w:val="3C1E7599"/>
    <w:rsid w:val="3C1F70B4"/>
    <w:rsid w:val="3C2D0739"/>
    <w:rsid w:val="3C394B7E"/>
    <w:rsid w:val="3C3B286B"/>
    <w:rsid w:val="3C6D67D2"/>
    <w:rsid w:val="3C965AC1"/>
    <w:rsid w:val="3CE11ED5"/>
    <w:rsid w:val="3D432906"/>
    <w:rsid w:val="3D731D2D"/>
    <w:rsid w:val="3D7842D6"/>
    <w:rsid w:val="3DA31F45"/>
    <w:rsid w:val="3DAC528B"/>
    <w:rsid w:val="3DD14960"/>
    <w:rsid w:val="3DF5151A"/>
    <w:rsid w:val="3DF902FD"/>
    <w:rsid w:val="3E57304B"/>
    <w:rsid w:val="3E820DB3"/>
    <w:rsid w:val="3EC20E1E"/>
    <w:rsid w:val="3EC66F8D"/>
    <w:rsid w:val="3F10489B"/>
    <w:rsid w:val="3F6F41AB"/>
    <w:rsid w:val="3F78436B"/>
    <w:rsid w:val="3F894E0F"/>
    <w:rsid w:val="3FDD1404"/>
    <w:rsid w:val="4002512F"/>
    <w:rsid w:val="40035358"/>
    <w:rsid w:val="400D3F56"/>
    <w:rsid w:val="403B7942"/>
    <w:rsid w:val="40577963"/>
    <w:rsid w:val="40785D9F"/>
    <w:rsid w:val="40901C16"/>
    <w:rsid w:val="40D17390"/>
    <w:rsid w:val="40F13B3E"/>
    <w:rsid w:val="411D3F7E"/>
    <w:rsid w:val="41652B8A"/>
    <w:rsid w:val="4283791D"/>
    <w:rsid w:val="42C44DAD"/>
    <w:rsid w:val="42C82582"/>
    <w:rsid w:val="42D368AC"/>
    <w:rsid w:val="438576C5"/>
    <w:rsid w:val="43A018D7"/>
    <w:rsid w:val="4435389B"/>
    <w:rsid w:val="44617308"/>
    <w:rsid w:val="44663F5C"/>
    <w:rsid w:val="446F6636"/>
    <w:rsid w:val="4494073D"/>
    <w:rsid w:val="44AC2A30"/>
    <w:rsid w:val="44FE2D99"/>
    <w:rsid w:val="450505C8"/>
    <w:rsid w:val="45140605"/>
    <w:rsid w:val="45326813"/>
    <w:rsid w:val="454017A3"/>
    <w:rsid w:val="45D4223E"/>
    <w:rsid w:val="45F1419A"/>
    <w:rsid w:val="462D194E"/>
    <w:rsid w:val="463F7FFF"/>
    <w:rsid w:val="465C2DA9"/>
    <w:rsid w:val="46947B27"/>
    <w:rsid w:val="46A115CF"/>
    <w:rsid w:val="46BA4FBB"/>
    <w:rsid w:val="4721407E"/>
    <w:rsid w:val="47366F47"/>
    <w:rsid w:val="476747F8"/>
    <w:rsid w:val="477332F3"/>
    <w:rsid w:val="47752A66"/>
    <w:rsid w:val="478E171E"/>
    <w:rsid w:val="47A142BD"/>
    <w:rsid w:val="47E90E89"/>
    <w:rsid w:val="47EE7F4E"/>
    <w:rsid w:val="47FB4477"/>
    <w:rsid w:val="4830615E"/>
    <w:rsid w:val="48377A03"/>
    <w:rsid w:val="48422C3B"/>
    <w:rsid w:val="48931F3C"/>
    <w:rsid w:val="48E82213"/>
    <w:rsid w:val="490D38F4"/>
    <w:rsid w:val="496059B0"/>
    <w:rsid w:val="49613CB6"/>
    <w:rsid w:val="49A9781D"/>
    <w:rsid w:val="49B06B0D"/>
    <w:rsid w:val="49BF6A8D"/>
    <w:rsid w:val="49D07E05"/>
    <w:rsid w:val="49DB52D3"/>
    <w:rsid w:val="4A407568"/>
    <w:rsid w:val="4A5E5224"/>
    <w:rsid w:val="4A7B29B7"/>
    <w:rsid w:val="4AA778D9"/>
    <w:rsid w:val="4AA87CEC"/>
    <w:rsid w:val="4ABB0A18"/>
    <w:rsid w:val="4B74498D"/>
    <w:rsid w:val="4B8A2CF4"/>
    <w:rsid w:val="4BC8121D"/>
    <w:rsid w:val="4BD062FF"/>
    <w:rsid w:val="4BF6649C"/>
    <w:rsid w:val="4C1A4D2D"/>
    <w:rsid w:val="4C1C6505"/>
    <w:rsid w:val="4C486881"/>
    <w:rsid w:val="4C854292"/>
    <w:rsid w:val="4C9123C9"/>
    <w:rsid w:val="4CC417FE"/>
    <w:rsid w:val="4D075F51"/>
    <w:rsid w:val="4D15658B"/>
    <w:rsid w:val="4D8819CC"/>
    <w:rsid w:val="4DCD4D1A"/>
    <w:rsid w:val="4DD67383"/>
    <w:rsid w:val="4E1E4F93"/>
    <w:rsid w:val="4E3268FA"/>
    <w:rsid w:val="4E4D5E4E"/>
    <w:rsid w:val="4EAC7D51"/>
    <w:rsid w:val="4EE06665"/>
    <w:rsid w:val="4F1807A1"/>
    <w:rsid w:val="4F1F1614"/>
    <w:rsid w:val="4F2301F1"/>
    <w:rsid w:val="4F7E0097"/>
    <w:rsid w:val="4FBF192E"/>
    <w:rsid w:val="4FD3464E"/>
    <w:rsid w:val="50100B0E"/>
    <w:rsid w:val="50176A05"/>
    <w:rsid w:val="50275F04"/>
    <w:rsid w:val="50583EDE"/>
    <w:rsid w:val="508F30B7"/>
    <w:rsid w:val="50BE5B0E"/>
    <w:rsid w:val="50F63067"/>
    <w:rsid w:val="510F3732"/>
    <w:rsid w:val="514131F5"/>
    <w:rsid w:val="51445317"/>
    <w:rsid w:val="5150688B"/>
    <w:rsid w:val="51516B32"/>
    <w:rsid w:val="517F123E"/>
    <w:rsid w:val="51AF592C"/>
    <w:rsid w:val="51B92597"/>
    <w:rsid w:val="51DE1040"/>
    <w:rsid w:val="51DE38B7"/>
    <w:rsid w:val="5207213A"/>
    <w:rsid w:val="520C5BE3"/>
    <w:rsid w:val="52217151"/>
    <w:rsid w:val="523E546C"/>
    <w:rsid w:val="52732585"/>
    <w:rsid w:val="52991324"/>
    <w:rsid w:val="53147DE0"/>
    <w:rsid w:val="53231843"/>
    <w:rsid w:val="534D7F40"/>
    <w:rsid w:val="535C268C"/>
    <w:rsid w:val="53656364"/>
    <w:rsid w:val="537E5500"/>
    <w:rsid w:val="537E791B"/>
    <w:rsid w:val="53930EE0"/>
    <w:rsid w:val="53B028A6"/>
    <w:rsid w:val="53B11B8C"/>
    <w:rsid w:val="53C67F1F"/>
    <w:rsid w:val="53CE21FE"/>
    <w:rsid w:val="54453763"/>
    <w:rsid w:val="54906BD0"/>
    <w:rsid w:val="54CD125A"/>
    <w:rsid w:val="54CD38E7"/>
    <w:rsid w:val="54D34BF7"/>
    <w:rsid w:val="54DC5E7A"/>
    <w:rsid w:val="550F60B4"/>
    <w:rsid w:val="55265ADC"/>
    <w:rsid w:val="553906C3"/>
    <w:rsid w:val="555146E8"/>
    <w:rsid w:val="55604B95"/>
    <w:rsid w:val="5581373A"/>
    <w:rsid w:val="5581795E"/>
    <w:rsid w:val="55B33050"/>
    <w:rsid w:val="55BB0931"/>
    <w:rsid w:val="562D0E0C"/>
    <w:rsid w:val="56B57026"/>
    <w:rsid w:val="56DE4FA1"/>
    <w:rsid w:val="56E03121"/>
    <w:rsid w:val="56E514F2"/>
    <w:rsid w:val="56E863B2"/>
    <w:rsid w:val="56F45BA0"/>
    <w:rsid w:val="571101B6"/>
    <w:rsid w:val="573F094B"/>
    <w:rsid w:val="57410C42"/>
    <w:rsid w:val="57787C06"/>
    <w:rsid w:val="57EC4EBE"/>
    <w:rsid w:val="5846381D"/>
    <w:rsid w:val="589C704F"/>
    <w:rsid w:val="589E1E62"/>
    <w:rsid w:val="58B25D2C"/>
    <w:rsid w:val="58B76C83"/>
    <w:rsid w:val="590B13E0"/>
    <w:rsid w:val="592A6E15"/>
    <w:rsid w:val="592D3304"/>
    <w:rsid w:val="59552379"/>
    <w:rsid w:val="597833BE"/>
    <w:rsid w:val="59913786"/>
    <w:rsid w:val="59A81E72"/>
    <w:rsid w:val="59D25738"/>
    <w:rsid w:val="5A1503D0"/>
    <w:rsid w:val="5AEF428F"/>
    <w:rsid w:val="5B054643"/>
    <w:rsid w:val="5B1A2042"/>
    <w:rsid w:val="5B305D11"/>
    <w:rsid w:val="5B452462"/>
    <w:rsid w:val="5B720B19"/>
    <w:rsid w:val="5B846685"/>
    <w:rsid w:val="5BA50EF2"/>
    <w:rsid w:val="5C1A2FEE"/>
    <w:rsid w:val="5C220BE7"/>
    <w:rsid w:val="5C4216F0"/>
    <w:rsid w:val="5C4B57AE"/>
    <w:rsid w:val="5C615BD5"/>
    <w:rsid w:val="5C7D5797"/>
    <w:rsid w:val="5C826B63"/>
    <w:rsid w:val="5C827831"/>
    <w:rsid w:val="5CA76F23"/>
    <w:rsid w:val="5CA90439"/>
    <w:rsid w:val="5CC67CC6"/>
    <w:rsid w:val="5CEF12B0"/>
    <w:rsid w:val="5D06091D"/>
    <w:rsid w:val="5DCF44E3"/>
    <w:rsid w:val="5DF32873"/>
    <w:rsid w:val="5E12724D"/>
    <w:rsid w:val="5E2E256E"/>
    <w:rsid w:val="5E30779A"/>
    <w:rsid w:val="5E3B0EBB"/>
    <w:rsid w:val="5E494458"/>
    <w:rsid w:val="5E680D20"/>
    <w:rsid w:val="5E88007A"/>
    <w:rsid w:val="5E987D63"/>
    <w:rsid w:val="5EE1693E"/>
    <w:rsid w:val="5F0E7B24"/>
    <w:rsid w:val="5F9F59A4"/>
    <w:rsid w:val="5FB56B01"/>
    <w:rsid w:val="5FBA204D"/>
    <w:rsid w:val="5FDB7D71"/>
    <w:rsid w:val="5FE1706B"/>
    <w:rsid w:val="607D30F9"/>
    <w:rsid w:val="608019EE"/>
    <w:rsid w:val="608509C8"/>
    <w:rsid w:val="60AA64B3"/>
    <w:rsid w:val="60C8128E"/>
    <w:rsid w:val="61280534"/>
    <w:rsid w:val="615D7F61"/>
    <w:rsid w:val="616D55C9"/>
    <w:rsid w:val="61752959"/>
    <w:rsid w:val="61812E22"/>
    <w:rsid w:val="61953C32"/>
    <w:rsid w:val="61AE58DD"/>
    <w:rsid w:val="61B732B0"/>
    <w:rsid w:val="61E20C11"/>
    <w:rsid w:val="62346DD0"/>
    <w:rsid w:val="623A4AA5"/>
    <w:rsid w:val="62491EFB"/>
    <w:rsid w:val="630272FE"/>
    <w:rsid w:val="631B5380"/>
    <w:rsid w:val="63611717"/>
    <w:rsid w:val="63A63014"/>
    <w:rsid w:val="63D33837"/>
    <w:rsid w:val="640945D1"/>
    <w:rsid w:val="642D7E3E"/>
    <w:rsid w:val="6454244E"/>
    <w:rsid w:val="64593951"/>
    <w:rsid w:val="64A70F13"/>
    <w:rsid w:val="64AC67FF"/>
    <w:rsid w:val="64DE0B89"/>
    <w:rsid w:val="65031DA0"/>
    <w:rsid w:val="65383AFA"/>
    <w:rsid w:val="654E7072"/>
    <w:rsid w:val="65742A3B"/>
    <w:rsid w:val="65A25B19"/>
    <w:rsid w:val="65A85A2E"/>
    <w:rsid w:val="65BF0EC2"/>
    <w:rsid w:val="65C40089"/>
    <w:rsid w:val="65DD74A2"/>
    <w:rsid w:val="661141ED"/>
    <w:rsid w:val="669426A8"/>
    <w:rsid w:val="66D452BA"/>
    <w:rsid w:val="66F41A9E"/>
    <w:rsid w:val="66FD467C"/>
    <w:rsid w:val="67012127"/>
    <w:rsid w:val="671C067D"/>
    <w:rsid w:val="678E08E4"/>
    <w:rsid w:val="67B34848"/>
    <w:rsid w:val="67B77E5E"/>
    <w:rsid w:val="67E52E33"/>
    <w:rsid w:val="680145A0"/>
    <w:rsid w:val="683B4E38"/>
    <w:rsid w:val="687433B6"/>
    <w:rsid w:val="6881542A"/>
    <w:rsid w:val="6898057B"/>
    <w:rsid w:val="689E419E"/>
    <w:rsid w:val="68BD7890"/>
    <w:rsid w:val="68D14323"/>
    <w:rsid w:val="68FE4DC7"/>
    <w:rsid w:val="69277FD8"/>
    <w:rsid w:val="69421050"/>
    <w:rsid w:val="6942247E"/>
    <w:rsid w:val="69F52A29"/>
    <w:rsid w:val="6A2D0C00"/>
    <w:rsid w:val="6A5135AE"/>
    <w:rsid w:val="6A7B41A3"/>
    <w:rsid w:val="6A833B6A"/>
    <w:rsid w:val="6ADF5F80"/>
    <w:rsid w:val="6AE27DD9"/>
    <w:rsid w:val="6B283136"/>
    <w:rsid w:val="6B6E3D56"/>
    <w:rsid w:val="6B7F6DEE"/>
    <w:rsid w:val="6B7F7B9B"/>
    <w:rsid w:val="6BA44FAA"/>
    <w:rsid w:val="6BC756B1"/>
    <w:rsid w:val="6BDB224B"/>
    <w:rsid w:val="6BFD7675"/>
    <w:rsid w:val="6C752D38"/>
    <w:rsid w:val="6C7A300C"/>
    <w:rsid w:val="6CAF1831"/>
    <w:rsid w:val="6D414208"/>
    <w:rsid w:val="6D4240EC"/>
    <w:rsid w:val="6D854EA6"/>
    <w:rsid w:val="6DF565A7"/>
    <w:rsid w:val="6EAF00DC"/>
    <w:rsid w:val="6ECD7D56"/>
    <w:rsid w:val="6ED15B17"/>
    <w:rsid w:val="6F30397A"/>
    <w:rsid w:val="70321697"/>
    <w:rsid w:val="70394267"/>
    <w:rsid w:val="7043639A"/>
    <w:rsid w:val="705002F3"/>
    <w:rsid w:val="70A21C2E"/>
    <w:rsid w:val="70E42F09"/>
    <w:rsid w:val="70E77545"/>
    <w:rsid w:val="71001B63"/>
    <w:rsid w:val="710638E1"/>
    <w:rsid w:val="712D6B22"/>
    <w:rsid w:val="71825BF4"/>
    <w:rsid w:val="719650AE"/>
    <w:rsid w:val="71C559C9"/>
    <w:rsid w:val="71EC6609"/>
    <w:rsid w:val="71FD2464"/>
    <w:rsid w:val="720C6F4D"/>
    <w:rsid w:val="72432D23"/>
    <w:rsid w:val="72842DA5"/>
    <w:rsid w:val="72B64E4C"/>
    <w:rsid w:val="73256EBA"/>
    <w:rsid w:val="733C2B9A"/>
    <w:rsid w:val="736B3C89"/>
    <w:rsid w:val="73826973"/>
    <w:rsid w:val="73A6724C"/>
    <w:rsid w:val="73D7269B"/>
    <w:rsid w:val="74017DF2"/>
    <w:rsid w:val="74565F2B"/>
    <w:rsid w:val="748F1023"/>
    <w:rsid w:val="74FB1E29"/>
    <w:rsid w:val="75176920"/>
    <w:rsid w:val="75B564D1"/>
    <w:rsid w:val="75B96EF0"/>
    <w:rsid w:val="75F4396C"/>
    <w:rsid w:val="762D091D"/>
    <w:rsid w:val="76314B94"/>
    <w:rsid w:val="767C39FB"/>
    <w:rsid w:val="76CE2C3E"/>
    <w:rsid w:val="76D700A6"/>
    <w:rsid w:val="76E217B7"/>
    <w:rsid w:val="76F94C40"/>
    <w:rsid w:val="76FC41D2"/>
    <w:rsid w:val="7714644F"/>
    <w:rsid w:val="775E69E7"/>
    <w:rsid w:val="77903967"/>
    <w:rsid w:val="77FE59C2"/>
    <w:rsid w:val="78021E65"/>
    <w:rsid w:val="788D5DCC"/>
    <w:rsid w:val="789A0183"/>
    <w:rsid w:val="78DF6F7E"/>
    <w:rsid w:val="795D3451"/>
    <w:rsid w:val="797C2826"/>
    <w:rsid w:val="799405AF"/>
    <w:rsid w:val="799F0F7B"/>
    <w:rsid w:val="79E21DAE"/>
    <w:rsid w:val="79EB4E78"/>
    <w:rsid w:val="7A0A78F5"/>
    <w:rsid w:val="7A605ACF"/>
    <w:rsid w:val="7ACB7091"/>
    <w:rsid w:val="7AD33EA8"/>
    <w:rsid w:val="7B1C775B"/>
    <w:rsid w:val="7B5920C7"/>
    <w:rsid w:val="7B6E27B8"/>
    <w:rsid w:val="7B6E2B9B"/>
    <w:rsid w:val="7BAC361D"/>
    <w:rsid w:val="7C0C2346"/>
    <w:rsid w:val="7C340A7B"/>
    <w:rsid w:val="7C706C0F"/>
    <w:rsid w:val="7CB2717F"/>
    <w:rsid w:val="7CB82072"/>
    <w:rsid w:val="7CDF3512"/>
    <w:rsid w:val="7CE7324E"/>
    <w:rsid w:val="7CEA3206"/>
    <w:rsid w:val="7D3A0AC7"/>
    <w:rsid w:val="7DA26743"/>
    <w:rsid w:val="7DD90D1D"/>
    <w:rsid w:val="7E0F7C9C"/>
    <w:rsid w:val="7E5B0346"/>
    <w:rsid w:val="7E5E29AE"/>
    <w:rsid w:val="7E6841B2"/>
    <w:rsid w:val="7EE2045D"/>
    <w:rsid w:val="7EF35AD3"/>
    <w:rsid w:val="7F6442BC"/>
    <w:rsid w:val="7F8D69DE"/>
    <w:rsid w:val="7FAF148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880" w:firstLineChars="200"/>
      <w:jc w:val="both"/>
    </w:pPr>
    <w:rPr>
      <w:rFonts w:ascii="宋体" w:hAnsi="宋体" w:eastAsia="宋体" w:cs="宋体"/>
      <w:kern w:val="2"/>
      <w:sz w:val="28"/>
      <w:szCs w:val="28"/>
      <w:lang w:val="en-US" w:eastAsia="zh-CN" w:bidi="ar-SA"/>
    </w:rPr>
  </w:style>
  <w:style w:type="paragraph" w:styleId="2">
    <w:name w:val="heading 1"/>
    <w:basedOn w:val="1"/>
    <w:next w:val="1"/>
    <w:link w:val="82"/>
    <w:qFormat/>
    <w:uiPriority w:val="0"/>
    <w:pPr>
      <w:keepNext/>
      <w:keepLines/>
      <w:spacing w:before="340" w:after="330"/>
      <w:jc w:val="center"/>
      <w:outlineLvl w:val="0"/>
    </w:pPr>
    <w:rPr>
      <w:rFonts w:eastAsia="宋体"/>
      <w:b/>
      <w:bCs/>
      <w:kern w:val="44"/>
      <w:sz w:val="28"/>
      <w:szCs w:val="44"/>
    </w:rPr>
  </w:style>
  <w:style w:type="paragraph" w:styleId="3">
    <w:name w:val="heading 2"/>
    <w:basedOn w:val="1"/>
    <w:next w:val="1"/>
    <w:link w:val="81"/>
    <w:qFormat/>
    <w:uiPriority w:val="0"/>
    <w:pPr>
      <w:keepNext/>
      <w:keepLines/>
      <w:spacing w:before="260" w:after="260" w:line="360" w:lineRule="auto"/>
      <w:outlineLvl w:val="1"/>
    </w:pPr>
    <w:rPr>
      <w:rFonts w:ascii="Arial" w:hAnsi="Arial" w:eastAsia="宋体"/>
      <w:b/>
      <w:bCs/>
      <w:sz w:val="28"/>
      <w:szCs w:val="32"/>
    </w:rPr>
  </w:style>
  <w:style w:type="paragraph" w:styleId="4">
    <w:name w:val="heading 3"/>
    <w:basedOn w:val="1"/>
    <w:next w:val="1"/>
    <w:link w:val="83"/>
    <w:qFormat/>
    <w:uiPriority w:val="0"/>
    <w:pPr>
      <w:keepNext/>
      <w:keepLines/>
      <w:spacing w:before="260" w:after="260" w:line="416" w:lineRule="auto"/>
      <w:outlineLvl w:val="2"/>
    </w:pPr>
    <w:rPr>
      <w:b/>
      <w:bCs/>
      <w:sz w:val="28"/>
      <w:szCs w:val="32"/>
    </w:rPr>
  </w:style>
  <w:style w:type="paragraph" w:styleId="5">
    <w:name w:val="heading 4"/>
    <w:basedOn w:val="1"/>
    <w:next w:val="1"/>
    <w:link w:val="84"/>
    <w:autoRedefine/>
    <w:qFormat/>
    <w:uiPriority w:val="0"/>
    <w:pPr>
      <w:keepNext/>
      <w:outlineLvl w:val="3"/>
    </w:pPr>
    <w:rPr>
      <w:sz w:val="32"/>
      <w:szCs w:val="20"/>
    </w:rPr>
  </w:style>
  <w:style w:type="paragraph" w:styleId="6">
    <w:name w:val="heading 5"/>
    <w:basedOn w:val="1"/>
    <w:next w:val="1"/>
    <w:link w:val="85"/>
    <w:autoRedefine/>
    <w:qFormat/>
    <w:uiPriority w:val="0"/>
    <w:pPr>
      <w:spacing w:before="120" w:line="60" w:lineRule="atLeast"/>
      <w:outlineLvl w:val="4"/>
    </w:pPr>
    <w:rPr>
      <w:rFonts w:ascii="Arial" w:hAnsi="Arial"/>
      <w:b/>
      <w:sz w:val="28"/>
      <w:szCs w:val="20"/>
    </w:rPr>
  </w:style>
  <w:style w:type="paragraph" w:styleId="7">
    <w:name w:val="heading 6"/>
    <w:basedOn w:val="1"/>
    <w:next w:val="1"/>
    <w:link w:val="86"/>
    <w:autoRedefine/>
    <w:qFormat/>
    <w:uiPriority w:val="0"/>
    <w:pPr>
      <w:keepNext/>
      <w:keepLines/>
      <w:spacing w:before="240" w:after="64" w:line="320" w:lineRule="auto"/>
      <w:outlineLvl w:val="5"/>
    </w:pPr>
    <w:rPr>
      <w:rFonts w:ascii="宋体" w:hAnsi="宋体"/>
      <w:b/>
      <w:sz w:val="24"/>
      <w:szCs w:val="20"/>
    </w:rPr>
  </w:style>
  <w:style w:type="paragraph" w:styleId="8">
    <w:name w:val="heading 7"/>
    <w:basedOn w:val="1"/>
    <w:next w:val="1"/>
    <w:link w:val="87"/>
    <w:autoRedefine/>
    <w:qFormat/>
    <w:uiPriority w:val="0"/>
    <w:pPr>
      <w:keepNext/>
      <w:keepLines/>
      <w:tabs>
        <w:tab w:val="left" w:pos="5040"/>
      </w:tabs>
      <w:adjustRightInd w:val="0"/>
      <w:snapToGrid w:val="0"/>
      <w:spacing w:before="240" w:after="64" w:line="320" w:lineRule="atLeast"/>
      <w:ind w:left="5040" w:hanging="360"/>
      <w:textAlignment w:val="baseline"/>
      <w:outlineLvl w:val="6"/>
    </w:pPr>
    <w:rPr>
      <w:rFonts w:ascii="宋体" w:eastAsia="仿宋_GB2312"/>
      <w:b/>
      <w:kern w:val="0"/>
      <w:sz w:val="24"/>
      <w:szCs w:val="20"/>
    </w:rPr>
  </w:style>
  <w:style w:type="paragraph" w:styleId="9">
    <w:name w:val="heading 8"/>
    <w:basedOn w:val="1"/>
    <w:next w:val="1"/>
    <w:link w:val="88"/>
    <w:autoRedefine/>
    <w:qFormat/>
    <w:uiPriority w:val="0"/>
    <w:pPr>
      <w:keepNext/>
      <w:keepLines/>
      <w:tabs>
        <w:tab w:val="left" w:pos="5760"/>
      </w:tabs>
      <w:adjustRightInd w:val="0"/>
      <w:snapToGrid w:val="0"/>
      <w:spacing w:before="240" w:after="64" w:line="320" w:lineRule="atLeast"/>
      <w:ind w:left="5760" w:hanging="360"/>
      <w:textAlignment w:val="baseline"/>
      <w:outlineLvl w:val="7"/>
    </w:pPr>
    <w:rPr>
      <w:rFonts w:ascii="Arial" w:hAnsi="Arial" w:eastAsia="黑体"/>
      <w:kern w:val="0"/>
      <w:sz w:val="24"/>
      <w:szCs w:val="20"/>
    </w:rPr>
  </w:style>
  <w:style w:type="paragraph" w:styleId="10">
    <w:name w:val="heading 9"/>
    <w:basedOn w:val="1"/>
    <w:next w:val="1"/>
    <w:link w:val="89"/>
    <w:autoRedefine/>
    <w:qFormat/>
    <w:uiPriority w:val="0"/>
    <w:pPr>
      <w:keepNext/>
      <w:keepLines/>
      <w:tabs>
        <w:tab w:val="left" w:pos="6480"/>
      </w:tabs>
      <w:adjustRightInd w:val="0"/>
      <w:snapToGrid w:val="0"/>
      <w:spacing w:before="240" w:after="64" w:line="320" w:lineRule="atLeast"/>
      <w:ind w:left="6480" w:hanging="360"/>
      <w:textAlignment w:val="baseline"/>
      <w:outlineLvl w:val="8"/>
    </w:pPr>
    <w:rPr>
      <w:rFonts w:ascii="Arial" w:hAnsi="Arial" w:eastAsia="黑体"/>
      <w:kern w:val="0"/>
      <w:sz w:val="28"/>
      <w:szCs w:val="20"/>
    </w:rPr>
  </w:style>
  <w:style w:type="character" w:default="1" w:styleId="64">
    <w:name w:val="Default Paragraph Font"/>
    <w:autoRedefine/>
    <w:unhideWhenUsed/>
    <w:qFormat/>
    <w:uiPriority w:val="1"/>
  </w:style>
  <w:style w:type="table" w:default="1" w:styleId="62">
    <w:name w:val="Normal Table"/>
    <w:autoRedefine/>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ind w:left="100" w:leftChars="400" w:hanging="200" w:hangingChars="200"/>
      <w:jc w:val="left"/>
    </w:pPr>
    <w:rPr>
      <w:sz w:val="24"/>
    </w:rPr>
  </w:style>
  <w:style w:type="paragraph" w:styleId="12">
    <w:name w:val="toc 7"/>
    <w:basedOn w:val="1"/>
    <w:next w:val="1"/>
    <w:autoRedefine/>
    <w:qFormat/>
    <w:uiPriority w:val="0"/>
    <w:pPr>
      <w:ind w:left="1260"/>
      <w:jc w:val="left"/>
    </w:pPr>
    <w:rPr>
      <w:sz w:val="18"/>
      <w:szCs w:val="20"/>
    </w:rPr>
  </w:style>
  <w:style w:type="paragraph" w:styleId="13">
    <w:name w:val="Note Heading"/>
    <w:basedOn w:val="1"/>
    <w:next w:val="1"/>
    <w:link w:val="90"/>
    <w:autoRedefine/>
    <w:qFormat/>
    <w:uiPriority w:val="0"/>
    <w:pPr>
      <w:widowControl/>
      <w:spacing w:before="100" w:beforeAutospacing="1" w:after="100" w:afterAutospacing="1"/>
      <w:jc w:val="left"/>
    </w:pPr>
    <w:rPr>
      <w:rFonts w:ascii="宋体" w:hAnsi="宋体"/>
      <w:kern w:val="0"/>
      <w:sz w:val="24"/>
    </w:rPr>
  </w:style>
  <w:style w:type="paragraph" w:styleId="14">
    <w:name w:val="List Bullet 4"/>
    <w:basedOn w:val="1"/>
    <w:autoRedefine/>
    <w:qFormat/>
    <w:uiPriority w:val="0"/>
    <w:pPr>
      <w:tabs>
        <w:tab w:val="left" w:pos="435"/>
        <w:tab w:val="left" w:pos="1620"/>
      </w:tabs>
      <w:ind w:left="600" w:leftChars="600" w:hanging="200" w:hangingChars="200"/>
      <w:jc w:val="left"/>
    </w:pPr>
    <w:rPr>
      <w:sz w:val="24"/>
    </w:rPr>
  </w:style>
  <w:style w:type="paragraph" w:styleId="15">
    <w:name w:val="List Number"/>
    <w:basedOn w:val="1"/>
    <w:autoRedefine/>
    <w:qFormat/>
    <w:uiPriority w:val="0"/>
    <w:pPr>
      <w:tabs>
        <w:tab w:val="left" w:pos="360"/>
        <w:tab w:val="left" w:pos="850"/>
      </w:tabs>
      <w:adjustRightInd w:val="0"/>
      <w:snapToGrid w:val="0"/>
      <w:spacing w:line="360" w:lineRule="atLeast"/>
      <w:ind w:left="850" w:hanging="389"/>
      <w:jc w:val="left"/>
    </w:pPr>
    <w:rPr>
      <w:rFonts w:ascii="宋体"/>
      <w:sz w:val="24"/>
    </w:rPr>
  </w:style>
  <w:style w:type="paragraph" w:styleId="16">
    <w:name w:val="Normal Indent"/>
    <w:basedOn w:val="1"/>
    <w:link w:val="91"/>
    <w:autoRedefine/>
    <w:qFormat/>
    <w:uiPriority w:val="0"/>
    <w:pPr>
      <w:ind w:firstLine="420" w:firstLineChars="200"/>
    </w:pPr>
    <w:rPr>
      <w:szCs w:val="20"/>
    </w:rPr>
  </w:style>
  <w:style w:type="paragraph" w:styleId="17">
    <w:name w:val="caption"/>
    <w:basedOn w:val="1"/>
    <w:next w:val="1"/>
    <w:autoRedefine/>
    <w:qFormat/>
    <w:uiPriority w:val="0"/>
    <w:pPr>
      <w:jc w:val="left"/>
    </w:pPr>
    <w:rPr>
      <w:rFonts w:ascii="Arial" w:hAnsi="Arial" w:eastAsia="黑体" w:cs="Arial"/>
      <w:sz w:val="20"/>
      <w:szCs w:val="20"/>
    </w:rPr>
  </w:style>
  <w:style w:type="paragraph" w:styleId="18">
    <w:name w:val="Document Map"/>
    <w:basedOn w:val="1"/>
    <w:link w:val="92"/>
    <w:autoRedefine/>
    <w:qFormat/>
    <w:uiPriority w:val="0"/>
    <w:pPr>
      <w:shd w:val="clear" w:color="auto" w:fill="000080"/>
    </w:pPr>
  </w:style>
  <w:style w:type="paragraph" w:styleId="19">
    <w:name w:val="toa heading"/>
    <w:basedOn w:val="1"/>
    <w:next w:val="1"/>
    <w:autoRedefine/>
    <w:qFormat/>
    <w:uiPriority w:val="0"/>
    <w:pPr>
      <w:spacing w:before="120"/>
    </w:pPr>
    <w:rPr>
      <w:rFonts w:ascii="Arial" w:hAnsi="Arial"/>
      <w:sz w:val="24"/>
      <w:szCs w:val="20"/>
    </w:rPr>
  </w:style>
  <w:style w:type="paragraph" w:styleId="20">
    <w:name w:val="annotation text"/>
    <w:basedOn w:val="1"/>
    <w:link w:val="93"/>
    <w:autoRedefine/>
    <w:qFormat/>
    <w:uiPriority w:val="0"/>
    <w:pPr>
      <w:jc w:val="left"/>
    </w:pPr>
  </w:style>
  <w:style w:type="paragraph" w:styleId="21">
    <w:name w:val="Salutation"/>
    <w:basedOn w:val="1"/>
    <w:next w:val="1"/>
    <w:link w:val="94"/>
    <w:autoRedefine/>
    <w:qFormat/>
    <w:uiPriority w:val="0"/>
    <w:pPr>
      <w:adjustRightInd w:val="0"/>
      <w:spacing w:line="360" w:lineRule="atLeast"/>
      <w:jc w:val="left"/>
      <w:textAlignment w:val="baseline"/>
    </w:pPr>
    <w:rPr>
      <w:rFonts w:ascii="宋体"/>
      <w:kern w:val="0"/>
      <w:sz w:val="28"/>
      <w:szCs w:val="20"/>
    </w:rPr>
  </w:style>
  <w:style w:type="paragraph" w:styleId="22">
    <w:name w:val="Body Text 3"/>
    <w:basedOn w:val="1"/>
    <w:link w:val="95"/>
    <w:autoRedefine/>
    <w:qFormat/>
    <w:uiPriority w:val="0"/>
    <w:rPr>
      <w:b/>
      <w:bCs/>
      <w:sz w:val="24"/>
    </w:rPr>
  </w:style>
  <w:style w:type="paragraph" w:styleId="23">
    <w:name w:val="List Bullet 3"/>
    <w:basedOn w:val="1"/>
    <w:autoRedefine/>
    <w:qFormat/>
    <w:uiPriority w:val="0"/>
    <w:pPr>
      <w:tabs>
        <w:tab w:val="left" w:pos="360"/>
        <w:tab w:val="left" w:pos="1200"/>
      </w:tabs>
      <w:ind w:left="400" w:leftChars="400" w:hanging="200" w:hangingChars="200"/>
      <w:jc w:val="left"/>
    </w:pPr>
    <w:rPr>
      <w:sz w:val="24"/>
    </w:rPr>
  </w:style>
  <w:style w:type="paragraph" w:styleId="24">
    <w:name w:val="Body Text"/>
    <w:basedOn w:val="1"/>
    <w:link w:val="96"/>
    <w:autoRedefine/>
    <w:qFormat/>
    <w:uiPriority w:val="0"/>
    <w:pPr>
      <w:spacing w:after="120"/>
    </w:pPr>
  </w:style>
  <w:style w:type="paragraph" w:styleId="25">
    <w:name w:val="Body Text Indent"/>
    <w:basedOn w:val="1"/>
    <w:link w:val="97"/>
    <w:autoRedefine/>
    <w:qFormat/>
    <w:uiPriority w:val="0"/>
    <w:pPr>
      <w:spacing w:after="120"/>
      <w:ind w:left="420" w:leftChars="200"/>
    </w:pPr>
  </w:style>
  <w:style w:type="paragraph" w:styleId="26">
    <w:name w:val="List 2"/>
    <w:basedOn w:val="1"/>
    <w:autoRedefine/>
    <w:qFormat/>
    <w:uiPriority w:val="0"/>
    <w:pPr>
      <w:widowControl/>
      <w:spacing w:before="100" w:beforeAutospacing="1" w:after="100" w:afterAutospacing="1"/>
      <w:jc w:val="left"/>
    </w:pPr>
    <w:rPr>
      <w:rFonts w:ascii="宋体" w:hAnsi="宋体" w:cs="宋体"/>
      <w:color w:val="000000"/>
      <w:kern w:val="0"/>
      <w:sz w:val="24"/>
    </w:rPr>
  </w:style>
  <w:style w:type="paragraph" w:styleId="27">
    <w:name w:val="List Continue"/>
    <w:basedOn w:val="1"/>
    <w:autoRedefine/>
    <w:qFormat/>
    <w:uiPriority w:val="0"/>
    <w:pPr>
      <w:spacing w:after="120"/>
      <w:ind w:left="420"/>
    </w:pPr>
    <w:rPr>
      <w:rFonts w:eastAsia="楷体_GB2312"/>
      <w:sz w:val="32"/>
      <w:szCs w:val="20"/>
    </w:rPr>
  </w:style>
  <w:style w:type="paragraph" w:styleId="28">
    <w:name w:val="Block Text"/>
    <w:basedOn w:val="1"/>
    <w:autoRedefine/>
    <w:qFormat/>
    <w:uiPriority w:val="0"/>
    <w:pPr>
      <w:spacing w:after="120"/>
      <w:ind w:left="1440" w:leftChars="700" w:right="1440" w:rightChars="700"/>
    </w:pPr>
  </w:style>
  <w:style w:type="paragraph" w:styleId="29">
    <w:name w:val="List Bullet 2"/>
    <w:basedOn w:val="1"/>
    <w:autoRedefine/>
    <w:qFormat/>
    <w:uiPriority w:val="0"/>
    <w:pPr>
      <w:widowControl/>
      <w:spacing w:line="0" w:lineRule="atLeast"/>
    </w:pPr>
    <w:rPr>
      <w:rFonts w:ascii="宋体" w:hAnsi="宋体"/>
      <w:kern w:val="0"/>
      <w:sz w:val="24"/>
    </w:rPr>
  </w:style>
  <w:style w:type="paragraph" w:styleId="30">
    <w:name w:val="index 4"/>
    <w:basedOn w:val="1"/>
    <w:next w:val="1"/>
    <w:autoRedefine/>
    <w:qFormat/>
    <w:uiPriority w:val="0"/>
    <w:pPr>
      <w:ind w:left="600" w:leftChars="600"/>
    </w:pPr>
  </w:style>
  <w:style w:type="paragraph" w:styleId="31">
    <w:name w:val="toc 5"/>
    <w:basedOn w:val="1"/>
    <w:next w:val="1"/>
    <w:autoRedefine/>
    <w:qFormat/>
    <w:uiPriority w:val="0"/>
    <w:pPr>
      <w:ind w:left="840"/>
      <w:jc w:val="left"/>
    </w:pPr>
    <w:rPr>
      <w:sz w:val="18"/>
      <w:szCs w:val="20"/>
    </w:rPr>
  </w:style>
  <w:style w:type="paragraph" w:styleId="32">
    <w:name w:val="toc 3"/>
    <w:basedOn w:val="1"/>
    <w:next w:val="1"/>
    <w:qFormat/>
    <w:uiPriority w:val="39"/>
    <w:pPr>
      <w:ind w:left="840" w:leftChars="400"/>
    </w:pPr>
  </w:style>
  <w:style w:type="paragraph" w:styleId="33">
    <w:name w:val="Plain Text"/>
    <w:basedOn w:val="1"/>
    <w:link w:val="98"/>
    <w:autoRedefine/>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34">
    <w:name w:val="toc 8"/>
    <w:basedOn w:val="1"/>
    <w:next w:val="1"/>
    <w:autoRedefine/>
    <w:qFormat/>
    <w:uiPriority w:val="0"/>
    <w:pPr>
      <w:ind w:left="1470"/>
      <w:jc w:val="left"/>
    </w:pPr>
    <w:rPr>
      <w:sz w:val="18"/>
      <w:szCs w:val="20"/>
    </w:rPr>
  </w:style>
  <w:style w:type="paragraph" w:styleId="35">
    <w:name w:val="Date"/>
    <w:basedOn w:val="1"/>
    <w:next w:val="1"/>
    <w:link w:val="99"/>
    <w:autoRedefine/>
    <w:qFormat/>
    <w:uiPriority w:val="0"/>
    <w:rPr>
      <w:sz w:val="24"/>
      <w:szCs w:val="20"/>
    </w:rPr>
  </w:style>
  <w:style w:type="paragraph" w:styleId="36">
    <w:name w:val="Body Text Indent 2"/>
    <w:basedOn w:val="1"/>
    <w:link w:val="100"/>
    <w:qFormat/>
    <w:uiPriority w:val="0"/>
    <w:pPr>
      <w:ind w:left="424" w:leftChars="202"/>
    </w:pPr>
    <w:rPr>
      <w:rFonts w:eastAsia="楷体_GB2312"/>
      <w:sz w:val="28"/>
    </w:rPr>
  </w:style>
  <w:style w:type="paragraph" w:styleId="37">
    <w:name w:val="endnote text"/>
    <w:basedOn w:val="1"/>
    <w:link w:val="101"/>
    <w:qFormat/>
    <w:uiPriority w:val="0"/>
    <w:pPr>
      <w:widowControl/>
      <w:snapToGrid w:val="0"/>
      <w:jc w:val="left"/>
    </w:pPr>
    <w:rPr>
      <w:kern w:val="0"/>
      <w:sz w:val="20"/>
      <w:szCs w:val="20"/>
    </w:rPr>
  </w:style>
  <w:style w:type="paragraph" w:styleId="38">
    <w:name w:val="Balloon Text"/>
    <w:basedOn w:val="1"/>
    <w:link w:val="102"/>
    <w:qFormat/>
    <w:uiPriority w:val="0"/>
    <w:rPr>
      <w:sz w:val="18"/>
      <w:szCs w:val="18"/>
    </w:rPr>
  </w:style>
  <w:style w:type="paragraph" w:styleId="39">
    <w:name w:val="footer"/>
    <w:basedOn w:val="1"/>
    <w:link w:val="103"/>
    <w:qFormat/>
    <w:uiPriority w:val="99"/>
    <w:pPr>
      <w:tabs>
        <w:tab w:val="center" w:pos="4153"/>
        <w:tab w:val="right" w:pos="8306"/>
      </w:tabs>
      <w:snapToGrid w:val="0"/>
      <w:jc w:val="left"/>
    </w:pPr>
    <w:rPr>
      <w:sz w:val="18"/>
      <w:szCs w:val="18"/>
    </w:rPr>
  </w:style>
  <w:style w:type="paragraph" w:styleId="40">
    <w:name w:val="header"/>
    <w:basedOn w:val="1"/>
    <w:link w:val="104"/>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105"/>
    <w:qFormat/>
    <w:uiPriority w:val="0"/>
    <w:pPr>
      <w:widowControl/>
      <w:ind w:left="100" w:leftChars="2100"/>
      <w:jc w:val="left"/>
    </w:pPr>
    <w:rPr>
      <w:kern w:val="0"/>
      <w:sz w:val="20"/>
      <w:szCs w:val="20"/>
    </w:rPr>
  </w:style>
  <w:style w:type="paragraph" w:styleId="42">
    <w:name w:val="toc 1"/>
    <w:basedOn w:val="1"/>
    <w:next w:val="1"/>
    <w:qFormat/>
    <w:uiPriority w:val="39"/>
    <w:pPr>
      <w:tabs>
        <w:tab w:val="right" w:leader="dot" w:pos="9060"/>
      </w:tabs>
      <w:spacing w:line="480" w:lineRule="auto"/>
    </w:pPr>
    <w:rPr>
      <w:rFonts w:ascii="宋体" w:hAnsi="宋体" w:eastAsia="宋体"/>
      <w:b/>
      <w:caps/>
      <w:sz w:val="24"/>
    </w:rPr>
  </w:style>
  <w:style w:type="paragraph" w:styleId="43">
    <w:name w:val="toc 4"/>
    <w:basedOn w:val="1"/>
    <w:next w:val="1"/>
    <w:qFormat/>
    <w:uiPriority w:val="0"/>
    <w:pPr>
      <w:ind w:left="630"/>
      <w:jc w:val="left"/>
    </w:pPr>
    <w:rPr>
      <w:sz w:val="18"/>
      <w:szCs w:val="20"/>
    </w:rPr>
  </w:style>
  <w:style w:type="paragraph" w:styleId="44">
    <w:name w:val="index heading"/>
    <w:basedOn w:val="1"/>
    <w:next w:val="45"/>
    <w:qFormat/>
    <w:uiPriority w:val="0"/>
    <w:rPr>
      <w:szCs w:val="20"/>
    </w:rPr>
  </w:style>
  <w:style w:type="paragraph" w:styleId="45">
    <w:name w:val="index 1"/>
    <w:basedOn w:val="1"/>
    <w:next w:val="1"/>
    <w:qFormat/>
    <w:uiPriority w:val="0"/>
    <w:rPr>
      <w:szCs w:val="20"/>
    </w:rPr>
  </w:style>
  <w:style w:type="paragraph" w:styleId="46">
    <w:name w:val="List"/>
    <w:basedOn w:val="1"/>
    <w:qFormat/>
    <w:uiPriority w:val="0"/>
    <w:pPr>
      <w:ind w:left="420" w:hanging="420"/>
    </w:pPr>
    <w:rPr>
      <w:rFonts w:eastAsia="楷体_GB2312"/>
      <w:sz w:val="32"/>
      <w:szCs w:val="20"/>
    </w:rPr>
  </w:style>
  <w:style w:type="paragraph" w:styleId="47">
    <w:name w:val="footnote text"/>
    <w:basedOn w:val="1"/>
    <w:link w:val="106"/>
    <w:qFormat/>
    <w:uiPriority w:val="0"/>
    <w:pPr>
      <w:widowControl/>
      <w:jc w:val="left"/>
    </w:pPr>
    <w:rPr>
      <w:kern w:val="0"/>
      <w:sz w:val="20"/>
      <w:szCs w:val="20"/>
      <w:lang w:eastAsia="en-US"/>
    </w:rPr>
  </w:style>
  <w:style w:type="paragraph" w:styleId="48">
    <w:name w:val="toc 6"/>
    <w:basedOn w:val="1"/>
    <w:next w:val="1"/>
    <w:qFormat/>
    <w:uiPriority w:val="0"/>
    <w:pPr>
      <w:ind w:left="1050"/>
      <w:jc w:val="left"/>
    </w:pPr>
    <w:rPr>
      <w:sz w:val="18"/>
      <w:szCs w:val="20"/>
    </w:rPr>
  </w:style>
  <w:style w:type="paragraph" w:styleId="49">
    <w:name w:val="List 5"/>
    <w:basedOn w:val="1"/>
    <w:qFormat/>
    <w:uiPriority w:val="0"/>
    <w:pPr>
      <w:ind w:left="2100" w:hanging="420"/>
    </w:pPr>
    <w:rPr>
      <w:rFonts w:eastAsia="楷体_GB2312"/>
      <w:sz w:val="32"/>
      <w:szCs w:val="20"/>
    </w:rPr>
  </w:style>
  <w:style w:type="paragraph" w:styleId="50">
    <w:name w:val="Body Text Indent 3"/>
    <w:basedOn w:val="1"/>
    <w:link w:val="107"/>
    <w:qFormat/>
    <w:uiPriority w:val="0"/>
    <w:pPr>
      <w:ind w:left="425"/>
    </w:pPr>
    <w:rPr>
      <w:rFonts w:eastAsia="楷体_GB2312"/>
      <w:sz w:val="28"/>
    </w:rPr>
  </w:style>
  <w:style w:type="paragraph" w:styleId="51">
    <w:name w:val="toc 2"/>
    <w:basedOn w:val="1"/>
    <w:next w:val="1"/>
    <w:qFormat/>
    <w:uiPriority w:val="39"/>
    <w:pPr>
      <w:ind w:left="420" w:leftChars="200"/>
    </w:pPr>
  </w:style>
  <w:style w:type="paragraph" w:styleId="52">
    <w:name w:val="toc 9"/>
    <w:basedOn w:val="1"/>
    <w:next w:val="1"/>
    <w:qFormat/>
    <w:uiPriority w:val="0"/>
    <w:pPr>
      <w:ind w:left="1680"/>
      <w:jc w:val="left"/>
    </w:pPr>
    <w:rPr>
      <w:sz w:val="18"/>
      <w:szCs w:val="20"/>
    </w:rPr>
  </w:style>
  <w:style w:type="paragraph" w:styleId="53">
    <w:name w:val="Body Text 2"/>
    <w:basedOn w:val="1"/>
    <w:next w:val="24"/>
    <w:link w:val="108"/>
    <w:qFormat/>
    <w:uiPriority w:val="0"/>
    <w:pPr>
      <w:jc w:val="center"/>
    </w:pPr>
    <w:rPr>
      <w:rFonts w:ascii="楷体_GB2312" w:eastAsia="楷体_GB2312"/>
      <w:b/>
      <w:sz w:val="36"/>
      <w:szCs w:val="48"/>
    </w:rPr>
  </w:style>
  <w:style w:type="paragraph" w:styleId="54">
    <w:name w:val="List 4"/>
    <w:basedOn w:val="1"/>
    <w:qFormat/>
    <w:uiPriority w:val="0"/>
    <w:pPr>
      <w:ind w:left="1680" w:hanging="420"/>
    </w:pPr>
    <w:rPr>
      <w:rFonts w:eastAsia="楷体_GB2312"/>
      <w:sz w:val="32"/>
      <w:szCs w:val="20"/>
    </w:rPr>
  </w:style>
  <w:style w:type="paragraph" w:styleId="55">
    <w:name w:val="List Continue 2"/>
    <w:basedOn w:val="1"/>
    <w:qFormat/>
    <w:uiPriority w:val="0"/>
    <w:pPr>
      <w:spacing w:after="120"/>
      <w:ind w:left="840" w:leftChars="400"/>
      <w:jc w:val="left"/>
    </w:pPr>
    <w:rPr>
      <w:sz w:val="24"/>
    </w:rPr>
  </w:style>
  <w:style w:type="paragraph" w:styleId="56">
    <w:name w:val="HTML Preformatted"/>
    <w:basedOn w:val="1"/>
    <w:link w:val="1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kern w:val="0"/>
      <w:sz w:val="20"/>
      <w:szCs w:val="20"/>
    </w:rPr>
  </w:style>
  <w:style w:type="paragraph" w:styleId="57">
    <w:name w:val="Normal (Web)"/>
    <w:basedOn w:val="1"/>
    <w:qFormat/>
    <w:uiPriority w:val="99"/>
    <w:rPr>
      <w:rFonts w:eastAsia="仿宋_GB2312"/>
      <w:sz w:val="24"/>
    </w:rPr>
  </w:style>
  <w:style w:type="paragraph" w:styleId="58">
    <w:name w:val="Title"/>
    <w:basedOn w:val="1"/>
    <w:link w:val="110"/>
    <w:qFormat/>
    <w:uiPriority w:val="0"/>
    <w:pPr>
      <w:spacing w:before="240" w:after="60"/>
      <w:jc w:val="center"/>
      <w:outlineLvl w:val="0"/>
    </w:pPr>
    <w:rPr>
      <w:rFonts w:ascii="Arial" w:hAnsi="Arial" w:eastAsia="隶书"/>
      <w:b/>
      <w:sz w:val="32"/>
      <w:szCs w:val="20"/>
    </w:rPr>
  </w:style>
  <w:style w:type="paragraph" w:styleId="59">
    <w:name w:val="annotation subject"/>
    <w:basedOn w:val="20"/>
    <w:next w:val="20"/>
    <w:link w:val="111"/>
    <w:qFormat/>
    <w:uiPriority w:val="0"/>
    <w:rPr>
      <w:b/>
      <w:bCs/>
    </w:rPr>
  </w:style>
  <w:style w:type="paragraph" w:styleId="60">
    <w:name w:val="Body Text First Indent"/>
    <w:basedOn w:val="24"/>
    <w:next w:val="1"/>
    <w:link w:val="112"/>
    <w:autoRedefine/>
    <w:qFormat/>
    <w:uiPriority w:val="0"/>
    <w:pPr>
      <w:ind w:firstLine="420"/>
    </w:pPr>
    <w:rPr>
      <w:rFonts w:eastAsia="楷体_GB2312"/>
      <w:sz w:val="32"/>
      <w:szCs w:val="20"/>
    </w:rPr>
  </w:style>
  <w:style w:type="paragraph" w:styleId="61">
    <w:name w:val="Body Text First Indent 2"/>
    <w:basedOn w:val="25"/>
    <w:link w:val="113"/>
    <w:autoRedefine/>
    <w:qFormat/>
    <w:uiPriority w:val="0"/>
    <w:pPr>
      <w:ind w:firstLine="420"/>
      <w:jc w:val="left"/>
    </w:pPr>
    <w:rPr>
      <w:szCs w:val="20"/>
    </w:rPr>
  </w:style>
  <w:style w:type="table" w:styleId="63">
    <w:name w:val="Table Grid"/>
    <w:basedOn w:val="62"/>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autoRedefine/>
    <w:qFormat/>
    <w:uiPriority w:val="0"/>
    <w:rPr>
      <w:b/>
      <w:bCs/>
    </w:rPr>
  </w:style>
  <w:style w:type="character" w:styleId="66">
    <w:name w:val="endnote reference"/>
    <w:autoRedefine/>
    <w:qFormat/>
    <w:uiPriority w:val="0"/>
    <w:rPr>
      <w:rFonts w:cs="Times New Roman"/>
      <w:vertAlign w:val="superscript"/>
    </w:rPr>
  </w:style>
  <w:style w:type="character" w:styleId="67">
    <w:name w:val="page number"/>
    <w:autoRedefine/>
    <w:qFormat/>
    <w:uiPriority w:val="0"/>
  </w:style>
  <w:style w:type="character" w:styleId="68">
    <w:name w:val="FollowedHyperlink"/>
    <w:autoRedefine/>
    <w:qFormat/>
    <w:uiPriority w:val="0"/>
    <w:rPr>
      <w:color w:val="333333"/>
      <w:u w:val="none"/>
    </w:rPr>
  </w:style>
  <w:style w:type="character" w:styleId="69">
    <w:name w:val="Emphasis"/>
    <w:basedOn w:val="64"/>
    <w:autoRedefine/>
    <w:qFormat/>
    <w:uiPriority w:val="0"/>
  </w:style>
  <w:style w:type="character" w:styleId="70">
    <w:name w:val="HTML Definition"/>
    <w:autoRedefine/>
    <w:qFormat/>
    <w:uiPriority w:val="0"/>
  </w:style>
  <w:style w:type="character" w:styleId="71">
    <w:name w:val="HTML Typewriter"/>
    <w:autoRedefine/>
    <w:qFormat/>
    <w:uiPriority w:val="0"/>
    <w:rPr>
      <w:rFonts w:hint="eastAsia" w:ascii="宋体" w:hAnsi="宋体" w:eastAsia="宋体" w:cs="宋体"/>
      <w:sz w:val="18"/>
      <w:szCs w:val="18"/>
    </w:rPr>
  </w:style>
  <w:style w:type="character" w:styleId="72">
    <w:name w:val="HTML Acronym"/>
    <w:basedOn w:val="64"/>
    <w:autoRedefine/>
    <w:qFormat/>
    <w:uiPriority w:val="0"/>
  </w:style>
  <w:style w:type="character" w:styleId="73">
    <w:name w:val="HTML Variable"/>
    <w:autoRedefine/>
    <w:qFormat/>
    <w:uiPriority w:val="0"/>
  </w:style>
  <w:style w:type="character" w:styleId="74">
    <w:name w:val="Hyperlink"/>
    <w:autoRedefine/>
    <w:qFormat/>
    <w:uiPriority w:val="99"/>
    <w:rPr>
      <w:color w:val="333333"/>
      <w:u w:val="none"/>
    </w:rPr>
  </w:style>
  <w:style w:type="character" w:styleId="75">
    <w:name w:val="HTML Code"/>
    <w:autoRedefine/>
    <w:qFormat/>
    <w:uiPriority w:val="0"/>
    <w:rPr>
      <w:rFonts w:ascii="monospace" w:hAnsi="monospace" w:eastAsia="monospace" w:cs="monospace"/>
      <w:sz w:val="24"/>
      <w:szCs w:val="24"/>
    </w:rPr>
  </w:style>
  <w:style w:type="character" w:styleId="76">
    <w:name w:val="annotation reference"/>
    <w:autoRedefine/>
    <w:qFormat/>
    <w:uiPriority w:val="0"/>
    <w:rPr>
      <w:sz w:val="21"/>
      <w:szCs w:val="21"/>
    </w:rPr>
  </w:style>
  <w:style w:type="character" w:styleId="77">
    <w:name w:val="HTML Cite"/>
    <w:autoRedefine/>
    <w:qFormat/>
    <w:uiPriority w:val="0"/>
  </w:style>
  <w:style w:type="character" w:styleId="78">
    <w:name w:val="footnote reference"/>
    <w:autoRedefine/>
    <w:qFormat/>
    <w:uiPriority w:val="0"/>
    <w:rPr>
      <w:rFonts w:cs="Times New Roman"/>
      <w:vertAlign w:val="superscript"/>
    </w:rPr>
  </w:style>
  <w:style w:type="character" w:styleId="79">
    <w:name w:val="HTML Keyboard"/>
    <w:autoRedefine/>
    <w:qFormat/>
    <w:uiPriority w:val="0"/>
    <w:rPr>
      <w:rFonts w:hint="default" w:ascii="monospace" w:hAnsi="monospace" w:eastAsia="monospace" w:cs="monospace"/>
      <w:sz w:val="24"/>
      <w:szCs w:val="24"/>
    </w:rPr>
  </w:style>
  <w:style w:type="character" w:styleId="80">
    <w:name w:val="HTML Sample"/>
    <w:autoRedefine/>
    <w:qFormat/>
    <w:uiPriority w:val="0"/>
    <w:rPr>
      <w:rFonts w:ascii="Courier New" w:hAnsi="Courier New" w:cs="Times New Roman"/>
    </w:rPr>
  </w:style>
  <w:style w:type="character" w:customStyle="1" w:styleId="81">
    <w:name w:val="标题 2 Char"/>
    <w:link w:val="3"/>
    <w:autoRedefine/>
    <w:qFormat/>
    <w:uiPriority w:val="0"/>
    <w:rPr>
      <w:rFonts w:ascii="Arial" w:hAnsi="Arial" w:eastAsia="宋体"/>
      <w:b/>
      <w:bCs/>
      <w:kern w:val="2"/>
      <w:sz w:val="28"/>
      <w:szCs w:val="32"/>
    </w:rPr>
  </w:style>
  <w:style w:type="character" w:customStyle="1" w:styleId="82">
    <w:name w:val="标题 1 Char"/>
    <w:link w:val="2"/>
    <w:autoRedefine/>
    <w:qFormat/>
    <w:uiPriority w:val="0"/>
    <w:rPr>
      <w:rFonts w:eastAsia="宋体"/>
      <w:b/>
      <w:bCs/>
      <w:kern w:val="44"/>
      <w:sz w:val="28"/>
      <w:szCs w:val="44"/>
    </w:rPr>
  </w:style>
  <w:style w:type="character" w:customStyle="1" w:styleId="83">
    <w:name w:val="标题 3 Char"/>
    <w:link w:val="4"/>
    <w:autoRedefine/>
    <w:qFormat/>
    <w:uiPriority w:val="0"/>
    <w:rPr>
      <w:rFonts w:eastAsia="宋体"/>
      <w:b/>
      <w:bCs/>
      <w:kern w:val="2"/>
      <w:sz w:val="28"/>
      <w:szCs w:val="32"/>
      <w:lang w:val="en-US" w:eastAsia="zh-CN" w:bidi="ar-SA"/>
    </w:rPr>
  </w:style>
  <w:style w:type="character" w:customStyle="1" w:styleId="84">
    <w:name w:val="标题 4 Char"/>
    <w:link w:val="5"/>
    <w:autoRedefine/>
    <w:qFormat/>
    <w:uiPriority w:val="0"/>
    <w:rPr>
      <w:kern w:val="2"/>
      <w:sz w:val="32"/>
    </w:rPr>
  </w:style>
  <w:style w:type="character" w:customStyle="1" w:styleId="85">
    <w:name w:val="标题 5 Char"/>
    <w:link w:val="6"/>
    <w:autoRedefine/>
    <w:qFormat/>
    <w:uiPriority w:val="0"/>
    <w:rPr>
      <w:rFonts w:ascii="Arial" w:hAnsi="Arial"/>
      <w:b/>
      <w:kern w:val="2"/>
      <w:sz w:val="28"/>
    </w:rPr>
  </w:style>
  <w:style w:type="character" w:customStyle="1" w:styleId="86">
    <w:name w:val="标题 6 Char"/>
    <w:link w:val="7"/>
    <w:autoRedefine/>
    <w:qFormat/>
    <w:uiPriority w:val="0"/>
    <w:rPr>
      <w:rFonts w:ascii="宋体" w:hAnsi="宋体"/>
      <w:b/>
      <w:kern w:val="2"/>
      <w:sz w:val="24"/>
    </w:rPr>
  </w:style>
  <w:style w:type="character" w:customStyle="1" w:styleId="87">
    <w:name w:val="标题 7 Char"/>
    <w:link w:val="8"/>
    <w:autoRedefine/>
    <w:qFormat/>
    <w:uiPriority w:val="0"/>
    <w:rPr>
      <w:rFonts w:ascii="宋体" w:eastAsia="仿宋_GB2312"/>
      <w:b/>
      <w:sz w:val="24"/>
    </w:rPr>
  </w:style>
  <w:style w:type="character" w:customStyle="1" w:styleId="88">
    <w:name w:val="标题 8 Char"/>
    <w:link w:val="9"/>
    <w:autoRedefine/>
    <w:qFormat/>
    <w:uiPriority w:val="0"/>
    <w:rPr>
      <w:rFonts w:ascii="Arial" w:hAnsi="Arial" w:eastAsia="黑体"/>
      <w:sz w:val="24"/>
    </w:rPr>
  </w:style>
  <w:style w:type="character" w:customStyle="1" w:styleId="89">
    <w:name w:val="标题 9 Char"/>
    <w:link w:val="10"/>
    <w:autoRedefine/>
    <w:qFormat/>
    <w:uiPriority w:val="0"/>
    <w:rPr>
      <w:rFonts w:ascii="Arial" w:hAnsi="Arial" w:eastAsia="黑体"/>
      <w:sz w:val="28"/>
    </w:rPr>
  </w:style>
  <w:style w:type="character" w:customStyle="1" w:styleId="90">
    <w:name w:val="注释标题 Char"/>
    <w:link w:val="13"/>
    <w:autoRedefine/>
    <w:qFormat/>
    <w:uiPriority w:val="0"/>
    <w:rPr>
      <w:rFonts w:ascii="宋体" w:hAnsi="宋体" w:cs="宋体"/>
      <w:sz w:val="24"/>
      <w:szCs w:val="24"/>
    </w:rPr>
  </w:style>
  <w:style w:type="character" w:customStyle="1" w:styleId="91">
    <w:name w:val="正文缩进 Char"/>
    <w:link w:val="16"/>
    <w:autoRedefine/>
    <w:qFormat/>
    <w:uiPriority w:val="0"/>
    <w:rPr>
      <w:kern w:val="2"/>
      <w:sz w:val="21"/>
    </w:rPr>
  </w:style>
  <w:style w:type="character" w:customStyle="1" w:styleId="92">
    <w:name w:val="文档结构图 Char"/>
    <w:link w:val="18"/>
    <w:autoRedefine/>
    <w:qFormat/>
    <w:uiPriority w:val="0"/>
    <w:rPr>
      <w:kern w:val="2"/>
      <w:sz w:val="21"/>
      <w:szCs w:val="24"/>
      <w:shd w:val="clear" w:color="auto" w:fill="000080"/>
    </w:rPr>
  </w:style>
  <w:style w:type="character" w:customStyle="1" w:styleId="93">
    <w:name w:val="批注文字 Char1"/>
    <w:link w:val="20"/>
    <w:autoRedefine/>
    <w:qFormat/>
    <w:uiPriority w:val="0"/>
    <w:rPr>
      <w:kern w:val="2"/>
      <w:sz w:val="21"/>
      <w:szCs w:val="24"/>
    </w:rPr>
  </w:style>
  <w:style w:type="character" w:customStyle="1" w:styleId="94">
    <w:name w:val="称呼 Char"/>
    <w:link w:val="21"/>
    <w:autoRedefine/>
    <w:qFormat/>
    <w:uiPriority w:val="0"/>
    <w:rPr>
      <w:rFonts w:ascii="宋体"/>
      <w:sz w:val="28"/>
    </w:rPr>
  </w:style>
  <w:style w:type="character" w:customStyle="1" w:styleId="95">
    <w:name w:val="正文文本 3 Char"/>
    <w:link w:val="22"/>
    <w:autoRedefine/>
    <w:qFormat/>
    <w:uiPriority w:val="0"/>
    <w:rPr>
      <w:b/>
      <w:bCs/>
      <w:kern w:val="2"/>
      <w:sz w:val="24"/>
      <w:szCs w:val="24"/>
    </w:rPr>
  </w:style>
  <w:style w:type="character" w:customStyle="1" w:styleId="96">
    <w:name w:val="正文文本 Char1"/>
    <w:link w:val="24"/>
    <w:autoRedefine/>
    <w:qFormat/>
    <w:uiPriority w:val="0"/>
    <w:rPr>
      <w:kern w:val="2"/>
      <w:sz w:val="21"/>
      <w:szCs w:val="24"/>
    </w:rPr>
  </w:style>
  <w:style w:type="character" w:customStyle="1" w:styleId="97">
    <w:name w:val="正文文本缩进 Char1"/>
    <w:link w:val="25"/>
    <w:autoRedefine/>
    <w:qFormat/>
    <w:uiPriority w:val="0"/>
    <w:rPr>
      <w:kern w:val="2"/>
      <w:sz w:val="21"/>
      <w:szCs w:val="24"/>
    </w:rPr>
  </w:style>
  <w:style w:type="character" w:customStyle="1" w:styleId="98">
    <w:name w:val="纯文本 Char"/>
    <w:link w:val="33"/>
    <w:autoRedefine/>
    <w:qFormat/>
    <w:uiPriority w:val="0"/>
    <w:rPr>
      <w:rFonts w:ascii="宋体" w:hAnsi="Courier New" w:eastAsia="宋体"/>
      <w:sz w:val="21"/>
      <w:szCs w:val="21"/>
      <w:lang w:val="en-US" w:eastAsia="zh-CN" w:bidi="ar-SA"/>
    </w:rPr>
  </w:style>
  <w:style w:type="character" w:customStyle="1" w:styleId="99">
    <w:name w:val="日期 Char"/>
    <w:link w:val="35"/>
    <w:autoRedefine/>
    <w:qFormat/>
    <w:uiPriority w:val="0"/>
    <w:rPr>
      <w:kern w:val="2"/>
      <w:sz w:val="24"/>
    </w:rPr>
  </w:style>
  <w:style w:type="character" w:customStyle="1" w:styleId="100">
    <w:name w:val="正文文本缩进 2 Char"/>
    <w:link w:val="36"/>
    <w:autoRedefine/>
    <w:qFormat/>
    <w:uiPriority w:val="0"/>
    <w:rPr>
      <w:rFonts w:eastAsia="楷体_GB2312"/>
      <w:kern w:val="2"/>
      <w:sz w:val="28"/>
      <w:szCs w:val="24"/>
    </w:rPr>
  </w:style>
  <w:style w:type="character" w:customStyle="1" w:styleId="101">
    <w:name w:val="尾注文本 Char"/>
    <w:link w:val="37"/>
    <w:autoRedefine/>
    <w:qFormat/>
    <w:uiPriority w:val="0"/>
  </w:style>
  <w:style w:type="character" w:customStyle="1" w:styleId="102">
    <w:name w:val="批注框文本 Char"/>
    <w:link w:val="38"/>
    <w:autoRedefine/>
    <w:qFormat/>
    <w:uiPriority w:val="0"/>
    <w:rPr>
      <w:kern w:val="2"/>
      <w:sz w:val="18"/>
      <w:szCs w:val="18"/>
    </w:rPr>
  </w:style>
  <w:style w:type="character" w:customStyle="1" w:styleId="103">
    <w:name w:val="页脚 Char"/>
    <w:link w:val="39"/>
    <w:autoRedefine/>
    <w:qFormat/>
    <w:uiPriority w:val="99"/>
    <w:rPr>
      <w:kern w:val="2"/>
      <w:sz w:val="18"/>
      <w:szCs w:val="18"/>
    </w:rPr>
  </w:style>
  <w:style w:type="character" w:customStyle="1" w:styleId="104">
    <w:name w:val="页眉 Char"/>
    <w:link w:val="40"/>
    <w:qFormat/>
    <w:uiPriority w:val="99"/>
    <w:rPr>
      <w:kern w:val="2"/>
      <w:sz w:val="18"/>
      <w:szCs w:val="18"/>
    </w:rPr>
  </w:style>
  <w:style w:type="character" w:customStyle="1" w:styleId="105">
    <w:name w:val="签名 Char"/>
    <w:link w:val="41"/>
    <w:autoRedefine/>
    <w:qFormat/>
    <w:uiPriority w:val="0"/>
  </w:style>
  <w:style w:type="character" w:customStyle="1" w:styleId="106">
    <w:name w:val="脚注文本 Char"/>
    <w:link w:val="47"/>
    <w:autoRedefine/>
    <w:qFormat/>
    <w:uiPriority w:val="0"/>
    <w:rPr>
      <w:lang w:eastAsia="en-US"/>
    </w:rPr>
  </w:style>
  <w:style w:type="character" w:customStyle="1" w:styleId="107">
    <w:name w:val="正文文本缩进 3 Char"/>
    <w:link w:val="50"/>
    <w:autoRedefine/>
    <w:qFormat/>
    <w:uiPriority w:val="0"/>
    <w:rPr>
      <w:rFonts w:eastAsia="楷体_GB2312"/>
      <w:kern w:val="2"/>
      <w:sz w:val="28"/>
      <w:szCs w:val="24"/>
    </w:rPr>
  </w:style>
  <w:style w:type="character" w:customStyle="1" w:styleId="108">
    <w:name w:val="正文文本 2 Char"/>
    <w:link w:val="53"/>
    <w:autoRedefine/>
    <w:qFormat/>
    <w:uiPriority w:val="0"/>
    <w:rPr>
      <w:rFonts w:ascii="楷体_GB2312" w:eastAsia="楷体_GB2312"/>
      <w:b/>
      <w:kern w:val="2"/>
      <w:sz w:val="36"/>
      <w:szCs w:val="48"/>
    </w:rPr>
  </w:style>
  <w:style w:type="character" w:customStyle="1" w:styleId="109">
    <w:name w:val="HTML 预设格式 Char"/>
    <w:link w:val="56"/>
    <w:autoRedefine/>
    <w:qFormat/>
    <w:uiPriority w:val="0"/>
    <w:rPr>
      <w:rFonts w:ascii="Arial Unicode MS" w:hAnsi="Arial Unicode MS" w:eastAsia="Courier New" w:cs="Courier New"/>
    </w:rPr>
  </w:style>
  <w:style w:type="character" w:customStyle="1" w:styleId="110">
    <w:name w:val="标题 Char"/>
    <w:link w:val="58"/>
    <w:autoRedefine/>
    <w:qFormat/>
    <w:uiPriority w:val="0"/>
    <w:rPr>
      <w:rFonts w:ascii="Arial" w:hAnsi="Arial" w:eastAsia="隶书"/>
      <w:b/>
      <w:kern w:val="2"/>
      <w:sz w:val="32"/>
    </w:rPr>
  </w:style>
  <w:style w:type="character" w:customStyle="1" w:styleId="111">
    <w:name w:val="批注主题 Char"/>
    <w:link w:val="59"/>
    <w:autoRedefine/>
    <w:qFormat/>
    <w:uiPriority w:val="0"/>
    <w:rPr>
      <w:b/>
      <w:bCs/>
      <w:kern w:val="2"/>
      <w:sz w:val="21"/>
      <w:szCs w:val="24"/>
      <w:lang w:bidi="ar-SA"/>
    </w:rPr>
  </w:style>
  <w:style w:type="character" w:customStyle="1" w:styleId="112">
    <w:name w:val="正文首行缩进 Char"/>
    <w:link w:val="60"/>
    <w:autoRedefine/>
    <w:qFormat/>
    <w:uiPriority w:val="0"/>
    <w:rPr>
      <w:rFonts w:eastAsia="楷体_GB2312"/>
      <w:kern w:val="2"/>
      <w:sz w:val="32"/>
    </w:rPr>
  </w:style>
  <w:style w:type="character" w:customStyle="1" w:styleId="113">
    <w:name w:val="正文首行缩进 2 Char"/>
    <w:link w:val="61"/>
    <w:autoRedefine/>
    <w:qFormat/>
    <w:uiPriority w:val="0"/>
    <w:rPr>
      <w:kern w:val="2"/>
      <w:sz w:val="21"/>
    </w:rPr>
  </w:style>
  <w:style w:type="paragraph" w:customStyle="1" w:styleId="114">
    <w:name w:val="文档正文"/>
    <w:basedOn w:val="1"/>
    <w:autoRedefine/>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115">
    <w:name w:val="Default"/>
    <w:next w:val="1"/>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116">
    <w:name w:val="hover17"/>
    <w:basedOn w:val="64"/>
    <w:autoRedefine/>
    <w:qFormat/>
    <w:uiPriority w:val="0"/>
  </w:style>
  <w:style w:type="character" w:customStyle="1" w:styleId="117">
    <w:name w:val="标题 Char1"/>
    <w:autoRedefine/>
    <w:qFormat/>
    <w:uiPriority w:val="0"/>
    <w:rPr>
      <w:rFonts w:ascii="Cambria" w:hAnsi="Cambria" w:cs="Times New Roman"/>
      <w:b/>
      <w:bCs/>
      <w:kern w:val="2"/>
      <w:sz w:val="32"/>
      <w:szCs w:val="32"/>
    </w:rPr>
  </w:style>
  <w:style w:type="character" w:customStyle="1" w:styleId="118">
    <w:name w:val="style41"/>
    <w:autoRedefine/>
    <w:qFormat/>
    <w:uiPriority w:val="0"/>
    <w:rPr>
      <w:rFonts w:hint="eastAsia" w:ascii="新宋体" w:hAnsi="新宋体" w:eastAsia="新宋体"/>
      <w:sz w:val="21"/>
      <w:szCs w:val="21"/>
    </w:rPr>
  </w:style>
  <w:style w:type="character" w:customStyle="1" w:styleId="119">
    <w:name w:val="bds_more2"/>
    <w:autoRedefine/>
    <w:qFormat/>
    <w:uiPriority w:val="0"/>
  </w:style>
  <w:style w:type="character" w:customStyle="1" w:styleId="120">
    <w:name w:val="批注主题 Char1"/>
    <w:autoRedefine/>
    <w:qFormat/>
    <w:uiPriority w:val="0"/>
    <w:rPr>
      <w:b/>
      <w:bCs/>
      <w:kern w:val="2"/>
      <w:sz w:val="21"/>
      <w:szCs w:val="24"/>
    </w:rPr>
  </w:style>
  <w:style w:type="character" w:customStyle="1" w:styleId="121">
    <w:name w:val="尾注文本 Char1"/>
    <w:autoRedefine/>
    <w:qFormat/>
    <w:uiPriority w:val="0"/>
    <w:rPr>
      <w:kern w:val="2"/>
      <w:sz w:val="21"/>
      <w:szCs w:val="24"/>
    </w:rPr>
  </w:style>
  <w:style w:type="character" w:customStyle="1" w:styleId="122">
    <w:name w:val="正文文本缩进 Char"/>
    <w:autoRedefine/>
    <w:qFormat/>
    <w:uiPriority w:val="0"/>
    <w:rPr>
      <w:rFonts w:ascii="楷体_GB2312" w:eastAsia="楷体_GB2312"/>
      <w:sz w:val="28"/>
    </w:rPr>
  </w:style>
  <w:style w:type="character" w:customStyle="1" w:styleId="123">
    <w:name w:val="Anrede1IhrZeichen"/>
    <w:autoRedefine/>
    <w:qFormat/>
    <w:uiPriority w:val="0"/>
    <w:rPr>
      <w:rFonts w:ascii="Arial" w:hAnsi="Arial"/>
      <w:sz w:val="20"/>
    </w:rPr>
  </w:style>
  <w:style w:type="character" w:customStyle="1" w:styleId="124">
    <w:name w:val="Para head"/>
    <w:autoRedefine/>
    <w:qFormat/>
    <w:uiPriority w:val="0"/>
    <w:rPr>
      <w:rFonts w:ascii="Arial" w:hAnsi="Arial" w:cs="Times New Roman"/>
      <w:sz w:val="20"/>
    </w:rPr>
  </w:style>
  <w:style w:type="character" w:customStyle="1" w:styleId="125">
    <w:name w:val="t-tag"/>
    <w:autoRedefine/>
    <w:qFormat/>
    <w:uiPriority w:val="0"/>
    <w:rPr>
      <w:color w:val="FFFFFF"/>
      <w:sz w:val="18"/>
      <w:szCs w:val="18"/>
      <w:shd w:val="clear" w:color="auto" w:fill="FE8833"/>
    </w:rPr>
  </w:style>
  <w:style w:type="character" w:customStyle="1" w:styleId="126">
    <w:name w:val="Plain Text Char"/>
    <w:autoRedefine/>
    <w:qFormat/>
    <w:locked/>
    <w:uiPriority w:val="0"/>
    <w:rPr>
      <w:rFonts w:ascii="宋体" w:hAnsi="Courier New" w:eastAsia="宋体" w:cs="Times New Roman"/>
      <w:sz w:val="20"/>
      <w:szCs w:val="20"/>
    </w:rPr>
  </w:style>
  <w:style w:type="character" w:customStyle="1" w:styleId="127">
    <w:name w:val="称呼 Char1"/>
    <w:autoRedefine/>
    <w:qFormat/>
    <w:uiPriority w:val="0"/>
    <w:rPr>
      <w:kern w:val="2"/>
      <w:sz w:val="21"/>
      <w:szCs w:val="24"/>
    </w:rPr>
  </w:style>
  <w:style w:type="character" w:customStyle="1" w:styleId="128">
    <w:name w:val="Char Char1"/>
    <w:autoRedefine/>
    <w:qFormat/>
    <w:uiPriority w:val="0"/>
    <w:rPr>
      <w:sz w:val="18"/>
    </w:rPr>
  </w:style>
  <w:style w:type="character" w:customStyle="1" w:styleId="129">
    <w:name w:val="indent1 Char Char"/>
    <w:link w:val="130"/>
    <w:autoRedefine/>
    <w:qFormat/>
    <w:uiPriority w:val="0"/>
    <w:rPr>
      <w:rFonts w:ascii="宋体" w:hAnsi="宋体"/>
      <w:color w:val="5E5E5E"/>
      <w:sz w:val="18"/>
      <w:szCs w:val="18"/>
    </w:rPr>
  </w:style>
  <w:style w:type="paragraph" w:customStyle="1" w:styleId="130">
    <w:name w:val="indent1"/>
    <w:basedOn w:val="1"/>
    <w:link w:val="129"/>
    <w:autoRedefine/>
    <w:qFormat/>
    <w:uiPriority w:val="0"/>
    <w:pPr>
      <w:widowControl/>
      <w:spacing w:after="15" w:line="240" w:lineRule="atLeast"/>
      <w:ind w:firstLine="360"/>
      <w:jc w:val="left"/>
    </w:pPr>
    <w:rPr>
      <w:rFonts w:ascii="宋体" w:hAnsi="宋体"/>
      <w:color w:val="5E5E5E"/>
      <w:kern w:val="0"/>
      <w:sz w:val="18"/>
      <w:szCs w:val="18"/>
    </w:rPr>
  </w:style>
  <w:style w:type="character" w:customStyle="1" w:styleId="131">
    <w:name w:val="fr"/>
    <w:autoRedefine/>
    <w:qFormat/>
    <w:uiPriority w:val="0"/>
  </w:style>
  <w:style w:type="character" w:customStyle="1" w:styleId="132">
    <w:name w:val="text_121"/>
    <w:autoRedefine/>
    <w:qFormat/>
    <w:uiPriority w:val="0"/>
    <w:rPr>
      <w:rFonts w:ascii="s?" w:hAnsi="s?" w:cs="Times New Roman"/>
      <w:color w:val="000000"/>
      <w:spacing w:val="321"/>
      <w:sz w:val="15"/>
      <w:szCs w:val="15"/>
    </w:rPr>
  </w:style>
  <w:style w:type="character" w:customStyle="1" w:styleId="133">
    <w:name w:val="正文首行缩进 2 Char1"/>
    <w:qFormat/>
    <w:uiPriority w:val="0"/>
    <w:rPr>
      <w:rFonts w:ascii="楷体_GB2312" w:eastAsia="楷体_GB2312"/>
      <w:sz w:val="28"/>
    </w:rPr>
  </w:style>
  <w:style w:type="character" w:customStyle="1" w:styleId="134">
    <w:name w:val="font91"/>
    <w:qFormat/>
    <w:uiPriority w:val="0"/>
    <w:rPr>
      <w:rFonts w:cs="Times New Roman"/>
      <w:color w:val="000000"/>
      <w:sz w:val="18"/>
      <w:szCs w:val="18"/>
    </w:rPr>
  </w:style>
  <w:style w:type="character" w:customStyle="1" w:styleId="135">
    <w:name w:val="正文文字 Char"/>
    <w:qFormat/>
    <w:uiPriority w:val="0"/>
    <w:rPr>
      <w:rFonts w:eastAsia="宋体" w:cs="Times New Roman"/>
      <w:kern w:val="2"/>
      <w:sz w:val="30"/>
      <w:lang w:val="en-US" w:eastAsia="zh-CN"/>
    </w:rPr>
  </w:style>
  <w:style w:type="character" w:customStyle="1" w:styleId="136">
    <w:name w:val="Char Char Char Char Char Char Char Char Char Char Char Char Char"/>
    <w:autoRedefine/>
    <w:qFormat/>
    <w:uiPriority w:val="0"/>
    <w:rPr>
      <w:kern w:val="2"/>
      <w:sz w:val="18"/>
      <w:szCs w:val="18"/>
    </w:rPr>
  </w:style>
  <w:style w:type="character" w:customStyle="1" w:styleId="137">
    <w:name w:val="纯文本 Char1"/>
    <w:qFormat/>
    <w:uiPriority w:val="0"/>
    <w:rPr>
      <w:rFonts w:ascii="宋体" w:hAnsi="Courier New" w:eastAsia="宋体"/>
      <w:sz w:val="21"/>
      <w:szCs w:val="21"/>
      <w:lang w:val="en-US" w:eastAsia="zh-CN" w:bidi="ar-SA"/>
    </w:rPr>
  </w:style>
  <w:style w:type="character" w:customStyle="1" w:styleId="138">
    <w:name w:val="正文缩进 Char1"/>
    <w:qFormat/>
    <w:uiPriority w:val="0"/>
    <w:rPr>
      <w:kern w:val="2"/>
      <w:sz w:val="21"/>
    </w:rPr>
  </w:style>
  <w:style w:type="character" w:customStyle="1" w:styleId="139">
    <w:name w:val="apple-style-span"/>
    <w:qFormat/>
    <w:uiPriority w:val="0"/>
  </w:style>
  <w:style w:type="character" w:customStyle="1" w:styleId="140">
    <w:name w:val="批注文字 Char"/>
    <w:qFormat/>
    <w:uiPriority w:val="0"/>
    <w:rPr>
      <w:kern w:val="2"/>
      <w:sz w:val="21"/>
      <w:szCs w:val="24"/>
      <w:lang w:bidi="ar-SA"/>
    </w:rPr>
  </w:style>
  <w:style w:type="character" w:customStyle="1" w:styleId="141">
    <w:name w:val="no52"/>
    <w:qFormat/>
    <w:uiPriority w:val="0"/>
  </w:style>
  <w:style w:type="character" w:customStyle="1" w:styleId="142">
    <w:name w:val="Footer Char"/>
    <w:qFormat/>
    <w:locked/>
    <w:uiPriority w:val="0"/>
    <w:rPr>
      <w:rFonts w:cs="Times New Roman"/>
      <w:sz w:val="18"/>
      <w:szCs w:val="18"/>
    </w:rPr>
  </w:style>
  <w:style w:type="character" w:customStyle="1" w:styleId="143">
    <w:name w:val="称呼 Char2"/>
    <w:qFormat/>
    <w:uiPriority w:val="0"/>
    <w:rPr>
      <w:kern w:val="2"/>
      <w:sz w:val="21"/>
      <w:szCs w:val="24"/>
    </w:rPr>
  </w:style>
  <w:style w:type="character" w:customStyle="1" w:styleId="144">
    <w:name w:val="lineitems1"/>
    <w:autoRedefine/>
    <w:qFormat/>
    <w:uiPriority w:val="0"/>
    <w:rPr>
      <w:sz w:val="17"/>
      <w:szCs w:val="17"/>
    </w:rPr>
  </w:style>
  <w:style w:type="character" w:customStyle="1" w:styleId="145">
    <w:name w:val="style191"/>
    <w:autoRedefine/>
    <w:qFormat/>
    <w:uiPriority w:val="0"/>
    <w:rPr>
      <w:rFonts w:ascii="Arial" w:hAnsi="Arial" w:cs="Arial"/>
      <w:b/>
      <w:bCs/>
      <w:color w:val="888888"/>
      <w:sz w:val="21"/>
      <w:szCs w:val="21"/>
    </w:rPr>
  </w:style>
  <w:style w:type="character" w:customStyle="1" w:styleId="146">
    <w:name w:val="location"/>
    <w:autoRedefine/>
    <w:qFormat/>
    <w:uiPriority w:val="0"/>
  </w:style>
  <w:style w:type="character" w:customStyle="1" w:styleId="147">
    <w:name w:val="普通文字 Char1"/>
    <w:autoRedefine/>
    <w:qFormat/>
    <w:uiPriority w:val="0"/>
    <w:rPr>
      <w:rFonts w:ascii="宋体" w:hAnsi="Courier New" w:eastAsia="宋体"/>
      <w:kern w:val="2"/>
      <w:sz w:val="24"/>
      <w:lang w:val="en-US" w:eastAsia="zh-CN" w:bidi="ar-SA"/>
    </w:rPr>
  </w:style>
  <w:style w:type="character" w:customStyle="1" w:styleId="148">
    <w:name w:val="black1"/>
    <w:autoRedefine/>
    <w:qFormat/>
    <w:uiPriority w:val="0"/>
    <w:rPr>
      <w:rFonts w:cs="Times New Roman"/>
      <w:color w:val="000000"/>
      <w:spacing w:val="330"/>
    </w:rPr>
  </w:style>
  <w:style w:type="character" w:customStyle="1" w:styleId="149">
    <w:name w:val="正文文本 Char"/>
    <w:autoRedefine/>
    <w:qFormat/>
    <w:uiPriority w:val="0"/>
    <w:rPr>
      <w:kern w:val="2"/>
      <w:sz w:val="21"/>
      <w:szCs w:val="24"/>
    </w:rPr>
  </w:style>
  <w:style w:type="character" w:customStyle="1" w:styleId="150">
    <w:name w:val="Body Text Indent 2 Char"/>
    <w:autoRedefine/>
    <w:qFormat/>
    <w:locked/>
    <w:uiPriority w:val="0"/>
    <w:rPr>
      <w:rFonts w:ascii="Times New Roman" w:hAnsi="Times New Roman" w:eastAsia="宋体" w:cs="Times New Roman"/>
      <w:sz w:val="24"/>
      <w:szCs w:val="24"/>
    </w:rPr>
  </w:style>
  <w:style w:type="character" w:customStyle="1" w:styleId="151">
    <w:name w:val="签名 Char1"/>
    <w:autoRedefine/>
    <w:qFormat/>
    <w:uiPriority w:val="0"/>
    <w:rPr>
      <w:kern w:val="2"/>
      <w:sz w:val="21"/>
      <w:szCs w:val="24"/>
    </w:rPr>
  </w:style>
  <w:style w:type="character" w:customStyle="1" w:styleId="152">
    <w:name w:val="no42"/>
    <w:autoRedefine/>
    <w:qFormat/>
    <w:uiPriority w:val="0"/>
  </w:style>
  <w:style w:type="character" w:customStyle="1" w:styleId="153">
    <w:name w:val="脚注文本 Char1"/>
    <w:autoRedefine/>
    <w:qFormat/>
    <w:uiPriority w:val="0"/>
    <w:rPr>
      <w:kern w:val="2"/>
      <w:sz w:val="18"/>
      <w:szCs w:val="18"/>
    </w:rPr>
  </w:style>
  <w:style w:type="character" w:customStyle="1" w:styleId="154">
    <w:name w:val="标题 21 Char Char"/>
    <w:autoRedefine/>
    <w:qFormat/>
    <w:uiPriority w:val="0"/>
    <w:rPr>
      <w:rFonts w:ascii="宋体" w:eastAsia="宋体"/>
      <w:sz w:val="24"/>
    </w:rPr>
  </w:style>
  <w:style w:type="character" w:customStyle="1" w:styleId="155">
    <w:name w:val="bds_nopic"/>
    <w:autoRedefine/>
    <w:qFormat/>
    <w:uiPriority w:val="0"/>
  </w:style>
  <w:style w:type="character" w:customStyle="1" w:styleId="156">
    <w:name w:val="font61"/>
    <w:autoRedefine/>
    <w:qFormat/>
    <w:uiPriority w:val="0"/>
    <w:rPr>
      <w:rFonts w:hint="eastAsia" w:ascii="宋体" w:hAnsi="宋体" w:eastAsia="宋体" w:cs="宋体"/>
      <w:color w:val="000000"/>
      <w:sz w:val="20"/>
      <w:szCs w:val="20"/>
      <w:u w:val="none"/>
    </w:rPr>
  </w:style>
  <w:style w:type="character" w:customStyle="1" w:styleId="157">
    <w:name w:val="正文文本缩进 Char Char"/>
    <w:autoRedefine/>
    <w:qFormat/>
    <w:uiPriority w:val="0"/>
    <w:rPr>
      <w:rFonts w:eastAsia="宋体"/>
      <w:kern w:val="2"/>
      <w:sz w:val="24"/>
      <w:lang w:val="en-US" w:eastAsia="zh-CN" w:bidi="ar-SA"/>
    </w:rPr>
  </w:style>
  <w:style w:type="character" w:customStyle="1" w:styleId="158">
    <w:name w:val="标四 Char Char"/>
    <w:autoRedefine/>
    <w:qFormat/>
    <w:uiPriority w:val="0"/>
    <w:rPr>
      <w:rFonts w:ascii="仿宋_GB2312" w:hAnsi="Plotter" w:eastAsia="仿宋_GB2312" w:cs="Plotter"/>
      <w:kern w:val="2"/>
      <w:sz w:val="24"/>
      <w:szCs w:val="24"/>
      <w:lang w:val="en-US" w:eastAsia="zh-CN" w:bidi="ar-SA"/>
    </w:rPr>
  </w:style>
  <w:style w:type="character" w:customStyle="1" w:styleId="159">
    <w:name w:val="huei12b1"/>
    <w:autoRedefine/>
    <w:qFormat/>
    <w:uiPriority w:val="0"/>
    <w:rPr>
      <w:b/>
      <w:bCs/>
      <w:color w:val="333333"/>
      <w:sz w:val="18"/>
      <w:szCs w:val="18"/>
    </w:rPr>
  </w:style>
  <w:style w:type="character" w:customStyle="1" w:styleId="160">
    <w:name w:val="style51"/>
    <w:autoRedefine/>
    <w:qFormat/>
    <w:uiPriority w:val="0"/>
    <w:rPr>
      <w:color w:val="000000"/>
      <w:sz w:val="18"/>
      <w:szCs w:val="18"/>
    </w:rPr>
  </w:style>
  <w:style w:type="character" w:customStyle="1" w:styleId="161">
    <w:name w:val="first-child"/>
    <w:autoRedefine/>
    <w:qFormat/>
    <w:uiPriority w:val="0"/>
    <w:rPr>
      <w:color w:val="1F3149"/>
      <w:sz w:val="24"/>
      <w:szCs w:val="24"/>
    </w:rPr>
  </w:style>
  <w:style w:type="character" w:customStyle="1" w:styleId="162">
    <w:name w:val="font21"/>
    <w:autoRedefine/>
    <w:qFormat/>
    <w:uiPriority w:val="0"/>
    <w:rPr>
      <w:rFonts w:ascii="Arial" w:hAnsi="Arial" w:cs="Arial"/>
      <w:color w:val="000000"/>
      <w:sz w:val="24"/>
      <w:szCs w:val="24"/>
      <w:u w:val="none"/>
    </w:rPr>
  </w:style>
  <w:style w:type="character" w:customStyle="1" w:styleId="163">
    <w:name w:val="ui-bz-bg-hover1"/>
    <w:autoRedefine/>
    <w:qFormat/>
    <w:uiPriority w:val="0"/>
  </w:style>
  <w:style w:type="character" w:customStyle="1" w:styleId="164">
    <w:name w:val="Normal Char"/>
    <w:autoRedefine/>
    <w:qFormat/>
    <w:uiPriority w:val="0"/>
    <w:rPr>
      <w:rFonts w:ascii="宋体" w:eastAsia="宋体" w:cs="Times New Roman"/>
      <w:sz w:val="24"/>
      <w:lang w:val="en-US" w:eastAsia="zh-CN"/>
    </w:rPr>
  </w:style>
  <w:style w:type="character" w:customStyle="1" w:styleId="165">
    <w:name w:val="hui3"/>
    <w:autoRedefine/>
    <w:qFormat/>
    <w:uiPriority w:val="0"/>
    <w:rPr>
      <w:color w:val="333333"/>
    </w:rPr>
  </w:style>
  <w:style w:type="character" w:customStyle="1" w:styleId="166">
    <w:name w:val="no72"/>
    <w:autoRedefine/>
    <w:qFormat/>
    <w:uiPriority w:val="0"/>
  </w:style>
  <w:style w:type="character" w:customStyle="1" w:styleId="167">
    <w:name w:val="tpc_content1"/>
    <w:autoRedefine/>
    <w:qFormat/>
    <w:uiPriority w:val="0"/>
    <w:rPr>
      <w:sz w:val="20"/>
      <w:szCs w:val="20"/>
    </w:rPr>
  </w:style>
  <w:style w:type="character" w:customStyle="1" w:styleId="168">
    <w:name w:val="bds_more"/>
    <w:autoRedefine/>
    <w:qFormat/>
    <w:uiPriority w:val="0"/>
  </w:style>
  <w:style w:type="character" w:customStyle="1" w:styleId="169">
    <w:name w:val="标二 Char Char"/>
    <w:autoRedefine/>
    <w:qFormat/>
    <w:uiPriority w:val="0"/>
    <w:rPr>
      <w:rFonts w:ascii="黑体" w:hAnsi="Arial" w:eastAsia="黑体" w:cs="Plotter"/>
      <w:bCs/>
      <w:kern w:val="2"/>
      <w:sz w:val="30"/>
      <w:szCs w:val="30"/>
      <w:lang w:val="en-US" w:eastAsia="zh-CN" w:bidi="ar-SA"/>
    </w:rPr>
  </w:style>
  <w:style w:type="character" w:customStyle="1" w:styleId="170">
    <w:name w:val="尾注文本 Char2"/>
    <w:autoRedefine/>
    <w:qFormat/>
    <w:uiPriority w:val="0"/>
    <w:rPr>
      <w:kern w:val="2"/>
      <w:sz w:val="21"/>
      <w:szCs w:val="24"/>
    </w:rPr>
  </w:style>
  <w:style w:type="character" w:customStyle="1" w:styleId="171">
    <w:name w:val="f-star"/>
    <w:autoRedefine/>
    <w:qFormat/>
    <w:uiPriority w:val="0"/>
    <w:rPr>
      <w:color w:val="999999"/>
      <w:sz w:val="21"/>
      <w:szCs w:val="21"/>
    </w:rPr>
  </w:style>
  <w:style w:type="character" w:customStyle="1" w:styleId="172">
    <w:name w:val="main_tdbg_760"/>
    <w:autoRedefine/>
    <w:qFormat/>
    <w:uiPriority w:val="0"/>
  </w:style>
  <w:style w:type="character" w:customStyle="1" w:styleId="173">
    <w:name w:val="正文首行缩进 2 Char2"/>
    <w:autoRedefine/>
    <w:qFormat/>
    <w:uiPriority w:val="0"/>
    <w:rPr>
      <w:kern w:val="2"/>
      <w:sz w:val="21"/>
      <w:szCs w:val="24"/>
    </w:rPr>
  </w:style>
  <w:style w:type="character" w:customStyle="1" w:styleId="174">
    <w:name w:val="文章标题 Char Char"/>
    <w:autoRedefine/>
    <w:qFormat/>
    <w:uiPriority w:val="0"/>
    <w:rPr>
      <w:rFonts w:ascii="宋体" w:eastAsia="宋体"/>
    </w:rPr>
  </w:style>
  <w:style w:type="character" w:customStyle="1" w:styleId="175">
    <w:name w:val="first-child1"/>
    <w:autoRedefine/>
    <w:qFormat/>
    <w:uiPriority w:val="0"/>
    <w:rPr>
      <w:color w:val="1F3149"/>
      <w:sz w:val="24"/>
      <w:szCs w:val="24"/>
    </w:rPr>
  </w:style>
  <w:style w:type="character" w:customStyle="1" w:styleId="176">
    <w:name w:val="fontstyle01"/>
    <w:autoRedefine/>
    <w:qFormat/>
    <w:uiPriority w:val="0"/>
    <w:rPr>
      <w:rFonts w:hint="eastAsia" w:ascii="宋体" w:hAnsi="宋体" w:eastAsia="宋体"/>
      <w:color w:val="000000"/>
      <w:sz w:val="22"/>
      <w:szCs w:val="22"/>
    </w:rPr>
  </w:style>
  <w:style w:type="character" w:customStyle="1" w:styleId="177">
    <w:name w:val="样式1 Char Char"/>
    <w:link w:val="178"/>
    <w:autoRedefine/>
    <w:qFormat/>
    <w:locked/>
    <w:uiPriority w:val="0"/>
    <w:rPr>
      <w:kern w:val="2"/>
      <w:sz w:val="18"/>
      <w:szCs w:val="18"/>
    </w:rPr>
  </w:style>
  <w:style w:type="paragraph" w:customStyle="1" w:styleId="178">
    <w:name w:val="样式1"/>
    <w:basedOn w:val="40"/>
    <w:link w:val="177"/>
    <w:autoRedefine/>
    <w:qFormat/>
    <w:uiPriority w:val="0"/>
  </w:style>
  <w:style w:type="character" w:customStyle="1" w:styleId="179">
    <w:name w:val="Char Char Char Char Char"/>
    <w:autoRedefine/>
    <w:qFormat/>
    <w:uiPriority w:val="0"/>
    <w:rPr>
      <w:kern w:val="2"/>
      <w:sz w:val="18"/>
      <w:szCs w:val="18"/>
    </w:rPr>
  </w:style>
  <w:style w:type="character" w:customStyle="1" w:styleId="180">
    <w:name w:val="无间隔 Char"/>
    <w:link w:val="181"/>
    <w:autoRedefine/>
    <w:qFormat/>
    <w:locked/>
    <w:uiPriority w:val="0"/>
    <w:rPr>
      <w:kern w:val="2"/>
      <w:sz w:val="21"/>
      <w:szCs w:val="24"/>
      <w:lang w:val="en-US" w:eastAsia="zh-CN" w:bidi="ar-SA"/>
    </w:rPr>
  </w:style>
  <w:style w:type="paragraph" w:customStyle="1" w:styleId="181">
    <w:name w:val="No Spacing1"/>
    <w:link w:val="18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2">
    <w:name w:val="no62"/>
    <w:autoRedefine/>
    <w:qFormat/>
    <w:uiPriority w:val="0"/>
  </w:style>
  <w:style w:type="character" w:customStyle="1" w:styleId="183">
    <w:name w:val="签名 Char2"/>
    <w:autoRedefine/>
    <w:qFormat/>
    <w:uiPriority w:val="0"/>
    <w:rPr>
      <w:kern w:val="2"/>
      <w:sz w:val="21"/>
      <w:szCs w:val="24"/>
    </w:rPr>
  </w:style>
  <w:style w:type="character" w:customStyle="1" w:styleId="184">
    <w:name w:val="Heading 3 Char Char"/>
    <w:autoRedefine/>
    <w:qFormat/>
    <w:locked/>
    <w:uiPriority w:val="0"/>
    <w:rPr>
      <w:rFonts w:ascii="Plotter" w:hAnsi="Plotter" w:eastAsia="宋体" w:cs="Plotter"/>
      <w:b/>
      <w:bCs/>
      <w:sz w:val="32"/>
      <w:szCs w:val="32"/>
    </w:rPr>
  </w:style>
  <w:style w:type="character" w:customStyle="1" w:styleId="185">
    <w:name w:val="ca-51"/>
    <w:autoRedefine/>
    <w:qFormat/>
    <w:uiPriority w:val="0"/>
    <w:rPr>
      <w:rFonts w:hint="eastAsia" w:ascii="宋体" w:hAnsi="宋体" w:eastAsia="宋体"/>
      <w:sz w:val="24"/>
      <w:szCs w:val="24"/>
    </w:rPr>
  </w:style>
  <w:style w:type="character" w:customStyle="1" w:styleId="186">
    <w:name w:val="正文首行缩进 Char1"/>
    <w:autoRedefine/>
    <w:qFormat/>
    <w:uiPriority w:val="0"/>
    <w:rPr>
      <w:kern w:val="2"/>
      <w:sz w:val="21"/>
      <w:szCs w:val="24"/>
    </w:rPr>
  </w:style>
  <w:style w:type="character" w:customStyle="1" w:styleId="187">
    <w:name w:val="f141"/>
    <w:autoRedefine/>
    <w:qFormat/>
    <w:uiPriority w:val="0"/>
    <w:rPr>
      <w:sz w:val="21"/>
      <w:szCs w:val="21"/>
    </w:rPr>
  </w:style>
  <w:style w:type="character" w:customStyle="1" w:styleId="188">
    <w:name w:val="bds_more1"/>
    <w:autoRedefine/>
    <w:qFormat/>
    <w:uiPriority w:val="0"/>
    <w:rPr>
      <w:rFonts w:hint="eastAsia" w:ascii="宋体" w:hAnsi="宋体" w:eastAsia="宋体" w:cs="宋体"/>
    </w:rPr>
  </w:style>
  <w:style w:type="character" w:customStyle="1" w:styleId="189">
    <w:name w:val="icon_ds"/>
    <w:autoRedefine/>
    <w:qFormat/>
    <w:uiPriority w:val="0"/>
  </w:style>
  <w:style w:type="character" w:customStyle="1" w:styleId="190">
    <w:name w:val="font121"/>
    <w:autoRedefine/>
    <w:qFormat/>
    <w:uiPriority w:val="0"/>
    <w:rPr>
      <w:rFonts w:cs="Times New Roman"/>
      <w:spacing w:val="330"/>
      <w:sz w:val="18"/>
      <w:szCs w:val="18"/>
      <w:u w:val="none"/>
    </w:rPr>
  </w:style>
  <w:style w:type="character" w:customStyle="1" w:styleId="191">
    <w:name w:val="my正文 Char Char"/>
    <w:link w:val="192"/>
    <w:autoRedefine/>
    <w:qFormat/>
    <w:uiPriority w:val="0"/>
    <w:rPr>
      <w:kern w:val="2"/>
      <w:sz w:val="24"/>
      <w:szCs w:val="24"/>
    </w:rPr>
  </w:style>
  <w:style w:type="paragraph" w:customStyle="1" w:styleId="192">
    <w:name w:val="my正文"/>
    <w:basedOn w:val="1"/>
    <w:link w:val="191"/>
    <w:autoRedefine/>
    <w:qFormat/>
    <w:uiPriority w:val="0"/>
    <w:pPr>
      <w:spacing w:line="360" w:lineRule="auto"/>
      <w:ind w:firstLine="480" w:firstLineChars="200"/>
    </w:pPr>
    <w:rPr>
      <w:sz w:val="24"/>
    </w:rPr>
  </w:style>
  <w:style w:type="character" w:customStyle="1" w:styleId="193">
    <w:name w:val="my-notice1"/>
    <w:autoRedefine/>
    <w:qFormat/>
    <w:uiPriority w:val="0"/>
  </w:style>
  <w:style w:type="character" w:customStyle="1" w:styleId="194">
    <w:name w:val="org_name2"/>
    <w:autoRedefine/>
    <w:qFormat/>
    <w:uiPriority w:val="0"/>
  </w:style>
  <w:style w:type="character" w:customStyle="1" w:styleId="195">
    <w:name w:val="text1"/>
    <w:autoRedefine/>
    <w:qFormat/>
    <w:uiPriority w:val="0"/>
    <w:rPr>
      <w:color w:val="000000"/>
      <w:spacing w:val="432"/>
      <w:sz w:val="20"/>
      <w:szCs w:val="20"/>
    </w:rPr>
  </w:style>
  <w:style w:type="character" w:customStyle="1" w:styleId="196">
    <w:name w:val="正文 1 Char Char"/>
    <w:link w:val="197"/>
    <w:autoRedefine/>
    <w:qFormat/>
    <w:locked/>
    <w:uiPriority w:val="0"/>
    <w:rPr>
      <w:sz w:val="24"/>
    </w:rPr>
  </w:style>
  <w:style w:type="paragraph" w:customStyle="1" w:styleId="197">
    <w:name w:val="正文 1"/>
    <w:basedOn w:val="1"/>
    <w:link w:val="196"/>
    <w:autoRedefine/>
    <w:qFormat/>
    <w:uiPriority w:val="0"/>
    <w:pPr>
      <w:autoSpaceDE w:val="0"/>
      <w:autoSpaceDN w:val="0"/>
      <w:adjustRightInd w:val="0"/>
      <w:spacing w:before="80" w:after="80"/>
      <w:ind w:left="1417"/>
      <w:jc w:val="left"/>
    </w:pPr>
    <w:rPr>
      <w:kern w:val="0"/>
      <w:sz w:val="24"/>
      <w:szCs w:val="20"/>
    </w:rPr>
  </w:style>
  <w:style w:type="character" w:customStyle="1" w:styleId="198">
    <w:name w:val="标题 1 Char Char"/>
    <w:autoRedefine/>
    <w:qFormat/>
    <w:uiPriority w:val="0"/>
    <w:rPr>
      <w:rFonts w:hint="default" w:ascii="Times New Roman" w:hAnsi="Times New Roman" w:cs="Times New Roman"/>
      <w:b/>
      <w:kern w:val="44"/>
      <w:sz w:val="44"/>
    </w:rPr>
  </w:style>
  <w:style w:type="character" w:customStyle="1" w:styleId="199">
    <w:name w:val="proshowid1"/>
    <w:autoRedefine/>
    <w:qFormat/>
    <w:uiPriority w:val="0"/>
    <w:rPr>
      <w:b/>
      <w:bCs/>
      <w:color w:val="4C5D65"/>
    </w:rPr>
  </w:style>
  <w:style w:type="character" w:customStyle="1" w:styleId="200">
    <w:name w:val="orange"/>
    <w:qFormat/>
    <w:uiPriority w:val="0"/>
    <w:rPr>
      <w:color w:val="3FB58F"/>
    </w:rPr>
  </w:style>
  <w:style w:type="character" w:customStyle="1" w:styleId="201">
    <w:name w:val="五号正文（标准） Char Char"/>
    <w:autoRedefine/>
    <w:qFormat/>
    <w:uiPriority w:val="0"/>
    <w:rPr>
      <w:rFonts w:ascii="仿宋_GB2312" w:hAnsi="宋体" w:eastAsia="仿宋_GB2312" w:cs="Plotter"/>
      <w:kern w:val="2"/>
      <w:sz w:val="24"/>
      <w:szCs w:val="24"/>
      <w:lang w:val="en-US" w:eastAsia="zh-CN" w:bidi="ar-SA"/>
    </w:rPr>
  </w:style>
  <w:style w:type="character" w:customStyle="1" w:styleId="202">
    <w:name w:val="样式 标题 3h3Heading 3 -Level 3 HeadH + 段前: 0 磅 段后: 0 磅 Char Char"/>
    <w:link w:val="203"/>
    <w:qFormat/>
    <w:locked/>
    <w:uiPriority w:val="0"/>
    <w:rPr>
      <w:rFonts w:cs="宋体"/>
      <w:b/>
      <w:bCs/>
      <w:kern w:val="2"/>
      <w:sz w:val="24"/>
      <w:szCs w:val="24"/>
    </w:rPr>
  </w:style>
  <w:style w:type="paragraph" w:customStyle="1" w:styleId="203">
    <w:name w:val="样式 标题 3h3Heading 3 -Level 3 HeadH + 段前: 0 磅 段后: 0 磅"/>
    <w:basedOn w:val="4"/>
    <w:link w:val="202"/>
    <w:qFormat/>
    <w:uiPriority w:val="0"/>
    <w:pPr>
      <w:widowControl/>
      <w:tabs>
        <w:tab w:val="left" w:pos="735"/>
        <w:tab w:val="left" w:pos="780"/>
      </w:tabs>
      <w:adjustRightInd w:val="0"/>
      <w:spacing w:beforeLines="50" w:afterLines="50" w:line="240" w:lineRule="auto"/>
      <w:ind w:left="735" w:hanging="735"/>
      <w:jc w:val="left"/>
      <w:textAlignment w:val="baseline"/>
    </w:pPr>
    <w:rPr>
      <w:sz w:val="24"/>
      <w:szCs w:val="24"/>
    </w:rPr>
  </w:style>
  <w:style w:type="character" w:customStyle="1" w:styleId="204">
    <w:name w:val="f71"/>
    <w:qFormat/>
    <w:uiPriority w:val="0"/>
    <w:rPr>
      <w:spacing w:val="375"/>
      <w:sz w:val="18"/>
      <w:szCs w:val="18"/>
    </w:rPr>
  </w:style>
  <w:style w:type="character" w:customStyle="1" w:styleId="205">
    <w:name w:val="font31"/>
    <w:qFormat/>
    <w:uiPriority w:val="0"/>
    <w:rPr>
      <w:rFonts w:hint="eastAsia" w:ascii="宋体" w:hAnsi="宋体" w:eastAsia="宋体" w:cs="宋体"/>
      <w:color w:val="000000"/>
      <w:sz w:val="18"/>
      <w:szCs w:val="18"/>
      <w:u w:val="none"/>
    </w:rPr>
  </w:style>
  <w:style w:type="character" w:customStyle="1" w:styleId="206">
    <w:name w:val="tip8"/>
    <w:qFormat/>
    <w:uiPriority w:val="0"/>
    <w:rPr>
      <w:vanish/>
      <w:color w:val="FF0000"/>
      <w:sz w:val="18"/>
      <w:szCs w:val="18"/>
    </w:rPr>
  </w:style>
  <w:style w:type="character" w:customStyle="1" w:styleId="207">
    <w:name w:val="ca-112"/>
    <w:qFormat/>
    <w:uiPriority w:val="0"/>
  </w:style>
  <w:style w:type="character" w:customStyle="1" w:styleId="208">
    <w:name w:val="top-icon"/>
    <w:autoRedefine/>
    <w:qFormat/>
    <w:uiPriority w:val="0"/>
  </w:style>
  <w:style w:type="character" w:customStyle="1" w:styleId="209">
    <w:name w:val="hover16"/>
    <w:qFormat/>
    <w:uiPriority w:val="0"/>
  </w:style>
  <w:style w:type="character" w:customStyle="1" w:styleId="210">
    <w:name w:val="样式 小四 段前: 3 磅 段后: 3 磅 行距: 1.5 倍行距 Char Char"/>
    <w:link w:val="211"/>
    <w:qFormat/>
    <w:locked/>
    <w:uiPriority w:val="0"/>
    <w:rPr>
      <w:rFonts w:cs="宋体"/>
      <w:kern w:val="2"/>
      <w:sz w:val="24"/>
    </w:rPr>
  </w:style>
  <w:style w:type="paragraph" w:customStyle="1" w:styleId="211">
    <w:name w:val="样式 小四 段前: 3 磅 段后: 3 磅 行距: 1.5 倍行距"/>
    <w:basedOn w:val="1"/>
    <w:link w:val="210"/>
    <w:qFormat/>
    <w:uiPriority w:val="0"/>
    <w:pPr>
      <w:spacing w:before="60" w:after="60"/>
      <w:ind w:firstLine="540" w:firstLineChars="225"/>
      <w:jc w:val="left"/>
    </w:pPr>
    <w:rPr>
      <w:sz w:val="24"/>
      <w:szCs w:val="20"/>
    </w:rPr>
  </w:style>
  <w:style w:type="character" w:customStyle="1" w:styleId="212">
    <w:name w:val="font1"/>
    <w:autoRedefine/>
    <w:qFormat/>
    <w:uiPriority w:val="0"/>
    <w:rPr>
      <w:rFonts w:cs="Times New Roman"/>
      <w:spacing w:val="300"/>
      <w:sz w:val="18"/>
      <w:szCs w:val="18"/>
    </w:rPr>
  </w:style>
  <w:style w:type="character" w:customStyle="1" w:styleId="213">
    <w:name w:val="style141"/>
    <w:autoRedefine/>
    <w:qFormat/>
    <w:uiPriority w:val="0"/>
    <w:rPr>
      <w:rFonts w:ascii="宋体" w:hAnsi="宋体" w:eastAsia="宋体" w:cs="Times New Roman"/>
      <w:b/>
      <w:bCs/>
      <w:color w:val="888888"/>
      <w:sz w:val="21"/>
      <w:szCs w:val="21"/>
    </w:rPr>
  </w:style>
  <w:style w:type="character" w:customStyle="1" w:styleId="214">
    <w:name w:val="point_normal"/>
    <w:qFormat/>
    <w:uiPriority w:val="0"/>
  </w:style>
  <w:style w:type="character" w:customStyle="1" w:styleId="215">
    <w:name w:val="正文-2 Char Char"/>
    <w:link w:val="216"/>
    <w:qFormat/>
    <w:uiPriority w:val="0"/>
    <w:rPr>
      <w:rFonts w:ascii="宋体"/>
      <w:kern w:val="2"/>
      <w:sz w:val="28"/>
      <w:szCs w:val="28"/>
    </w:rPr>
  </w:style>
  <w:style w:type="paragraph" w:customStyle="1" w:styleId="216">
    <w:name w:val="正文-2"/>
    <w:basedOn w:val="1"/>
    <w:link w:val="215"/>
    <w:qFormat/>
    <w:uiPriority w:val="0"/>
    <w:pPr>
      <w:spacing w:line="500" w:lineRule="exact"/>
      <w:ind w:firstLine="200" w:firstLineChars="200"/>
    </w:pPr>
    <w:rPr>
      <w:rFonts w:ascii="宋体"/>
      <w:sz w:val="28"/>
      <w:szCs w:val="28"/>
    </w:rPr>
  </w:style>
  <w:style w:type="character" w:customStyle="1" w:styleId="217">
    <w:name w:val="para"/>
    <w:qFormat/>
    <w:uiPriority w:val="0"/>
  </w:style>
  <w:style w:type="character" w:customStyle="1" w:styleId="218">
    <w:name w:val="文字 Char Char"/>
    <w:link w:val="219"/>
    <w:qFormat/>
    <w:locked/>
    <w:uiPriority w:val="0"/>
    <w:rPr>
      <w:rFonts w:ascii="宋体" w:hAnsi="宋体"/>
      <w:sz w:val="28"/>
    </w:rPr>
  </w:style>
  <w:style w:type="paragraph" w:customStyle="1" w:styleId="219">
    <w:name w:val="文字"/>
    <w:basedOn w:val="1"/>
    <w:link w:val="218"/>
    <w:autoRedefine/>
    <w:qFormat/>
    <w:uiPriority w:val="0"/>
    <w:pPr>
      <w:tabs>
        <w:tab w:val="left" w:pos="8520"/>
      </w:tabs>
      <w:spacing w:line="312" w:lineRule="auto"/>
      <w:ind w:right="-210" w:firstLine="556"/>
      <w:jc w:val="left"/>
    </w:pPr>
    <w:rPr>
      <w:rFonts w:ascii="宋体" w:hAnsi="宋体"/>
      <w:kern w:val="0"/>
      <w:sz w:val="28"/>
      <w:szCs w:val="20"/>
    </w:rPr>
  </w:style>
  <w:style w:type="character" w:customStyle="1" w:styleId="220">
    <w:name w:val="标三 Char Char"/>
    <w:qFormat/>
    <w:uiPriority w:val="0"/>
    <w:rPr>
      <w:rFonts w:ascii="黑体" w:hAnsi="Plotter" w:eastAsia="黑体" w:cs="Plotter"/>
      <w:b/>
      <w:bCs/>
      <w:kern w:val="2"/>
      <w:sz w:val="32"/>
      <w:szCs w:val="32"/>
      <w:lang w:val="en-US" w:eastAsia="zh-CN" w:bidi="ar-SA"/>
    </w:rPr>
  </w:style>
  <w:style w:type="character" w:customStyle="1" w:styleId="221">
    <w:name w:val="search_content1"/>
    <w:qFormat/>
    <w:uiPriority w:val="0"/>
    <w:rPr>
      <w:sz w:val="20"/>
      <w:szCs w:val="20"/>
    </w:rPr>
  </w:style>
  <w:style w:type="character" w:customStyle="1" w:styleId="222">
    <w:name w:val="v151"/>
    <w:qFormat/>
    <w:uiPriority w:val="0"/>
    <w:rPr>
      <w:rFonts w:cs="Times New Roman"/>
      <w:sz w:val="18"/>
      <w:szCs w:val="18"/>
    </w:rPr>
  </w:style>
  <w:style w:type="character" w:customStyle="1" w:styleId="223">
    <w:name w:val="text11"/>
    <w:autoRedefine/>
    <w:qFormat/>
    <w:uiPriority w:val="0"/>
    <w:rPr>
      <w:rFonts w:hint="default" w:ascii="Verdana" w:hAnsi="Verdana"/>
      <w:color w:val="4E4E4E"/>
      <w:spacing w:val="270"/>
      <w:sz w:val="18"/>
      <w:szCs w:val="18"/>
    </w:rPr>
  </w:style>
  <w:style w:type="character" w:customStyle="1" w:styleId="224">
    <w:name w:val="标五 Char Char"/>
    <w:qFormat/>
    <w:uiPriority w:val="0"/>
    <w:rPr>
      <w:rFonts w:ascii="仿宋_GB2312" w:hAnsi="Plotter" w:eastAsia="仿宋_GB2312" w:cs="Plotter"/>
      <w:kern w:val="2"/>
      <w:sz w:val="24"/>
      <w:szCs w:val="24"/>
      <w:lang w:val="en-US" w:eastAsia="zh-CN" w:bidi="ar-SA"/>
    </w:rPr>
  </w:style>
  <w:style w:type="character" w:customStyle="1" w:styleId="225">
    <w:name w:val="Normal Indent Char"/>
    <w:qFormat/>
    <w:locked/>
    <w:uiPriority w:val="0"/>
    <w:rPr>
      <w:rFonts w:ascii="Plotter" w:hAnsi="Plotter" w:eastAsia="宋体" w:cs="Times New Roman"/>
      <w:sz w:val="24"/>
      <w:szCs w:val="24"/>
    </w:rPr>
  </w:style>
  <w:style w:type="character" w:customStyle="1" w:styleId="226">
    <w:name w:val="标题 31 Char Char"/>
    <w:qFormat/>
    <w:uiPriority w:val="0"/>
    <w:rPr>
      <w:kern w:val="2"/>
    </w:rPr>
  </w:style>
  <w:style w:type="character" w:customStyle="1" w:styleId="227">
    <w:name w:val="font51"/>
    <w:qFormat/>
    <w:uiPriority w:val="0"/>
    <w:rPr>
      <w:rFonts w:hint="default" w:ascii="Times New Roman" w:hAnsi="Times New Roman" w:cs="Times New Roman"/>
      <w:color w:val="000000"/>
      <w:sz w:val="20"/>
      <w:szCs w:val="20"/>
      <w:u w:val="none"/>
    </w:rPr>
  </w:style>
  <w:style w:type="character" w:customStyle="1" w:styleId="228">
    <w:name w:val="hg1"/>
    <w:qFormat/>
    <w:uiPriority w:val="0"/>
    <w:rPr>
      <w:rFonts w:cs="Times New Roman"/>
      <w:spacing w:val="480"/>
      <w:sz w:val="24"/>
      <w:szCs w:val="24"/>
    </w:rPr>
  </w:style>
  <w:style w:type="character" w:customStyle="1" w:styleId="229">
    <w:name w:val="style8 style20"/>
    <w:qFormat/>
    <w:uiPriority w:val="0"/>
    <w:rPr>
      <w:rFonts w:cs="Times New Roman"/>
    </w:rPr>
  </w:style>
  <w:style w:type="character" w:customStyle="1" w:styleId="230">
    <w:name w:val="style61"/>
    <w:autoRedefine/>
    <w:qFormat/>
    <w:uiPriority w:val="0"/>
    <w:rPr>
      <w:rFonts w:ascii="Arial" w:hAnsi="Arial" w:cs="Arial"/>
      <w:b/>
      <w:bCs/>
      <w:color w:val="888888"/>
      <w:sz w:val="21"/>
      <w:szCs w:val="21"/>
    </w:rPr>
  </w:style>
  <w:style w:type="character" w:customStyle="1" w:styleId="231">
    <w:name w:val="ui-bz-bg-hover"/>
    <w:qFormat/>
    <w:uiPriority w:val="0"/>
    <w:rPr>
      <w:shd w:val="clear" w:color="auto" w:fill="000000"/>
    </w:rPr>
  </w:style>
  <w:style w:type="character" w:customStyle="1" w:styleId="232">
    <w:name w:val="xiadan"/>
    <w:qFormat/>
    <w:uiPriority w:val="0"/>
    <w:rPr>
      <w:shd w:val="clear" w:color="auto" w:fill="E4393C"/>
    </w:rPr>
  </w:style>
  <w:style w:type="character" w:customStyle="1" w:styleId="233">
    <w:name w:val="标题 3 Char Char"/>
    <w:qFormat/>
    <w:uiPriority w:val="0"/>
    <w:rPr>
      <w:rFonts w:ascii="宋体" w:hAnsi="宋体" w:cs="Arial"/>
    </w:rPr>
  </w:style>
  <w:style w:type="character" w:customStyle="1" w:styleId="234">
    <w:name w:val="正文文本 3 Char1"/>
    <w:autoRedefine/>
    <w:qFormat/>
    <w:uiPriority w:val="0"/>
    <w:rPr>
      <w:kern w:val="2"/>
      <w:sz w:val="16"/>
      <w:szCs w:val="16"/>
    </w:rPr>
  </w:style>
  <w:style w:type="character" w:customStyle="1" w:styleId="235">
    <w:name w:val="location1"/>
    <w:qFormat/>
    <w:uiPriority w:val="0"/>
    <w:rPr>
      <w:rFonts w:hint="default" w:ascii="Verdana" w:hAnsi="Verdana"/>
      <w:sz w:val="20"/>
      <w:szCs w:val="20"/>
    </w:rPr>
  </w:style>
  <w:style w:type="character" w:customStyle="1" w:styleId="236">
    <w:name w:val="icon_gys"/>
    <w:qFormat/>
    <w:uiPriority w:val="0"/>
    <w:rPr>
      <w:sz w:val="21"/>
      <w:szCs w:val="21"/>
    </w:rPr>
  </w:style>
  <w:style w:type="character" w:customStyle="1" w:styleId="237">
    <w:name w:val="样式8 Char Char"/>
    <w:qFormat/>
    <w:uiPriority w:val="0"/>
    <w:rPr>
      <w:rFonts w:ascii="宋体" w:hAnsi="宋体" w:eastAsia="宋体"/>
      <w:b/>
      <w:kern w:val="44"/>
      <w:sz w:val="32"/>
      <w:lang w:val="en-US" w:eastAsia="zh-CN" w:bidi="ar-SA"/>
    </w:rPr>
  </w:style>
  <w:style w:type="character" w:customStyle="1" w:styleId="238">
    <w:name w:val="正文（缩进） Char Char"/>
    <w:link w:val="239"/>
    <w:qFormat/>
    <w:uiPriority w:val="0"/>
    <w:rPr>
      <w:kern w:val="2"/>
      <w:sz w:val="24"/>
      <w:szCs w:val="24"/>
    </w:rPr>
  </w:style>
  <w:style w:type="paragraph" w:customStyle="1" w:styleId="239">
    <w:name w:val="正文（缩进）"/>
    <w:basedOn w:val="1"/>
    <w:link w:val="238"/>
    <w:qFormat/>
    <w:uiPriority w:val="0"/>
    <w:pPr>
      <w:spacing w:beforeLines="50" w:afterLines="50" w:line="360" w:lineRule="auto"/>
      <w:ind w:firstLine="480" w:firstLineChars="200"/>
    </w:pPr>
    <w:rPr>
      <w:sz w:val="24"/>
    </w:rPr>
  </w:style>
  <w:style w:type="character" w:customStyle="1" w:styleId="240">
    <w:name w:val="unnamed11"/>
    <w:qFormat/>
    <w:uiPriority w:val="0"/>
    <w:rPr>
      <w:rFonts w:cs="Times New Roman"/>
      <w:spacing w:val="280"/>
      <w:sz w:val="18"/>
      <w:szCs w:val="18"/>
    </w:rPr>
  </w:style>
  <w:style w:type="character" w:customStyle="1" w:styleId="241">
    <w:name w:val="icon_ds1"/>
    <w:autoRedefine/>
    <w:qFormat/>
    <w:uiPriority w:val="0"/>
    <w:rPr>
      <w:sz w:val="21"/>
      <w:szCs w:val="21"/>
    </w:rPr>
  </w:style>
  <w:style w:type="character" w:customStyle="1" w:styleId="242">
    <w:name w:val="c13px1"/>
    <w:qFormat/>
    <w:uiPriority w:val="0"/>
    <w:rPr>
      <w:rFonts w:cs="Times New Roman"/>
      <w:spacing w:val="480"/>
      <w:sz w:val="20"/>
      <w:szCs w:val="20"/>
    </w:rPr>
  </w:style>
  <w:style w:type="character" w:customStyle="1" w:styleId="243">
    <w:name w:val="my-class2"/>
    <w:qFormat/>
    <w:uiPriority w:val="0"/>
  </w:style>
  <w:style w:type="character" w:customStyle="1" w:styleId="244">
    <w:name w:val="l151"/>
    <w:qFormat/>
    <w:uiPriority w:val="0"/>
  </w:style>
  <w:style w:type="paragraph" w:customStyle="1" w:styleId="245">
    <w:name w:val="正文文字1"/>
    <w:basedOn w:val="1"/>
    <w:next w:val="50"/>
    <w:autoRedefine/>
    <w:qFormat/>
    <w:uiPriority w:val="0"/>
    <w:pPr>
      <w:adjustRightInd w:val="0"/>
      <w:ind w:left="315" w:leftChars="150" w:firstLine="403" w:firstLineChars="168"/>
      <w:jc w:val="left"/>
      <w:textAlignment w:val="baseline"/>
    </w:pPr>
    <w:rPr>
      <w:rFonts w:ascii="宋体" w:cs="Plotter"/>
      <w:color w:val="003366"/>
      <w:kern w:val="0"/>
      <w:sz w:val="24"/>
      <w:szCs w:val="20"/>
    </w:rPr>
  </w:style>
  <w:style w:type="paragraph" w:customStyle="1" w:styleId="246">
    <w:name w:val="样式10"/>
    <w:basedOn w:val="2"/>
    <w:next w:val="2"/>
    <w:qFormat/>
    <w:uiPriority w:val="0"/>
    <w:pPr>
      <w:tabs>
        <w:tab w:val="left" w:pos="420"/>
        <w:tab w:val="left" w:pos="567"/>
      </w:tabs>
      <w:spacing w:before="0" w:after="0"/>
      <w:ind w:left="420" w:hanging="420"/>
      <w:jc w:val="left"/>
    </w:pPr>
    <w:rPr>
      <w:rFonts w:ascii="宋体" w:hAnsi="宋体" w:eastAsia="宋体"/>
      <w:bCs w:val="0"/>
      <w:kern w:val="0"/>
      <w:sz w:val="24"/>
      <w:szCs w:val="20"/>
    </w:rPr>
  </w:style>
  <w:style w:type="paragraph" w:customStyle="1" w:styleId="247">
    <w:name w:val="样式 标题 2标题 1.1H2Heading 2 HiddenHeading 2 CCBSheading 2第一章 ..."/>
    <w:basedOn w:val="3"/>
    <w:qFormat/>
    <w:uiPriority w:val="0"/>
    <w:pPr>
      <w:tabs>
        <w:tab w:val="left" w:pos="840"/>
      </w:tabs>
      <w:spacing w:before="312" w:after="312" w:line="240" w:lineRule="auto"/>
      <w:ind w:firstLine="562" w:firstLineChars="200"/>
      <w:jc w:val="center"/>
    </w:pPr>
    <w:rPr>
      <w:rFonts w:eastAsia="宋体"/>
      <w:bCs w:val="0"/>
      <w:kern w:val="0"/>
      <w:sz w:val="28"/>
      <w:szCs w:val="20"/>
    </w:rPr>
  </w:style>
  <w:style w:type="paragraph" w:customStyle="1" w:styleId="248">
    <w:name w:val="标题2 + 居中"/>
    <w:basedOn w:val="2"/>
    <w:qFormat/>
    <w:uiPriority w:val="0"/>
    <w:pPr>
      <w:spacing w:before="0" w:after="0" w:line="360" w:lineRule="auto"/>
    </w:pPr>
    <w:rPr>
      <w:rFonts w:eastAsia="宋体"/>
      <w:b w:val="0"/>
      <w:sz w:val="44"/>
    </w:rPr>
  </w:style>
  <w:style w:type="paragraph" w:customStyle="1" w:styleId="249">
    <w:name w:val="xl63"/>
    <w:basedOn w:val="1"/>
    <w:qFormat/>
    <w:uiPriority w:val="0"/>
    <w:pPr>
      <w:keepNext/>
      <w:keepLines/>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250">
    <w:name w:val="标二"/>
    <w:next w:val="1"/>
    <w:qFormat/>
    <w:uiPriority w:val="0"/>
    <w:pPr>
      <w:tabs>
        <w:tab w:val="left" w:pos="719"/>
      </w:tabs>
      <w:ind w:left="719" w:hanging="240"/>
      <w:outlineLvl w:val="1"/>
    </w:pPr>
    <w:rPr>
      <w:rFonts w:ascii="黑体" w:hAnsi="Arial" w:eastAsia="黑体" w:cs="Plotter"/>
      <w:bCs/>
      <w:sz w:val="72"/>
      <w:szCs w:val="72"/>
      <w:lang w:val="en-US" w:eastAsia="zh-CN" w:bidi="ar-SA"/>
    </w:rPr>
  </w:style>
  <w:style w:type="paragraph" w:customStyle="1" w:styleId="251">
    <w:name w:val="编号二"/>
    <w:basedOn w:val="1"/>
    <w:qFormat/>
    <w:uiPriority w:val="0"/>
    <w:rPr>
      <w:szCs w:val="20"/>
    </w:rPr>
  </w:style>
  <w:style w:type="paragraph" w:customStyle="1" w:styleId="252">
    <w:name w:val="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53">
    <w:name w:val="正文1"/>
    <w:basedOn w:val="1"/>
    <w:qFormat/>
    <w:uiPriority w:val="0"/>
    <w:pPr>
      <w:spacing w:line="360" w:lineRule="auto"/>
      <w:ind w:left="1260" w:leftChars="600" w:firstLine="540" w:firstLineChars="257"/>
    </w:pPr>
    <w:rPr>
      <w:rFonts w:ascii="宋体" w:hAnsi="宋体"/>
    </w:rPr>
  </w:style>
  <w:style w:type="paragraph" w:customStyle="1" w:styleId="254">
    <w:name w:val="xl69"/>
    <w:basedOn w:val="1"/>
    <w:autoRedefine/>
    <w:qFormat/>
    <w:uiPriority w:val="0"/>
    <w:pPr>
      <w:keepNext/>
      <w:keepLines/>
      <w:widowControl/>
      <w:pBdr>
        <w:top w:val="single" w:color="auto" w:sz="4" w:space="0"/>
        <w:left w:val="single" w:color="auto" w:sz="4" w:space="0"/>
        <w:bottom w:val="single" w:color="auto" w:sz="4" w:space="0"/>
        <w:right w:val="double" w:color="auto" w:sz="6"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255">
    <w:name w:val="恒智正文"/>
    <w:basedOn w:val="1"/>
    <w:qFormat/>
    <w:uiPriority w:val="0"/>
    <w:pPr>
      <w:ind w:firstLine="540" w:firstLineChars="225"/>
      <w:jc w:val="left"/>
    </w:pPr>
    <w:rPr>
      <w:rFonts w:ascii="宋体" w:hAnsi="宋体"/>
      <w:sz w:val="24"/>
    </w:rPr>
  </w:style>
  <w:style w:type="paragraph" w:customStyle="1" w:styleId="256">
    <w:name w:val="小标题 1"/>
    <w:basedOn w:val="1"/>
    <w:qFormat/>
    <w:uiPriority w:val="0"/>
    <w:pPr>
      <w:autoSpaceDE w:val="0"/>
      <w:autoSpaceDN w:val="0"/>
      <w:adjustRightInd w:val="0"/>
      <w:spacing w:line="360" w:lineRule="atLeast"/>
      <w:jc w:val="left"/>
    </w:pPr>
    <w:rPr>
      <w:rFonts w:ascii="文鼎粗黑" w:eastAsia="文鼎粗黑"/>
      <w:kern w:val="0"/>
      <w:sz w:val="22"/>
      <w:szCs w:val="20"/>
    </w:rPr>
  </w:style>
  <w:style w:type="paragraph" w:customStyle="1" w:styleId="257">
    <w:name w:val="前言、引言标题"/>
    <w:next w:val="1"/>
    <w:qFormat/>
    <w:uiPriority w:val="0"/>
    <w:pPr>
      <w:shd w:val="clear" w:color="FFFFFF" w:fill="FFFFFF"/>
      <w:tabs>
        <w:tab w:val="left" w:pos="735"/>
      </w:tabs>
      <w:spacing w:before="640" w:after="560"/>
      <w:ind w:left="735" w:hanging="735"/>
      <w:jc w:val="center"/>
      <w:outlineLvl w:val="0"/>
    </w:pPr>
    <w:rPr>
      <w:rFonts w:ascii="黑体" w:hAnsi="Times New Roman" w:eastAsia="黑体" w:cs="Times New Roman"/>
      <w:sz w:val="32"/>
      <w:lang w:val="en-US" w:eastAsia="zh-CN" w:bidi="ar-SA"/>
    </w:rPr>
  </w:style>
  <w:style w:type="paragraph" w:customStyle="1" w:styleId="258">
    <w:name w:val="样式 (西文) 宋体 行距: 1.5 倍行距"/>
    <w:basedOn w:val="1"/>
    <w:qFormat/>
    <w:uiPriority w:val="0"/>
    <w:pPr>
      <w:spacing w:line="360" w:lineRule="auto"/>
    </w:pPr>
    <w:rPr>
      <w:rFonts w:ascii="宋体" w:hAnsi="宋体"/>
      <w:szCs w:val="20"/>
    </w:rPr>
  </w:style>
  <w:style w:type="paragraph" w:customStyle="1" w:styleId="259">
    <w:name w:val="列出段落1"/>
    <w:basedOn w:val="1"/>
    <w:qFormat/>
    <w:uiPriority w:val="0"/>
    <w:pPr>
      <w:ind w:firstLine="420" w:firstLineChars="200"/>
    </w:pPr>
    <w:rPr>
      <w:szCs w:val="20"/>
    </w:rPr>
  </w:style>
  <w:style w:type="paragraph" w:customStyle="1" w:styleId="260">
    <w:name w:val="USE 5"/>
    <w:basedOn w:val="1"/>
    <w:qFormat/>
    <w:uiPriority w:val="0"/>
    <w:pPr>
      <w:tabs>
        <w:tab w:val="left" w:pos="1080"/>
      </w:tabs>
      <w:spacing w:line="360" w:lineRule="auto"/>
      <w:ind w:left="1080" w:hanging="1080"/>
      <w:jc w:val="left"/>
    </w:pPr>
    <w:rPr>
      <w:rFonts w:ascii="宋体" w:hAnsi="宋体"/>
      <w:sz w:val="24"/>
      <w:szCs w:val="20"/>
    </w:rPr>
  </w:style>
  <w:style w:type="paragraph" w:customStyle="1" w:styleId="261">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62">
    <w:name w:val="目录"/>
    <w:basedOn w:val="1"/>
    <w:next w:val="114"/>
    <w:qFormat/>
    <w:uiPriority w:val="0"/>
    <w:pPr>
      <w:adjustRightInd w:val="0"/>
      <w:spacing w:before="360" w:after="360" w:line="312" w:lineRule="atLeast"/>
      <w:jc w:val="center"/>
      <w:textAlignment w:val="baseline"/>
    </w:pPr>
    <w:rPr>
      <w:rFonts w:ascii="黑体" w:eastAsia="黑体"/>
      <w:spacing w:val="20"/>
      <w:kern w:val="0"/>
      <w:sz w:val="32"/>
      <w:szCs w:val="20"/>
    </w:rPr>
  </w:style>
  <w:style w:type="paragraph" w:customStyle="1" w:styleId="263">
    <w:name w:val="Heading2"/>
    <w:basedOn w:val="1"/>
    <w:next w:val="1"/>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paragraph" w:customStyle="1" w:styleId="264">
    <w:name w:val="样式 样式 (中文) 仿宋_GB2312 四号 行距: 多倍行距 1.25 字行2 + 首行缩进:  2 字符"/>
    <w:basedOn w:val="1"/>
    <w:autoRedefine/>
    <w:qFormat/>
    <w:uiPriority w:val="0"/>
    <w:pPr>
      <w:snapToGrid w:val="0"/>
      <w:spacing w:line="300" w:lineRule="auto"/>
      <w:ind w:firstLine="560" w:firstLineChars="200"/>
    </w:pPr>
    <w:rPr>
      <w:rFonts w:eastAsia="仿宋_GB2312"/>
      <w:color w:val="000000"/>
      <w:kern w:val="0"/>
      <w:sz w:val="28"/>
      <w:szCs w:val="20"/>
    </w:rPr>
  </w:style>
  <w:style w:type="paragraph" w:customStyle="1" w:styleId="265">
    <w:name w:val="表项"/>
    <w:next w:val="266"/>
    <w:qFormat/>
    <w:uiPriority w:val="0"/>
    <w:pPr>
      <w:adjustRightInd w:val="0"/>
      <w:snapToGrid w:val="0"/>
      <w:spacing w:line="300" w:lineRule="auto"/>
      <w:jc w:val="center"/>
    </w:pPr>
    <w:rPr>
      <w:rFonts w:ascii="Arial" w:hAnsi="Arial" w:eastAsia="黑体" w:cs="Arial"/>
      <w:iCs/>
      <w:sz w:val="16"/>
      <w:lang w:val="en-US" w:eastAsia="zh-CN" w:bidi="ar-SA"/>
    </w:rPr>
  </w:style>
  <w:style w:type="paragraph" w:customStyle="1" w:styleId="266">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267">
    <w:name w:val="Char2"/>
    <w:basedOn w:val="18"/>
    <w:qFormat/>
    <w:uiPriority w:val="0"/>
    <w:rPr>
      <w:rFonts w:ascii="Tahoma" w:hAnsi="Tahoma"/>
      <w:sz w:val="24"/>
      <w:szCs w:val="20"/>
    </w:rPr>
  </w:style>
  <w:style w:type="paragraph" w:customStyle="1" w:styleId="268">
    <w:name w:val="_Style 224"/>
    <w:basedOn w:val="2"/>
    <w:next w:val="1"/>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269">
    <w:name w:val="xl58"/>
    <w:basedOn w:val="1"/>
    <w:qFormat/>
    <w:uiPriority w:val="0"/>
    <w:pPr>
      <w:keepNext/>
      <w:keepLines/>
      <w:widowControl/>
      <w:pBdr>
        <w:top w:val="double" w:color="auto" w:sz="6" w:space="0"/>
        <w:left w:val="single" w:color="auto" w:sz="4" w:space="0"/>
        <w:bottom w:val="single" w:color="auto" w:sz="4" w:space="0"/>
        <w:right w:val="double" w:color="auto" w:sz="6"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270">
    <w:name w:val="样式9"/>
    <w:basedOn w:val="2"/>
    <w:qFormat/>
    <w:uiPriority w:val="0"/>
    <w:pPr>
      <w:tabs>
        <w:tab w:val="left" w:pos="780"/>
        <w:tab w:val="left" w:pos="2000"/>
      </w:tabs>
      <w:overflowPunct w:val="0"/>
      <w:spacing w:before="0" w:after="0"/>
      <w:ind w:left="780" w:hanging="420"/>
      <w:jc w:val="left"/>
    </w:pPr>
    <w:rPr>
      <w:rFonts w:ascii="宋体" w:hAnsi="宋体" w:eastAsia="宋体"/>
      <w:bCs w:val="0"/>
      <w:kern w:val="0"/>
      <w:sz w:val="28"/>
      <w:szCs w:val="20"/>
    </w:rPr>
  </w:style>
  <w:style w:type="paragraph" w:customStyle="1" w:styleId="271">
    <w:name w:val="框下空行"/>
    <w:basedOn w:val="1"/>
    <w:next w:val="1"/>
    <w:autoRedefine/>
    <w:qFormat/>
    <w:uiPriority w:val="0"/>
    <w:pPr>
      <w:widowControl/>
      <w:adjustRightInd w:val="0"/>
      <w:snapToGrid w:val="0"/>
      <w:spacing w:line="200" w:lineRule="exact"/>
      <w:ind w:left="680"/>
      <w:jc w:val="left"/>
    </w:pPr>
    <w:rPr>
      <w:sz w:val="18"/>
      <w:szCs w:val="20"/>
    </w:rPr>
  </w:style>
  <w:style w:type="paragraph" w:customStyle="1" w:styleId="272">
    <w:name w:val="Char2 Char Char Char"/>
    <w:basedOn w:val="1"/>
    <w:autoRedefine/>
    <w:qFormat/>
    <w:uiPriority w:val="0"/>
    <w:rPr>
      <w:rFonts w:ascii="仿宋_GB2312"/>
      <w:b/>
      <w:sz w:val="30"/>
      <w:szCs w:val="32"/>
    </w:rPr>
  </w:style>
  <w:style w:type="paragraph" w:customStyle="1" w:styleId="273">
    <w:name w:val="样式 USE 2 + 行距: 单倍行距"/>
    <w:basedOn w:val="274"/>
    <w:autoRedefine/>
    <w:qFormat/>
    <w:uiPriority w:val="0"/>
    <w:pPr>
      <w:tabs>
        <w:tab w:val="left" w:pos="360"/>
      </w:tabs>
    </w:pPr>
  </w:style>
  <w:style w:type="paragraph" w:customStyle="1" w:styleId="274">
    <w:name w:val="USE 2"/>
    <w:basedOn w:val="1"/>
    <w:qFormat/>
    <w:uiPriority w:val="0"/>
    <w:pPr>
      <w:tabs>
        <w:tab w:val="left" w:pos="360"/>
      </w:tabs>
      <w:spacing w:line="360" w:lineRule="auto"/>
      <w:ind w:left="360" w:hanging="360"/>
      <w:jc w:val="left"/>
    </w:pPr>
    <w:rPr>
      <w:rFonts w:ascii="宋体" w:hAnsi="宋体"/>
      <w:sz w:val="24"/>
      <w:szCs w:val="20"/>
    </w:rPr>
  </w:style>
  <w:style w:type="paragraph" w:customStyle="1" w:styleId="275">
    <w:name w:val="标四"/>
    <w:next w:val="1"/>
    <w:autoRedefine/>
    <w:qFormat/>
    <w:uiPriority w:val="0"/>
    <w:pPr>
      <w:tabs>
        <w:tab w:val="left" w:pos="552"/>
        <w:tab w:val="left" w:pos="840"/>
      </w:tabs>
      <w:spacing w:line="360" w:lineRule="auto"/>
      <w:ind w:left="840" w:hanging="840"/>
      <w:outlineLvl w:val="3"/>
    </w:pPr>
    <w:rPr>
      <w:rFonts w:ascii="宋体" w:hAnsi="宋体" w:eastAsia="宋体" w:cs="Plotter"/>
      <w:sz w:val="24"/>
      <w:szCs w:val="24"/>
      <w:lang w:val="en-US" w:eastAsia="zh-CN" w:bidi="ar-SA"/>
    </w:rPr>
  </w:style>
  <w:style w:type="paragraph" w:customStyle="1" w:styleId="276">
    <w:name w:val="标题样式"/>
    <w:basedOn w:val="1"/>
    <w:qFormat/>
    <w:uiPriority w:val="0"/>
    <w:pPr>
      <w:tabs>
        <w:tab w:val="left" w:pos="420"/>
      </w:tabs>
      <w:jc w:val="left"/>
    </w:pPr>
    <w:rPr>
      <w:rFonts w:ascii="宋体" w:hAnsi="宋体"/>
      <w:sz w:val="24"/>
    </w:rPr>
  </w:style>
  <w:style w:type="paragraph" w:customStyle="1" w:styleId="277">
    <w:name w:val="表身（中）"/>
    <w:basedOn w:val="266"/>
    <w:qFormat/>
    <w:uiPriority w:val="0"/>
    <w:pPr>
      <w:jc w:val="center"/>
    </w:pPr>
  </w:style>
  <w:style w:type="paragraph" w:customStyle="1" w:styleId="278">
    <w:name w:val="缺省文本"/>
    <w:basedOn w:val="1"/>
    <w:qFormat/>
    <w:uiPriority w:val="0"/>
    <w:pPr>
      <w:autoSpaceDE w:val="0"/>
      <w:autoSpaceDN w:val="0"/>
      <w:adjustRightInd w:val="0"/>
      <w:jc w:val="left"/>
    </w:pPr>
    <w:rPr>
      <w:kern w:val="0"/>
      <w:sz w:val="24"/>
      <w:szCs w:val="20"/>
    </w:rPr>
  </w:style>
  <w:style w:type="paragraph" w:customStyle="1" w:styleId="279">
    <w:name w:val="xl35"/>
    <w:basedOn w:val="1"/>
    <w:qFormat/>
    <w:uiPriority w:val="0"/>
    <w:pPr>
      <w:keepNext/>
      <w:keepLines/>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楷体_GB2312" w:eastAsia="楷体_GB2312"/>
      <w:kern w:val="0"/>
      <w:sz w:val="20"/>
      <w:szCs w:val="20"/>
    </w:rPr>
  </w:style>
  <w:style w:type="paragraph" w:customStyle="1" w:styleId="280">
    <w:name w:val="xl40"/>
    <w:basedOn w:val="1"/>
    <w:qFormat/>
    <w:uiPriority w:val="0"/>
    <w:pPr>
      <w:keepNext/>
      <w:keepLines/>
      <w:widowControl/>
      <w:pBdr>
        <w:top w:val="single" w:color="auto" w:sz="4" w:space="0"/>
        <w:left w:val="single" w:color="auto" w:sz="4" w:space="0"/>
        <w:bottom w:val="double" w:color="auto" w:sz="6" w:space="0"/>
        <w:right w:val="single" w:color="auto" w:sz="4" w:space="0"/>
      </w:pBdr>
      <w:spacing w:before="100" w:beforeAutospacing="1" w:after="100" w:afterAutospacing="1" w:line="400" w:lineRule="exact"/>
      <w:jc w:val="left"/>
      <w:textAlignment w:val="center"/>
    </w:pPr>
    <w:rPr>
      <w:rFonts w:ascii="Arial Narrow" w:hAnsi="Arial Narrow" w:eastAsia="楷体_GB2312"/>
      <w:kern w:val="0"/>
      <w:sz w:val="20"/>
      <w:szCs w:val="20"/>
    </w:rPr>
  </w:style>
  <w:style w:type="paragraph" w:customStyle="1" w:styleId="281">
    <w:name w:val="样式 样式 标题 2标题2H2h2Heading 2 HiddenHeading 2 CCBSheading 2第一章 ...1..."/>
    <w:basedOn w:val="1"/>
    <w:qFormat/>
    <w:uiPriority w:val="0"/>
    <w:pPr>
      <w:keepNext/>
      <w:keepLines/>
      <w:widowControl/>
      <w:tabs>
        <w:tab w:val="left" w:pos="360"/>
        <w:tab w:val="left" w:pos="2907"/>
      </w:tabs>
      <w:adjustRightInd w:val="0"/>
      <w:spacing w:beforeLines="100" w:afterLines="50"/>
      <w:ind w:left="360" w:hanging="360"/>
      <w:jc w:val="left"/>
      <w:textAlignment w:val="baseline"/>
      <w:outlineLvl w:val="1"/>
    </w:pPr>
    <w:rPr>
      <w:rFonts w:ascii="Arial" w:hAnsi="Arial" w:cs="宋体"/>
      <w:b/>
      <w:bCs/>
      <w:sz w:val="30"/>
      <w:szCs w:val="20"/>
    </w:rPr>
  </w:style>
  <w:style w:type="paragraph" w:customStyle="1" w:styleId="282">
    <w:name w:val="二级条标题"/>
    <w:basedOn w:val="283"/>
    <w:next w:val="284"/>
    <w:qFormat/>
    <w:uiPriority w:val="0"/>
    <w:pPr>
      <w:tabs>
        <w:tab w:val="left" w:pos="735"/>
      </w:tabs>
      <w:outlineLvl w:val="3"/>
    </w:pPr>
  </w:style>
  <w:style w:type="paragraph" w:customStyle="1" w:styleId="283">
    <w:name w:val="一级条标题"/>
    <w:next w:val="284"/>
    <w:qFormat/>
    <w:uiPriority w:val="0"/>
    <w:pPr>
      <w:tabs>
        <w:tab w:val="left" w:pos="735"/>
      </w:tabs>
      <w:ind w:left="735" w:hanging="735"/>
      <w:outlineLvl w:val="2"/>
    </w:pPr>
    <w:rPr>
      <w:rFonts w:ascii="Times New Roman" w:hAnsi="Times New Roman" w:eastAsia="黑体" w:cs="Times New Roman"/>
      <w:sz w:val="21"/>
      <w:lang w:val="en-US" w:eastAsia="zh-CN" w:bidi="ar-SA"/>
    </w:rPr>
  </w:style>
  <w:style w:type="paragraph" w:customStyle="1" w:styleId="28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85">
    <w:name w:val="USE 1"/>
    <w:basedOn w:val="1"/>
    <w:qFormat/>
    <w:uiPriority w:val="0"/>
    <w:pPr>
      <w:spacing w:line="200" w:lineRule="atLeast"/>
      <w:jc w:val="left"/>
    </w:pPr>
    <w:rPr>
      <w:rFonts w:ascii="宋体" w:hAnsi="宋体"/>
      <w:b/>
      <w:sz w:val="24"/>
      <w:szCs w:val="20"/>
    </w:rPr>
  </w:style>
  <w:style w:type="paragraph" w:customStyle="1" w:styleId="286">
    <w:name w:val="xl56"/>
    <w:basedOn w:val="1"/>
    <w:autoRedefine/>
    <w:qFormat/>
    <w:uiPriority w:val="0"/>
    <w:pPr>
      <w:keepNext/>
      <w:keepLines/>
      <w:widowControl/>
      <w:pBdr>
        <w:top w:val="double" w:color="auto" w:sz="6"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287">
    <w:name w:val="样式 标题 3Level 3 HeadH3Heading 3 - oldh3sect1.2.3Head33l3...1"/>
    <w:basedOn w:val="4"/>
    <w:qFormat/>
    <w:uiPriority w:val="0"/>
    <w:pPr>
      <w:spacing w:line="413" w:lineRule="auto"/>
      <w:jc w:val="left"/>
      <w:outlineLvl w:val="9"/>
    </w:pPr>
    <w:rPr>
      <w:rFonts w:ascii="宋体" w:hAnsi="宋体"/>
      <w:bCs w:val="0"/>
      <w:sz w:val="24"/>
      <w:szCs w:val="20"/>
    </w:rPr>
  </w:style>
  <w:style w:type="paragraph" w:customStyle="1" w:styleId="288">
    <w:name w:val="font11"/>
    <w:basedOn w:val="1"/>
    <w:qFormat/>
    <w:uiPriority w:val="0"/>
    <w:pPr>
      <w:keepNext/>
      <w:keepLines/>
      <w:widowControl/>
      <w:spacing w:before="100" w:beforeAutospacing="1" w:after="100" w:afterAutospacing="1" w:line="400" w:lineRule="exact"/>
      <w:jc w:val="left"/>
    </w:pPr>
    <w:rPr>
      <w:rFonts w:ascii="Arial Narrow" w:hAnsi="Arial Narrow" w:eastAsia="楷体_GB2312"/>
      <w:kern w:val="0"/>
      <w:sz w:val="20"/>
      <w:szCs w:val="20"/>
    </w:rPr>
  </w:style>
  <w:style w:type="paragraph" w:customStyle="1" w:styleId="289">
    <w:name w:val="Char Char1 Char Char Char Char Char Char Char Char"/>
    <w:basedOn w:val="1"/>
    <w:qFormat/>
    <w:uiPriority w:val="0"/>
    <w:pPr>
      <w:widowControl/>
      <w:tabs>
        <w:tab w:val="left" w:pos="1134"/>
      </w:tabs>
      <w:spacing w:after="160" w:line="240" w:lineRule="exact"/>
      <w:ind w:left="1531" w:hanging="397"/>
      <w:jc w:val="left"/>
    </w:pPr>
    <w:rPr>
      <w:rFonts w:ascii="Verdana" w:hAnsi="Verdana"/>
      <w:kern w:val="0"/>
      <w:sz w:val="20"/>
      <w:szCs w:val="20"/>
      <w:lang w:eastAsia="en-US"/>
    </w:rPr>
  </w:style>
  <w:style w:type="paragraph" w:customStyle="1" w:styleId="290">
    <w:name w:val="菲页2"/>
    <w:basedOn w:val="4"/>
    <w:qFormat/>
    <w:uiPriority w:val="0"/>
    <w:pPr>
      <w:widowControl/>
      <w:spacing w:before="0" w:after="0" w:line="240" w:lineRule="auto"/>
      <w:jc w:val="center"/>
    </w:pPr>
    <w:rPr>
      <w:rFonts w:ascii="黑体" w:hAnsi="宋体" w:eastAsia="黑体"/>
      <w:b w:val="0"/>
      <w:bCs w:val="0"/>
      <w:sz w:val="44"/>
      <w:szCs w:val="20"/>
    </w:rPr>
  </w:style>
  <w:style w:type="paragraph" w:customStyle="1" w:styleId="291">
    <w:name w:val="font10"/>
    <w:basedOn w:val="1"/>
    <w:qFormat/>
    <w:uiPriority w:val="0"/>
    <w:pPr>
      <w:keepNext/>
      <w:keepLines/>
      <w:widowControl/>
      <w:spacing w:before="100" w:beforeAutospacing="1" w:after="100" w:afterAutospacing="1" w:line="400" w:lineRule="exact"/>
      <w:jc w:val="left"/>
    </w:pPr>
    <w:rPr>
      <w:rFonts w:ascii="楷体_GB2312" w:eastAsia="楷体_GB2312"/>
      <w:kern w:val="0"/>
      <w:sz w:val="20"/>
      <w:szCs w:val="20"/>
    </w:rPr>
  </w:style>
  <w:style w:type="paragraph" w:customStyle="1" w:styleId="292">
    <w:name w:val="5"/>
    <w:basedOn w:val="1"/>
    <w:next w:val="53"/>
    <w:qFormat/>
    <w:uiPriority w:val="0"/>
    <w:pPr>
      <w:jc w:val="left"/>
    </w:pPr>
    <w:rPr>
      <w:rFonts w:cs="Plotter"/>
      <w:sz w:val="28"/>
      <w:szCs w:val="20"/>
    </w:rPr>
  </w:style>
  <w:style w:type="paragraph" w:customStyle="1" w:styleId="293">
    <w:name w:val="样式 USE 1 + 行距: 单倍行距"/>
    <w:basedOn w:val="285"/>
    <w:qFormat/>
    <w:uiPriority w:val="0"/>
    <w:pPr>
      <w:tabs>
        <w:tab w:val="left" w:pos="435"/>
      </w:tabs>
      <w:spacing w:line="180" w:lineRule="atLeast"/>
      <w:ind w:left="435" w:hanging="435"/>
    </w:pPr>
  </w:style>
  <w:style w:type="paragraph" w:customStyle="1" w:styleId="294">
    <w:name w:val="正文段"/>
    <w:basedOn w:val="1"/>
    <w:qFormat/>
    <w:uiPriority w:val="0"/>
    <w:pPr>
      <w:widowControl/>
      <w:adjustRightInd w:val="0"/>
      <w:spacing w:after="240" w:line="360" w:lineRule="atLeast"/>
      <w:jc w:val="left"/>
    </w:pPr>
    <w:rPr>
      <w:rFonts w:ascii="宋体"/>
      <w:kern w:val="0"/>
      <w:sz w:val="24"/>
      <w:szCs w:val="20"/>
    </w:rPr>
  </w:style>
  <w:style w:type="paragraph" w:customStyle="1" w:styleId="295">
    <w:name w:val="菲页(卷)"/>
    <w:basedOn w:val="2"/>
    <w:next w:val="253"/>
    <w:qFormat/>
    <w:uiPriority w:val="0"/>
    <w:pPr>
      <w:tabs>
        <w:tab w:val="left" w:pos="951"/>
        <w:tab w:val="left" w:pos="2907"/>
      </w:tabs>
      <w:spacing w:before="0" w:after="0"/>
      <w:ind w:left="2907" w:hanging="1755"/>
      <w:jc w:val="left"/>
    </w:pPr>
    <w:rPr>
      <w:rFonts w:ascii="黑体" w:hAnsi="宋体" w:eastAsia="黑体"/>
      <w:bCs w:val="0"/>
      <w:kern w:val="0"/>
      <w:sz w:val="52"/>
      <w:szCs w:val="20"/>
    </w:rPr>
  </w:style>
  <w:style w:type="paragraph" w:customStyle="1" w:styleId="296">
    <w:name w:val="我的征文"/>
    <w:basedOn w:val="1"/>
    <w:qFormat/>
    <w:uiPriority w:val="0"/>
    <w:pPr>
      <w:tabs>
        <w:tab w:val="left" w:pos="851"/>
      </w:tabs>
      <w:spacing w:before="360" w:after="360"/>
      <w:ind w:left="851" w:right="113" w:hanging="851"/>
    </w:pPr>
  </w:style>
  <w:style w:type="paragraph" w:customStyle="1" w:styleId="297">
    <w:name w:val="列表1"/>
    <w:basedOn w:val="1"/>
    <w:autoRedefine/>
    <w:qFormat/>
    <w:uiPriority w:val="0"/>
    <w:pPr>
      <w:adjustRightInd w:val="0"/>
      <w:ind w:left="902" w:hanging="482"/>
      <w:jc w:val="left"/>
      <w:textAlignment w:val="baseline"/>
    </w:pPr>
    <w:rPr>
      <w:rFonts w:ascii="昆仑仿宋" w:eastAsia="昆仑仿宋" w:cs="Plotter"/>
      <w:kern w:val="0"/>
      <w:sz w:val="24"/>
      <w:szCs w:val="20"/>
    </w:rPr>
  </w:style>
  <w:style w:type="paragraph" w:customStyle="1" w:styleId="298">
    <w:name w:val="xl41"/>
    <w:basedOn w:val="1"/>
    <w:qFormat/>
    <w:uiPriority w:val="0"/>
    <w:pPr>
      <w:keepNext/>
      <w:keepLines/>
      <w:widowControl/>
      <w:pBdr>
        <w:top w:val="single" w:color="auto" w:sz="4" w:space="0"/>
        <w:left w:val="single" w:color="auto" w:sz="4" w:space="0"/>
        <w:bottom w:val="double" w:color="auto" w:sz="6" w:space="0"/>
        <w:right w:val="single" w:color="auto" w:sz="4" w:space="0"/>
      </w:pBdr>
      <w:spacing w:before="100" w:beforeAutospacing="1" w:after="100" w:afterAutospacing="1" w:line="400" w:lineRule="exact"/>
      <w:jc w:val="left"/>
      <w:textAlignment w:val="center"/>
    </w:pPr>
    <w:rPr>
      <w:rFonts w:ascii="Arial Narrow" w:hAnsi="Arial Narrow" w:eastAsia="楷体_GB2312"/>
      <w:i/>
      <w:iCs/>
      <w:kern w:val="0"/>
      <w:sz w:val="20"/>
      <w:szCs w:val="20"/>
    </w:rPr>
  </w:style>
  <w:style w:type="paragraph" w:customStyle="1" w:styleId="299">
    <w:name w:val="Char Char Char2"/>
    <w:basedOn w:val="1"/>
    <w:qFormat/>
    <w:uiPriority w:val="0"/>
    <w:rPr>
      <w:rFonts w:ascii="Tahoma" w:hAnsi="Tahoma"/>
      <w:sz w:val="24"/>
      <w:szCs w:val="20"/>
    </w:rPr>
  </w:style>
  <w:style w:type="paragraph" w:customStyle="1" w:styleId="300">
    <w:name w:val="章标题"/>
    <w:next w:val="284"/>
    <w:qFormat/>
    <w:uiPriority w:val="0"/>
    <w:pPr>
      <w:tabs>
        <w:tab w:val="left" w:pos="735"/>
      </w:tabs>
      <w:spacing w:beforeLines="50" w:afterLines="50"/>
      <w:ind w:left="735" w:hanging="735"/>
      <w:jc w:val="both"/>
      <w:outlineLvl w:val="1"/>
    </w:pPr>
    <w:rPr>
      <w:rFonts w:ascii="黑体" w:hAnsi="Times New Roman" w:eastAsia="黑体" w:cs="Times New Roman"/>
      <w:sz w:val="21"/>
      <w:lang w:val="en-US" w:eastAsia="zh-CN" w:bidi="ar-SA"/>
    </w:rPr>
  </w:style>
  <w:style w:type="paragraph" w:customStyle="1" w:styleId="301">
    <w:name w:val="Char Char2 Char"/>
    <w:basedOn w:val="1"/>
    <w:qFormat/>
    <w:uiPriority w:val="0"/>
    <w:pPr>
      <w:keepNext/>
      <w:keepLines/>
      <w:pageBreakBefore/>
      <w:tabs>
        <w:tab w:val="left" w:pos="845"/>
      </w:tabs>
      <w:ind w:left="845" w:hanging="420"/>
    </w:pPr>
    <w:rPr>
      <w:rFonts w:ascii="Tahoma" w:hAnsi="Tahoma"/>
      <w:sz w:val="24"/>
      <w:szCs w:val="20"/>
    </w:rPr>
  </w:style>
  <w:style w:type="paragraph" w:customStyle="1" w:styleId="302">
    <w:name w:val="Char12"/>
    <w:basedOn w:val="1"/>
    <w:qFormat/>
    <w:uiPriority w:val="0"/>
    <w:rPr>
      <w:rFonts w:ascii="Tahoma" w:hAnsi="Tahoma"/>
      <w:sz w:val="24"/>
      <w:szCs w:val="20"/>
    </w:rPr>
  </w:style>
  <w:style w:type="paragraph" w:customStyle="1" w:styleId="303">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304">
    <w:name w:val="xl36"/>
    <w:basedOn w:val="1"/>
    <w:autoRedefine/>
    <w:qFormat/>
    <w:uiPriority w:val="0"/>
    <w:pPr>
      <w:widowControl/>
      <w:spacing w:before="100" w:after="100"/>
      <w:jc w:val="center"/>
    </w:pPr>
    <w:rPr>
      <w:rFonts w:ascii="宋体" w:hAnsi="宋体"/>
      <w:kern w:val="0"/>
      <w:sz w:val="24"/>
      <w:szCs w:val="20"/>
    </w:rPr>
  </w:style>
  <w:style w:type="paragraph" w:customStyle="1" w:styleId="305">
    <w:name w:val="xl47"/>
    <w:basedOn w:val="1"/>
    <w:qFormat/>
    <w:uiPriority w:val="0"/>
    <w:pPr>
      <w:keepNext/>
      <w:keepLines/>
      <w:widowControl/>
      <w:spacing w:before="100" w:beforeAutospacing="1" w:after="100" w:afterAutospacing="1" w:line="400" w:lineRule="exact"/>
      <w:jc w:val="center"/>
      <w:textAlignment w:val="center"/>
    </w:pPr>
    <w:rPr>
      <w:rFonts w:ascii="Arial Narrow" w:hAnsi="Arial Narrow" w:eastAsia="楷体_GB2312"/>
      <w:i/>
      <w:iCs/>
      <w:kern w:val="0"/>
      <w:sz w:val="18"/>
      <w:szCs w:val="18"/>
    </w:rPr>
  </w:style>
  <w:style w:type="paragraph" w:customStyle="1" w:styleId="306">
    <w:name w:val="样式 首行缩进:  0.85 厘米"/>
    <w:basedOn w:val="1"/>
    <w:qFormat/>
    <w:uiPriority w:val="0"/>
    <w:pPr>
      <w:adjustRightInd w:val="0"/>
      <w:ind w:firstLine="480"/>
      <w:jc w:val="left"/>
      <w:textAlignment w:val="baseline"/>
    </w:pPr>
    <w:rPr>
      <w:rFonts w:ascii="Arial" w:hAnsi="Arial"/>
      <w:sz w:val="24"/>
      <w:szCs w:val="20"/>
    </w:rPr>
  </w:style>
  <w:style w:type="paragraph" w:customStyle="1" w:styleId="307">
    <w:name w:val="Char Char Char Char Char Char Char Char1"/>
    <w:basedOn w:val="1"/>
    <w:qFormat/>
    <w:uiPriority w:val="0"/>
    <w:pPr>
      <w:tabs>
        <w:tab w:val="left" w:pos="360"/>
      </w:tabs>
    </w:pPr>
    <w:rPr>
      <w:sz w:val="24"/>
    </w:rPr>
  </w:style>
  <w:style w:type="paragraph" w:customStyle="1" w:styleId="308">
    <w:name w:val="6"/>
    <w:basedOn w:val="1"/>
    <w:next w:val="33"/>
    <w:autoRedefine/>
    <w:qFormat/>
    <w:uiPriority w:val="0"/>
    <w:pPr>
      <w:jc w:val="left"/>
    </w:pPr>
    <w:rPr>
      <w:rFonts w:ascii="宋体" w:hAnsi="Courier New" w:cs="Plotter"/>
      <w:sz w:val="24"/>
      <w:szCs w:val="20"/>
    </w:rPr>
  </w:style>
  <w:style w:type="paragraph" w:customStyle="1" w:styleId="309">
    <w:name w:val="xl50"/>
    <w:basedOn w:val="1"/>
    <w:qFormat/>
    <w:uiPriority w:val="0"/>
    <w:pPr>
      <w:keepNext/>
      <w:keepLines/>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400" w:lineRule="exact"/>
      <w:jc w:val="center"/>
      <w:textAlignment w:val="center"/>
    </w:pPr>
    <w:rPr>
      <w:rFonts w:ascii="宋体" w:eastAsia="楷体_GB2312"/>
      <w:b/>
      <w:bCs/>
      <w:kern w:val="0"/>
      <w:sz w:val="20"/>
      <w:szCs w:val="20"/>
    </w:rPr>
  </w:style>
  <w:style w:type="paragraph" w:customStyle="1" w:styleId="310">
    <w:name w:val="xl71"/>
    <w:basedOn w:val="1"/>
    <w:autoRedefine/>
    <w:qFormat/>
    <w:uiPriority w:val="0"/>
    <w:pPr>
      <w:widowControl/>
      <w:pBdr>
        <w:top w:val="single" w:color="auto" w:sz="4" w:space="0"/>
        <w:left w:val="single" w:color="auto" w:sz="4" w:space="18"/>
        <w:bottom w:val="single" w:color="auto" w:sz="4" w:space="0"/>
        <w:right w:val="single" w:color="auto" w:sz="4" w:space="0"/>
      </w:pBdr>
      <w:spacing w:before="100" w:beforeAutospacing="1" w:after="100" w:afterAutospacing="1"/>
      <w:ind w:firstLine="100" w:firstLineChars="100"/>
      <w:jc w:val="left"/>
      <w:textAlignment w:val="center"/>
    </w:pPr>
    <w:rPr>
      <w:rFonts w:ascii="宋体" w:hAnsi="宋体" w:cs="宋体"/>
      <w:kern w:val="0"/>
      <w:sz w:val="20"/>
      <w:szCs w:val="20"/>
    </w:rPr>
  </w:style>
  <w:style w:type="paragraph" w:customStyle="1" w:styleId="311">
    <w:name w:val="Char1 Char Char Char Char Char Char"/>
    <w:basedOn w:val="1"/>
    <w:qFormat/>
    <w:uiPriority w:val="0"/>
    <w:rPr>
      <w:rFonts w:ascii="Tahoma" w:hAnsi="Tahoma"/>
      <w:sz w:val="24"/>
      <w:szCs w:val="20"/>
    </w:rPr>
  </w:style>
  <w:style w:type="paragraph" w:customStyle="1" w:styleId="312">
    <w:name w:val="font6"/>
    <w:basedOn w:val="1"/>
    <w:qFormat/>
    <w:uiPriority w:val="0"/>
    <w:pPr>
      <w:widowControl/>
      <w:spacing w:before="100" w:beforeAutospacing="1" w:after="100" w:afterAutospacing="1"/>
      <w:jc w:val="left"/>
    </w:pPr>
    <w:rPr>
      <w:rFonts w:hint="eastAsia" w:ascii="宋体" w:hAnsi="宋体" w:cs="Arial Unicode MS"/>
      <w:kern w:val="0"/>
      <w:szCs w:val="21"/>
    </w:rPr>
  </w:style>
  <w:style w:type="paragraph" w:customStyle="1" w:styleId="313">
    <w:name w:val="一般文字"/>
    <w:basedOn w:val="1"/>
    <w:qFormat/>
    <w:uiPriority w:val="0"/>
    <w:pPr>
      <w:adjustRightInd w:val="0"/>
      <w:snapToGrid w:val="0"/>
      <w:spacing w:before="100" w:beforeAutospacing="1" w:after="100" w:afterAutospacing="1"/>
      <w:ind w:left="180" w:firstLine="540" w:firstLineChars="225"/>
      <w:jc w:val="left"/>
    </w:pPr>
    <w:rPr>
      <w:rFonts w:ascii="宋体" w:hAnsi="Plotter" w:cs="Plotter"/>
      <w:sz w:val="24"/>
    </w:rPr>
  </w:style>
  <w:style w:type="paragraph" w:customStyle="1" w:styleId="314">
    <w:name w:val="彩色列表 - 强调文字颜色 11"/>
    <w:basedOn w:val="1"/>
    <w:autoRedefine/>
    <w:qFormat/>
    <w:uiPriority w:val="99"/>
    <w:pPr>
      <w:ind w:firstLine="420" w:firstLineChars="200"/>
    </w:pPr>
    <w:rPr>
      <w:rFonts w:ascii="Calibri" w:hAnsi="Calibri"/>
      <w:szCs w:val="22"/>
    </w:rPr>
  </w:style>
  <w:style w:type="paragraph" w:customStyle="1" w:styleId="315">
    <w:name w:val="样式 标题 4 + (西文) Times New Roman (中文) 宋体 (复杂脚本) Times New Roman..."/>
    <w:basedOn w:val="5"/>
    <w:qFormat/>
    <w:uiPriority w:val="0"/>
    <w:pPr>
      <w:keepLines/>
      <w:widowControl/>
      <w:tabs>
        <w:tab w:val="left" w:pos="900"/>
        <w:tab w:val="left" w:pos="1080"/>
        <w:tab w:val="left" w:pos="2907"/>
      </w:tabs>
      <w:spacing w:before="60" w:after="120" w:line="377" w:lineRule="auto"/>
      <w:ind w:left="1080" w:hanging="1080"/>
      <w:jc w:val="left"/>
    </w:pPr>
    <w:rPr>
      <w:b/>
      <w:bCs/>
      <w:sz w:val="24"/>
      <w:szCs w:val="28"/>
      <w:u w:val="single"/>
    </w:rPr>
  </w:style>
  <w:style w:type="paragraph" w:customStyle="1" w:styleId="316">
    <w:name w:val="Char Char Char Char Char Char1 Char"/>
    <w:basedOn w:val="1"/>
    <w:qFormat/>
    <w:uiPriority w:val="0"/>
    <w:pPr>
      <w:widowControl/>
      <w:spacing w:after="160" w:line="240" w:lineRule="exact"/>
      <w:jc w:val="left"/>
    </w:pPr>
    <w:rPr>
      <w:rFonts w:ascii="Verdana" w:hAnsi="Verdana" w:eastAsia="仿宋_GB2312"/>
      <w:kern w:val="0"/>
      <w:sz w:val="30"/>
      <w:szCs w:val="20"/>
      <w:lang w:eastAsia="en-US"/>
    </w:rPr>
  </w:style>
  <w:style w:type="paragraph" w:customStyle="1" w:styleId="317">
    <w:name w:val="样式12"/>
    <w:basedOn w:val="318"/>
    <w:qFormat/>
    <w:uiPriority w:val="0"/>
    <w:pPr>
      <w:tabs>
        <w:tab w:val="left" w:pos="0"/>
        <w:tab w:val="left" w:pos="719"/>
        <w:tab w:val="center" w:pos="4153"/>
        <w:tab w:val="right" w:pos="8306"/>
      </w:tabs>
      <w:autoSpaceDE w:val="0"/>
      <w:autoSpaceDN w:val="0"/>
      <w:adjustRightInd w:val="0"/>
      <w:snapToGrid/>
      <w:spacing w:line="312" w:lineRule="atLeast"/>
      <w:ind w:left="719" w:hanging="240"/>
      <w:jc w:val="center"/>
      <w:textAlignment w:val="baseline"/>
    </w:pPr>
    <w:rPr>
      <w:rFonts w:ascii="宋体" w:hAnsi="宋体" w:eastAsia="黑体"/>
      <w:sz w:val="44"/>
    </w:rPr>
  </w:style>
  <w:style w:type="paragraph" w:customStyle="1" w:styleId="318">
    <w:name w:val="样式3"/>
    <w:basedOn w:val="39"/>
    <w:next w:val="39"/>
    <w:qFormat/>
    <w:uiPriority w:val="0"/>
    <w:pPr>
      <w:jc w:val="both"/>
    </w:pPr>
    <w:rPr>
      <w:kern w:val="0"/>
      <w:szCs w:val="20"/>
    </w:rPr>
  </w:style>
  <w:style w:type="paragraph" w:customStyle="1" w:styleId="319">
    <w:name w:val="Char Char Char Char Char Char Char Char Char Char Char Char Char Char Char Char"/>
    <w:basedOn w:val="1"/>
    <w:qFormat/>
    <w:uiPriority w:val="0"/>
    <w:pPr>
      <w:tabs>
        <w:tab w:val="left" w:pos="360"/>
      </w:tabs>
      <w:jc w:val="left"/>
    </w:pPr>
    <w:rPr>
      <w:sz w:val="24"/>
      <w:szCs w:val="20"/>
    </w:rPr>
  </w:style>
  <w:style w:type="paragraph" w:customStyle="1" w:styleId="320">
    <w:name w:val="Char11"/>
    <w:basedOn w:val="18"/>
    <w:qFormat/>
    <w:uiPriority w:val="0"/>
    <w:rPr>
      <w:rFonts w:ascii="Tahoma" w:hAnsi="Tahoma"/>
      <w:sz w:val="24"/>
      <w:szCs w:val="20"/>
    </w:rPr>
  </w:style>
  <w:style w:type="paragraph" w:customStyle="1" w:styleId="321">
    <w:name w:val="样式 标题 2【标题2】 + 宋体"/>
    <w:basedOn w:val="3"/>
    <w:autoRedefine/>
    <w:qFormat/>
    <w:uiPriority w:val="0"/>
    <w:pPr>
      <w:tabs>
        <w:tab w:val="left" w:pos="425"/>
        <w:tab w:val="left" w:pos="890"/>
      </w:tabs>
      <w:spacing w:before="120" w:after="120" w:line="240" w:lineRule="auto"/>
      <w:jc w:val="left"/>
    </w:pPr>
    <w:rPr>
      <w:rFonts w:ascii="宋体" w:hAnsi="宋体" w:eastAsia="宋体" w:cs="Plotter"/>
      <w:sz w:val="30"/>
    </w:rPr>
  </w:style>
  <w:style w:type="paragraph" w:customStyle="1" w:styleId="322">
    <w:name w:val="xl68"/>
    <w:basedOn w:val="1"/>
    <w:qFormat/>
    <w:uiPriority w:val="0"/>
    <w:pPr>
      <w:keepNext/>
      <w:keepLines/>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323">
    <w:name w:val="标三"/>
    <w:next w:val="1"/>
    <w:qFormat/>
    <w:uiPriority w:val="0"/>
    <w:pPr>
      <w:tabs>
        <w:tab w:val="left" w:pos="340"/>
        <w:tab w:val="left" w:pos="735"/>
      </w:tabs>
      <w:ind w:left="735" w:hanging="735"/>
      <w:outlineLvl w:val="2"/>
    </w:pPr>
    <w:rPr>
      <w:rFonts w:ascii="黑体" w:hAnsi="Plotter" w:eastAsia="黑体" w:cs="Plotter"/>
      <w:b/>
      <w:bCs/>
      <w:sz w:val="28"/>
      <w:szCs w:val="32"/>
      <w:lang w:val="en-US" w:eastAsia="zh-CN" w:bidi="ar-SA"/>
    </w:rPr>
  </w:style>
  <w:style w:type="paragraph" w:customStyle="1" w:styleId="3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25">
    <w:name w:val="正文111"/>
    <w:basedOn w:val="1"/>
    <w:autoRedefine/>
    <w:qFormat/>
    <w:uiPriority w:val="0"/>
    <w:pPr>
      <w:spacing w:line="360" w:lineRule="auto"/>
      <w:ind w:left="1260" w:leftChars="600" w:firstLine="540" w:firstLineChars="257"/>
    </w:pPr>
    <w:rPr>
      <w:rFonts w:ascii="宋体" w:hAnsi="宋体"/>
    </w:rPr>
  </w:style>
  <w:style w:type="paragraph" w:customStyle="1" w:styleId="326">
    <w:name w:val="缺省文本:1"/>
    <w:basedOn w:val="1"/>
    <w:qFormat/>
    <w:uiPriority w:val="0"/>
    <w:pPr>
      <w:autoSpaceDE w:val="0"/>
      <w:autoSpaceDN w:val="0"/>
      <w:adjustRightInd w:val="0"/>
      <w:jc w:val="left"/>
    </w:pPr>
    <w:rPr>
      <w:rFonts w:ascii="宋体"/>
      <w:kern w:val="0"/>
      <w:sz w:val="24"/>
      <w:szCs w:val="20"/>
    </w:rPr>
  </w:style>
  <w:style w:type="paragraph" w:customStyle="1" w:styleId="327">
    <w:name w:val="普通 (Web)"/>
    <w:basedOn w:val="1"/>
    <w:qFormat/>
    <w:uiPriority w:val="0"/>
    <w:pPr>
      <w:widowControl/>
      <w:spacing w:before="100" w:after="100"/>
      <w:jc w:val="left"/>
    </w:pPr>
    <w:rPr>
      <w:rFonts w:ascii="Arial Unicode MS" w:hAnsi="Arial Unicode MS" w:eastAsia="Arial Unicode MS"/>
      <w:kern w:val="0"/>
      <w:sz w:val="24"/>
      <w:szCs w:val="20"/>
    </w:rPr>
  </w:style>
  <w:style w:type="paragraph" w:customStyle="1" w:styleId="328">
    <w:name w:val="p15"/>
    <w:basedOn w:val="1"/>
    <w:qFormat/>
    <w:uiPriority w:val="0"/>
    <w:pPr>
      <w:widowControl/>
      <w:ind w:firstLine="420"/>
      <w:jc w:val="left"/>
    </w:pPr>
    <w:rPr>
      <w:kern w:val="0"/>
      <w:sz w:val="20"/>
      <w:szCs w:val="20"/>
    </w:rPr>
  </w:style>
  <w:style w:type="paragraph" w:customStyle="1" w:styleId="329">
    <w:name w:val="Char Char Char Char Char Char Char Char Char Char Char"/>
    <w:basedOn w:val="1"/>
    <w:qFormat/>
    <w:uiPriority w:val="0"/>
    <w:rPr>
      <w:rFonts w:ascii="Tahoma" w:hAnsi="Tahoma"/>
      <w:sz w:val="24"/>
      <w:szCs w:val="20"/>
    </w:rPr>
  </w:style>
  <w:style w:type="paragraph" w:customStyle="1" w:styleId="330">
    <w:name w:val="表格文字"/>
    <w:basedOn w:val="1"/>
    <w:qFormat/>
    <w:uiPriority w:val="0"/>
    <w:pPr>
      <w:spacing w:line="360" w:lineRule="auto"/>
      <w:jc w:val="left"/>
    </w:pPr>
    <w:rPr>
      <w:rFonts w:ascii="Calibri" w:hAnsi="Calibri"/>
      <w:szCs w:val="21"/>
    </w:rPr>
  </w:style>
  <w:style w:type="paragraph" w:customStyle="1" w:styleId="331">
    <w:name w:val="节标题"/>
    <w:basedOn w:val="1"/>
    <w:qFormat/>
    <w:uiPriority w:val="0"/>
    <w:pPr>
      <w:ind w:firstLine="461" w:firstLineChars="192"/>
      <w:jc w:val="left"/>
    </w:pPr>
    <w:rPr>
      <w:rFonts w:ascii="黑体" w:eastAsia="黑体"/>
      <w:sz w:val="24"/>
    </w:rPr>
  </w:style>
  <w:style w:type="paragraph" w:customStyle="1" w:styleId="332">
    <w:name w:val="标题 32"/>
    <w:basedOn w:val="1"/>
    <w:next w:val="16"/>
    <w:qFormat/>
    <w:uiPriority w:val="0"/>
    <w:pPr>
      <w:widowControl/>
      <w:jc w:val="left"/>
    </w:pPr>
    <w:rPr>
      <w:sz w:val="24"/>
      <w:szCs w:val="20"/>
    </w:rPr>
  </w:style>
  <w:style w:type="paragraph" w:customStyle="1" w:styleId="333">
    <w:name w:val="style50"/>
    <w:basedOn w:val="1"/>
    <w:qFormat/>
    <w:uiPriority w:val="0"/>
    <w:pPr>
      <w:widowControl/>
      <w:spacing w:before="75" w:after="75" w:line="384" w:lineRule="auto"/>
      <w:jc w:val="left"/>
    </w:pPr>
    <w:rPr>
      <w:rFonts w:ascii="黑体" w:hAnsi="宋体" w:eastAsia="黑体" w:cs="宋体"/>
      <w:kern w:val="0"/>
      <w:sz w:val="24"/>
    </w:rPr>
  </w:style>
  <w:style w:type="paragraph" w:customStyle="1" w:styleId="334">
    <w:name w:val="List Paragraph1"/>
    <w:basedOn w:val="1"/>
    <w:qFormat/>
    <w:uiPriority w:val="0"/>
    <w:pPr>
      <w:widowControl/>
      <w:ind w:firstLine="420"/>
      <w:jc w:val="left"/>
    </w:pPr>
    <w:rPr>
      <w:kern w:val="0"/>
      <w:sz w:val="20"/>
      <w:szCs w:val="20"/>
    </w:rPr>
  </w:style>
  <w:style w:type="paragraph" w:customStyle="1" w:styleId="335">
    <w:name w:val="2册标题4"/>
    <w:basedOn w:val="1"/>
    <w:next w:val="1"/>
    <w:autoRedefine/>
    <w:qFormat/>
    <w:uiPriority w:val="0"/>
    <w:pPr>
      <w:spacing w:beforeLines="50" w:afterLines="50" w:line="300" w:lineRule="auto"/>
      <w:ind w:left="420" w:leftChars="200"/>
      <w:outlineLvl w:val="3"/>
    </w:pPr>
    <w:rPr>
      <w:rFonts w:ascii="Arial" w:hAnsi="Arial" w:eastAsia="幼圆"/>
      <w:b/>
      <w:sz w:val="24"/>
      <w:szCs w:val="20"/>
    </w:rPr>
  </w:style>
  <w:style w:type="paragraph" w:customStyle="1" w:styleId="336">
    <w:name w:val="默认段落字体 Para Char Char Char Char Char Char Char Char Char Char"/>
    <w:basedOn w:val="18"/>
    <w:qFormat/>
    <w:uiPriority w:val="0"/>
    <w:rPr>
      <w:rFonts w:ascii="Tahoma" w:hAnsi="Tahoma"/>
      <w:sz w:val="24"/>
    </w:rPr>
  </w:style>
  <w:style w:type="paragraph" w:customStyle="1" w:styleId="337">
    <w:name w:val="xl3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Times New Roman" w:cs="Plotter"/>
      <w:kern w:val="0"/>
      <w:sz w:val="20"/>
      <w:szCs w:val="20"/>
    </w:rPr>
  </w:style>
  <w:style w:type="paragraph" w:customStyle="1" w:styleId="338">
    <w:name w:val="Default 123  Text1"/>
    <w:basedOn w:val="1"/>
    <w:qFormat/>
    <w:uiPriority w:val="0"/>
    <w:pPr>
      <w:widowControl/>
      <w:overflowPunct w:val="0"/>
      <w:autoSpaceDE w:val="0"/>
      <w:autoSpaceDN w:val="0"/>
      <w:adjustRightInd w:val="0"/>
      <w:jc w:val="left"/>
      <w:textAlignment w:val="baseline"/>
    </w:pPr>
    <w:rPr>
      <w:rFonts w:ascii="宋体"/>
      <w:kern w:val="0"/>
      <w:sz w:val="26"/>
      <w:szCs w:val="20"/>
    </w:rPr>
  </w:style>
  <w:style w:type="paragraph" w:customStyle="1" w:styleId="339">
    <w:name w:val="xl53"/>
    <w:basedOn w:val="1"/>
    <w:qFormat/>
    <w:uiPriority w:val="0"/>
    <w:pPr>
      <w:keepNext/>
      <w:keepLines/>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340">
    <w:name w:val="CM16"/>
    <w:basedOn w:val="1"/>
    <w:next w:val="1"/>
    <w:qFormat/>
    <w:uiPriority w:val="0"/>
    <w:pPr>
      <w:autoSpaceDE w:val="0"/>
      <w:autoSpaceDN w:val="0"/>
      <w:adjustRightInd w:val="0"/>
      <w:spacing w:after="163"/>
      <w:jc w:val="left"/>
    </w:pPr>
    <w:rPr>
      <w:rFonts w:ascii="INMAB J+ Univers" w:eastAsia="INMAB J+ Univers"/>
      <w:kern w:val="0"/>
      <w:sz w:val="24"/>
    </w:rPr>
  </w:style>
  <w:style w:type="paragraph" w:customStyle="1" w:styleId="341">
    <w:name w:val="maint"/>
    <w:basedOn w:val="1"/>
    <w:qFormat/>
    <w:uiPriority w:val="0"/>
    <w:pPr>
      <w:widowControl/>
      <w:jc w:val="left"/>
    </w:pPr>
    <w:rPr>
      <w:rFonts w:ascii="宋体" w:hAnsi="宋体" w:cs="宋体"/>
      <w:kern w:val="0"/>
      <w:sz w:val="24"/>
    </w:rPr>
  </w:style>
  <w:style w:type="paragraph" w:customStyle="1" w:styleId="342">
    <w:name w:val="表格"/>
    <w:basedOn w:val="1"/>
    <w:autoRedefine/>
    <w:qFormat/>
    <w:uiPriority w:val="0"/>
    <w:pPr>
      <w:widowControl/>
      <w:adjustRightInd w:val="0"/>
      <w:snapToGrid w:val="0"/>
      <w:spacing w:before="100" w:beforeAutospacing="1" w:after="100" w:afterAutospacing="1"/>
      <w:jc w:val="left"/>
    </w:pPr>
    <w:rPr>
      <w:rFonts w:ascii="宋体" w:hAnsi="宋体" w:cs="宋体"/>
      <w:kern w:val="0"/>
      <w:sz w:val="24"/>
      <w:szCs w:val="20"/>
    </w:rPr>
  </w:style>
  <w:style w:type="paragraph" w:customStyle="1" w:styleId="343">
    <w:name w:val="xl55"/>
    <w:basedOn w:val="1"/>
    <w:qFormat/>
    <w:uiPriority w:val="0"/>
    <w:pPr>
      <w:keepNext/>
      <w:keepLines/>
      <w:widowControl/>
      <w:spacing w:before="100" w:beforeAutospacing="1" w:after="100" w:afterAutospacing="1" w:line="400" w:lineRule="exact"/>
      <w:jc w:val="center"/>
      <w:textAlignment w:val="center"/>
    </w:pPr>
    <w:rPr>
      <w:rFonts w:ascii="隶书" w:eastAsia="隶书"/>
      <w:kern w:val="0"/>
      <w:sz w:val="48"/>
      <w:szCs w:val="48"/>
      <w:u w:val="double"/>
    </w:rPr>
  </w:style>
  <w:style w:type="paragraph" w:customStyle="1" w:styleId="344">
    <w:name w:val="Char2 Char Char Char Char Char Char"/>
    <w:basedOn w:val="1"/>
    <w:qFormat/>
    <w:uiPriority w:val="0"/>
    <w:rPr>
      <w:rFonts w:ascii="仿宋_GB2312"/>
      <w:b/>
      <w:sz w:val="30"/>
      <w:szCs w:val="32"/>
    </w:rPr>
  </w:style>
  <w:style w:type="paragraph" w:customStyle="1" w:styleId="345">
    <w:name w:val="Char1 Char Char Char Char Char Char Char Char Char Char Char Char Char Char Char Char Char Char"/>
    <w:basedOn w:val="1"/>
    <w:qFormat/>
    <w:uiPriority w:val="0"/>
  </w:style>
  <w:style w:type="paragraph" w:customStyle="1" w:styleId="346">
    <w:name w:val="xl39"/>
    <w:basedOn w:val="1"/>
    <w:autoRedefine/>
    <w:qFormat/>
    <w:uiPriority w:val="0"/>
    <w:pPr>
      <w:keepNext/>
      <w:keepLines/>
      <w:widowControl/>
      <w:pBdr>
        <w:top w:val="single" w:color="auto" w:sz="4" w:space="0"/>
        <w:left w:val="double" w:color="auto" w:sz="6" w:space="0"/>
        <w:bottom w:val="double" w:color="auto" w:sz="6" w:space="0"/>
        <w:right w:val="single" w:color="auto" w:sz="4" w:space="0"/>
      </w:pBdr>
      <w:spacing w:before="100" w:beforeAutospacing="1" w:after="100" w:afterAutospacing="1" w:line="400" w:lineRule="exact"/>
      <w:jc w:val="left"/>
      <w:textAlignment w:val="center"/>
    </w:pPr>
    <w:rPr>
      <w:rFonts w:ascii="Arial Narrow" w:hAnsi="Arial Narrow" w:eastAsia="楷体_GB2312"/>
      <w:kern w:val="0"/>
      <w:sz w:val="20"/>
      <w:szCs w:val="20"/>
    </w:rPr>
  </w:style>
  <w:style w:type="paragraph" w:customStyle="1" w:styleId="347">
    <w:name w:val="xl81"/>
    <w:basedOn w:val="1"/>
    <w:qFormat/>
    <w:uiPriority w:val="0"/>
    <w:pPr>
      <w:widowControl/>
      <w:spacing w:before="100" w:beforeAutospacing="1" w:after="100" w:afterAutospacing="1"/>
      <w:jc w:val="center"/>
      <w:textAlignment w:val="center"/>
    </w:pPr>
    <w:rPr>
      <w:rFonts w:ascii="宋体" w:hAnsi="宋体"/>
      <w:b/>
      <w:bCs/>
      <w:kern w:val="0"/>
      <w:sz w:val="44"/>
      <w:szCs w:val="44"/>
    </w:rPr>
  </w:style>
  <w:style w:type="paragraph" w:customStyle="1" w:styleId="348">
    <w:name w:val="font7"/>
    <w:basedOn w:val="1"/>
    <w:qFormat/>
    <w:uiPriority w:val="0"/>
    <w:pPr>
      <w:widowControl/>
      <w:spacing w:before="100" w:beforeAutospacing="1" w:after="100" w:afterAutospacing="1"/>
      <w:jc w:val="left"/>
    </w:pPr>
    <w:rPr>
      <w:kern w:val="0"/>
      <w:sz w:val="22"/>
      <w:szCs w:val="22"/>
    </w:rPr>
  </w:style>
  <w:style w:type="paragraph" w:customStyle="1" w:styleId="349">
    <w:name w:val="Normal1"/>
    <w:basedOn w:val="2"/>
    <w:next w:val="2"/>
    <w:qFormat/>
    <w:uiPriority w:val="0"/>
    <w:pPr>
      <w:tabs>
        <w:tab w:val="left" w:pos="951"/>
        <w:tab w:val="left" w:pos="2907"/>
      </w:tabs>
      <w:adjustRightInd w:val="0"/>
      <w:spacing w:before="0" w:after="0"/>
      <w:ind w:left="2907" w:hanging="1755"/>
      <w:jc w:val="left"/>
      <w:textAlignment w:val="baseline"/>
    </w:pPr>
    <w:rPr>
      <w:rFonts w:ascii="宋体" w:hAnsi="宋体" w:eastAsia="宋体"/>
      <w:bCs w:val="0"/>
      <w:kern w:val="0"/>
      <w:sz w:val="24"/>
      <w:szCs w:val="20"/>
    </w:rPr>
  </w:style>
  <w:style w:type="paragraph" w:customStyle="1" w:styleId="350">
    <w:name w:val="p0"/>
    <w:basedOn w:val="1"/>
    <w:qFormat/>
    <w:uiPriority w:val="0"/>
    <w:pPr>
      <w:widowControl/>
    </w:pPr>
    <w:rPr>
      <w:rFonts w:hint="eastAsia" w:ascii="宋体" w:hAnsi="宋体"/>
      <w:kern w:val="0"/>
      <w:szCs w:val="21"/>
    </w:rPr>
  </w:style>
  <w:style w:type="paragraph" w:customStyle="1" w:styleId="351">
    <w:name w:val="USE 4"/>
    <w:basedOn w:val="1"/>
    <w:qFormat/>
    <w:uiPriority w:val="0"/>
    <w:pPr>
      <w:tabs>
        <w:tab w:val="left" w:pos="1080"/>
      </w:tabs>
      <w:spacing w:line="360" w:lineRule="auto"/>
      <w:ind w:left="1080" w:hanging="1080"/>
      <w:jc w:val="left"/>
    </w:pPr>
    <w:rPr>
      <w:rFonts w:ascii="宋体" w:hAnsi="宋体"/>
      <w:sz w:val="24"/>
      <w:szCs w:val="20"/>
    </w:rPr>
  </w:style>
  <w:style w:type="paragraph" w:customStyle="1" w:styleId="352">
    <w:name w:val="xl57"/>
    <w:basedOn w:val="1"/>
    <w:qFormat/>
    <w:uiPriority w:val="0"/>
    <w:pPr>
      <w:keepNext/>
      <w:keepLines/>
      <w:widowControl/>
      <w:pBdr>
        <w:top w:val="double" w:color="auto" w:sz="6"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353">
    <w:name w:val="普通正文"/>
    <w:basedOn w:val="1"/>
    <w:autoRedefine/>
    <w:qFormat/>
    <w:uiPriority w:val="0"/>
    <w:pPr>
      <w:adjustRightInd w:val="0"/>
      <w:snapToGrid w:val="0"/>
      <w:spacing w:before="120" w:after="120" w:line="360" w:lineRule="auto"/>
      <w:ind w:left="480" w:leftChars="100" w:right="240" w:rightChars="100"/>
      <w:jc w:val="left"/>
    </w:pPr>
    <w:rPr>
      <w:rFonts w:ascii="宋体"/>
      <w:kern w:val="0"/>
      <w:sz w:val="24"/>
    </w:rPr>
  </w:style>
  <w:style w:type="paragraph" w:customStyle="1" w:styleId="354">
    <w:name w:val="xl45"/>
    <w:basedOn w:val="1"/>
    <w:qFormat/>
    <w:uiPriority w:val="0"/>
    <w:pPr>
      <w:keepNext/>
      <w:keepLines/>
      <w:widowControl/>
      <w:pBdr>
        <w:top w:val="single" w:color="auto" w:sz="4" w:space="0"/>
        <w:left w:val="single" w:color="auto" w:sz="4" w:space="0"/>
        <w:bottom w:val="double" w:color="auto" w:sz="6" w:space="0"/>
        <w:right w:val="double" w:color="auto" w:sz="6" w:space="0"/>
      </w:pBdr>
      <w:spacing w:before="100" w:beforeAutospacing="1" w:after="100" w:afterAutospacing="1" w:line="400" w:lineRule="exact"/>
      <w:jc w:val="left"/>
      <w:textAlignment w:val="center"/>
    </w:pPr>
    <w:rPr>
      <w:rFonts w:ascii="Arial Narrow" w:hAnsi="Arial Narrow" w:eastAsia="楷体_GB2312"/>
      <w:i/>
      <w:iCs/>
      <w:kern w:val="0"/>
      <w:sz w:val="20"/>
      <w:szCs w:val="20"/>
    </w:rPr>
  </w:style>
  <w:style w:type="paragraph" w:customStyle="1" w:styleId="355">
    <w:name w:val="H-TextFormat"/>
    <w:qFormat/>
    <w:uiPriority w:val="0"/>
    <w:pPr>
      <w:autoSpaceDE w:val="0"/>
      <w:autoSpaceDN w:val="0"/>
      <w:adjustRightInd w:val="0"/>
    </w:pPr>
    <w:rPr>
      <w:rFonts w:ascii="Arial" w:hAnsi="Arial" w:eastAsia="宋体" w:cs="Arial"/>
      <w:sz w:val="22"/>
      <w:szCs w:val="22"/>
      <w:lang w:val="en-US" w:eastAsia="en-US" w:bidi="ar-SA"/>
    </w:rPr>
  </w:style>
  <w:style w:type="paragraph" w:customStyle="1" w:styleId="356">
    <w:name w:val="封面上部"/>
    <w:basedOn w:val="1"/>
    <w:qFormat/>
    <w:uiPriority w:val="0"/>
    <w:pPr>
      <w:adjustRightInd w:val="0"/>
      <w:spacing w:line="360" w:lineRule="auto"/>
      <w:jc w:val="center"/>
      <w:textAlignment w:val="baseline"/>
    </w:pPr>
    <w:rPr>
      <w:rFonts w:ascii="Arial" w:eastAsia="黑体"/>
      <w:kern w:val="0"/>
      <w:sz w:val="32"/>
      <w:szCs w:val="20"/>
    </w:rPr>
  </w:style>
  <w:style w:type="paragraph" w:customStyle="1" w:styleId="357">
    <w:name w:val="f9"/>
    <w:basedOn w:val="1"/>
    <w:autoRedefine/>
    <w:qFormat/>
    <w:uiPriority w:val="0"/>
    <w:pPr>
      <w:widowControl/>
      <w:spacing w:before="100" w:beforeAutospacing="1" w:after="100" w:afterAutospacing="1" w:line="348" w:lineRule="auto"/>
      <w:jc w:val="left"/>
    </w:pPr>
    <w:rPr>
      <w:rFonts w:ascii="Arial Unicode MS" w:hAnsi="Arial Unicode MS" w:eastAsia="Times New Roman" w:cs="Arial Unicode MS"/>
      <w:color w:val="000000"/>
      <w:kern w:val="0"/>
      <w:sz w:val="18"/>
      <w:szCs w:val="18"/>
    </w:rPr>
  </w:style>
  <w:style w:type="paragraph" w:customStyle="1" w:styleId="358">
    <w:name w:val="样式5"/>
    <w:basedOn w:val="359"/>
    <w:qFormat/>
    <w:uiPriority w:val="0"/>
    <w:pPr>
      <w:keepNext/>
      <w:keepLines/>
      <w:tabs>
        <w:tab w:val="left" w:pos="567"/>
        <w:tab w:val="left" w:pos="1200"/>
        <w:tab w:val="center" w:pos="4153"/>
        <w:tab w:val="right" w:pos="8306"/>
      </w:tabs>
      <w:overflowPunct w:val="0"/>
      <w:snapToGrid/>
      <w:ind w:left="1200" w:leftChars="400" w:hanging="360" w:hangingChars="200"/>
      <w:outlineLvl w:val="0"/>
    </w:pPr>
    <w:rPr>
      <w:rFonts w:ascii="宋体" w:hAnsi="宋体"/>
      <w:b/>
      <w:sz w:val="24"/>
    </w:rPr>
  </w:style>
  <w:style w:type="paragraph" w:customStyle="1" w:styleId="359">
    <w:name w:val="样式4"/>
    <w:basedOn w:val="39"/>
    <w:next w:val="39"/>
    <w:qFormat/>
    <w:uiPriority w:val="0"/>
    <w:rPr>
      <w:kern w:val="0"/>
      <w:szCs w:val="20"/>
    </w:rPr>
  </w:style>
  <w:style w:type="paragraph" w:customStyle="1" w:styleId="360">
    <w:name w:val="表题"/>
    <w:qFormat/>
    <w:uiPriority w:val="0"/>
    <w:pPr>
      <w:keepNext/>
      <w:keepLines/>
      <w:adjustRightInd w:val="0"/>
      <w:snapToGrid w:val="0"/>
      <w:spacing w:before="80" w:line="360" w:lineRule="auto"/>
      <w:ind w:left="680"/>
      <w:jc w:val="center"/>
    </w:pPr>
    <w:rPr>
      <w:rFonts w:ascii="Arial" w:hAnsi="Arial" w:eastAsia="黑体" w:cs="Times New Roman"/>
      <w:sz w:val="16"/>
      <w:lang w:val="en-US" w:eastAsia="zh-CN" w:bidi="ar-SA"/>
    </w:rPr>
  </w:style>
  <w:style w:type="paragraph" w:customStyle="1" w:styleId="361">
    <w:name w:val="xl67"/>
    <w:basedOn w:val="1"/>
    <w:qFormat/>
    <w:uiPriority w:val="0"/>
    <w:pPr>
      <w:keepNext/>
      <w:keepLines/>
      <w:widowControl/>
      <w:pBdr>
        <w:top w:val="double" w:color="auto" w:sz="6"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362">
    <w:name w:val="xl61"/>
    <w:basedOn w:val="1"/>
    <w:qFormat/>
    <w:uiPriority w:val="0"/>
    <w:pPr>
      <w:keepNext/>
      <w:keepLines/>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363">
    <w:name w:val="graph"/>
    <w:basedOn w:val="24"/>
    <w:qFormat/>
    <w:uiPriority w:val="0"/>
    <w:pPr>
      <w:autoSpaceDE w:val="0"/>
      <w:autoSpaceDN w:val="0"/>
      <w:adjustRightInd w:val="0"/>
      <w:ind w:right="74"/>
      <w:jc w:val="center"/>
      <w:textAlignment w:val="baseline"/>
    </w:pPr>
    <w:rPr>
      <w:rFonts w:cs="Plotter"/>
      <w:kern w:val="0"/>
      <w:sz w:val="24"/>
      <w:szCs w:val="20"/>
    </w:rPr>
  </w:style>
  <w:style w:type="paragraph" w:customStyle="1" w:styleId="364">
    <w:name w:val="样式 标题 3Level 3 HeadH3Heading 3 - oldh3sect1.2.3Head33l3...2"/>
    <w:basedOn w:val="4"/>
    <w:autoRedefine/>
    <w:qFormat/>
    <w:uiPriority w:val="0"/>
    <w:pPr>
      <w:spacing w:before="120" w:after="120" w:line="413" w:lineRule="auto"/>
      <w:jc w:val="center"/>
      <w:outlineLvl w:val="9"/>
    </w:pPr>
    <w:rPr>
      <w:rFonts w:ascii="宋体" w:hAnsi="宋体"/>
      <w:bCs w:val="0"/>
      <w:sz w:val="28"/>
      <w:szCs w:val="20"/>
    </w:rPr>
  </w:style>
  <w:style w:type="paragraph" w:customStyle="1" w:styleId="365">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366">
    <w:name w:val="三级条标题"/>
    <w:basedOn w:val="282"/>
    <w:next w:val="284"/>
    <w:qFormat/>
    <w:uiPriority w:val="0"/>
    <w:pPr>
      <w:outlineLvl w:val="4"/>
    </w:pPr>
  </w:style>
  <w:style w:type="paragraph" w:customStyle="1" w:styleId="367">
    <w:name w:val="样式 标题 2 + 宋体 五号 行距: 单倍行距"/>
    <w:basedOn w:val="3"/>
    <w:qFormat/>
    <w:uiPriority w:val="0"/>
    <w:pPr>
      <w:tabs>
        <w:tab w:val="left" w:pos="405"/>
      </w:tabs>
      <w:adjustRightInd w:val="0"/>
      <w:spacing w:line="240" w:lineRule="auto"/>
      <w:ind w:left="720"/>
      <w:jc w:val="left"/>
      <w:textAlignment w:val="baseline"/>
    </w:pPr>
    <w:rPr>
      <w:rFonts w:ascii="宋体" w:hAnsi="宋体" w:eastAsia="宋体"/>
      <w:bCs w:val="0"/>
      <w:kern w:val="0"/>
      <w:sz w:val="21"/>
      <w:szCs w:val="20"/>
    </w:rPr>
  </w:style>
  <w:style w:type="paragraph" w:customStyle="1" w:styleId="368">
    <w:name w:val="font8"/>
    <w:basedOn w:val="1"/>
    <w:autoRedefine/>
    <w:qFormat/>
    <w:uiPriority w:val="0"/>
    <w:pPr>
      <w:keepNext/>
      <w:keepLines/>
      <w:widowControl/>
      <w:spacing w:before="100" w:beforeAutospacing="1" w:after="100" w:afterAutospacing="1" w:line="400" w:lineRule="exact"/>
      <w:jc w:val="left"/>
    </w:pPr>
    <w:rPr>
      <w:rFonts w:ascii="楷体_GB2312" w:eastAsia="楷体_GB2312"/>
      <w:b/>
      <w:bCs/>
      <w:kern w:val="0"/>
      <w:sz w:val="20"/>
      <w:szCs w:val="20"/>
    </w:rPr>
  </w:style>
  <w:style w:type="paragraph" w:customStyle="1" w:styleId="369">
    <w:name w:val="样式 样式 宋体 小四 行距: 1.5 倍行距 + 首行缩进:  2.25 字符"/>
    <w:basedOn w:val="1"/>
    <w:qFormat/>
    <w:uiPriority w:val="0"/>
    <w:pPr>
      <w:ind w:firstLine="540" w:firstLineChars="225"/>
      <w:jc w:val="left"/>
    </w:pPr>
    <w:rPr>
      <w:rFonts w:ascii="宋体" w:hAnsi="宋体" w:cs="宋体"/>
      <w:sz w:val="24"/>
      <w:szCs w:val="20"/>
    </w:rPr>
  </w:style>
  <w:style w:type="paragraph" w:customStyle="1" w:styleId="370">
    <w:name w:val="列出段落 Char Char"/>
    <w:basedOn w:val="1"/>
    <w:qFormat/>
    <w:uiPriority w:val="0"/>
    <w:pPr>
      <w:ind w:firstLine="420" w:firstLineChars="200"/>
    </w:pPr>
    <w:rPr>
      <w:szCs w:val="20"/>
    </w:rPr>
  </w:style>
  <w:style w:type="paragraph" w:customStyle="1" w:styleId="371">
    <w:name w:val="样式 标题 3Level 3 HeadH3Heading 3 - oldh3sect1.2.3Head33l3..."/>
    <w:basedOn w:val="4"/>
    <w:qFormat/>
    <w:uiPriority w:val="0"/>
    <w:pPr>
      <w:spacing w:line="300" w:lineRule="auto"/>
      <w:jc w:val="left"/>
      <w:outlineLvl w:val="9"/>
    </w:pPr>
    <w:rPr>
      <w:rFonts w:ascii="宋体" w:hAnsi="宋体"/>
      <w:bCs w:val="0"/>
      <w:sz w:val="28"/>
      <w:szCs w:val="20"/>
    </w:rPr>
  </w:style>
  <w:style w:type="paragraph" w:customStyle="1" w:styleId="372">
    <w:name w:val="xl51"/>
    <w:basedOn w:val="1"/>
    <w:qFormat/>
    <w:uiPriority w:val="0"/>
    <w:pPr>
      <w:keepNext/>
      <w:keepLines/>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373">
    <w:name w:val="xl32"/>
    <w:basedOn w:val="1"/>
    <w:qFormat/>
    <w:uiPriority w:val="0"/>
    <w:pPr>
      <w:widowControl/>
      <w:pBdr>
        <w:bottom w:val="single" w:color="auto" w:sz="4" w:space="0"/>
      </w:pBdr>
      <w:spacing w:before="100" w:after="100"/>
      <w:jc w:val="center"/>
    </w:pPr>
    <w:rPr>
      <w:rFonts w:ascii="宋体" w:hAnsi="宋体"/>
      <w:kern w:val="0"/>
      <w:sz w:val="24"/>
    </w:rPr>
  </w:style>
  <w:style w:type="paragraph" w:customStyle="1" w:styleId="374">
    <w:name w:val="2册标题2"/>
    <w:basedOn w:val="1"/>
    <w:next w:val="1"/>
    <w:qFormat/>
    <w:uiPriority w:val="0"/>
    <w:pPr>
      <w:spacing w:beforeLines="50" w:afterLines="50" w:line="300" w:lineRule="auto"/>
      <w:outlineLvl w:val="1"/>
    </w:pPr>
    <w:rPr>
      <w:rFonts w:ascii="Arial" w:hAnsi="Arial" w:eastAsia="黑体"/>
      <w:sz w:val="30"/>
      <w:szCs w:val="20"/>
    </w:rPr>
  </w:style>
  <w:style w:type="paragraph" w:customStyle="1" w:styleId="375">
    <w:name w:val="Char Char Char1"/>
    <w:basedOn w:val="1"/>
    <w:autoRedefine/>
    <w:qFormat/>
    <w:uiPriority w:val="0"/>
    <w:rPr>
      <w:rFonts w:ascii="Tahoma" w:hAnsi="Tahoma"/>
      <w:sz w:val="24"/>
      <w:szCs w:val="20"/>
    </w:rPr>
  </w:style>
  <w:style w:type="paragraph" w:customStyle="1" w:styleId="376">
    <w:name w:val="默认段落"/>
    <w:basedOn w:val="1"/>
    <w:qFormat/>
    <w:uiPriority w:val="0"/>
    <w:pPr>
      <w:spacing w:after="120" w:line="360" w:lineRule="auto"/>
      <w:ind w:firstLine="480" w:firstLineChars="200"/>
    </w:pPr>
    <w:rPr>
      <w:sz w:val="24"/>
      <w:szCs w:val="20"/>
    </w:rPr>
  </w:style>
  <w:style w:type="paragraph" w:customStyle="1" w:styleId="377">
    <w:name w:val="Char1"/>
    <w:basedOn w:val="18"/>
    <w:qFormat/>
    <w:uiPriority w:val="0"/>
    <w:rPr>
      <w:rFonts w:ascii="Tahoma" w:hAnsi="Tahoma"/>
      <w:sz w:val="24"/>
      <w:szCs w:val="20"/>
    </w:rPr>
  </w:style>
  <w:style w:type="paragraph" w:customStyle="1" w:styleId="378">
    <w:name w:val="样式 标题 2 + 左侧:  0 厘米 首行缩进:  0 厘米"/>
    <w:basedOn w:val="379"/>
    <w:qFormat/>
    <w:uiPriority w:val="0"/>
    <w:pPr>
      <w:tabs>
        <w:tab w:val="left" w:pos="425"/>
        <w:tab w:val="left" w:pos="851"/>
        <w:tab w:val="left" w:pos="1140"/>
      </w:tabs>
      <w:ind w:left="1140" w:hanging="240"/>
    </w:pPr>
  </w:style>
  <w:style w:type="paragraph" w:customStyle="1" w:styleId="379">
    <w:name w:val="标题 21"/>
    <w:basedOn w:val="1"/>
    <w:next w:val="16"/>
    <w:autoRedefine/>
    <w:qFormat/>
    <w:uiPriority w:val="0"/>
    <w:pPr>
      <w:tabs>
        <w:tab w:val="left" w:pos="851"/>
      </w:tabs>
      <w:ind w:left="840" w:hanging="420"/>
      <w:jc w:val="left"/>
    </w:pPr>
    <w:rPr>
      <w:rFonts w:ascii="宋体" w:hAnsi="宋体"/>
      <w:kern w:val="0"/>
      <w:sz w:val="24"/>
      <w:szCs w:val="20"/>
    </w:rPr>
  </w:style>
  <w:style w:type="paragraph" w:customStyle="1" w:styleId="380">
    <w:name w:val="正文3"/>
    <w:qFormat/>
    <w:uiPriority w:val="0"/>
    <w:pPr>
      <w:widowControl w:val="0"/>
      <w:adjustRightInd w:val="0"/>
      <w:spacing w:line="312" w:lineRule="atLeast"/>
      <w:jc w:val="both"/>
    </w:pPr>
    <w:rPr>
      <w:rFonts w:ascii="宋体" w:hAnsi="Times New Roman" w:eastAsia="宋体" w:cs="Times New Roman"/>
      <w:sz w:val="24"/>
      <w:lang w:val="en-US" w:eastAsia="zh-CN" w:bidi="ar-SA"/>
    </w:rPr>
  </w:style>
  <w:style w:type="paragraph" w:customStyle="1" w:styleId="381">
    <w:name w:val="Char Char Char Char Char Char1 Char Char Char Char Char1"/>
    <w:basedOn w:val="18"/>
    <w:qFormat/>
    <w:uiPriority w:val="0"/>
    <w:pPr>
      <w:jc w:val="left"/>
    </w:pPr>
    <w:rPr>
      <w:rFonts w:ascii="Tahoma" w:hAnsi="Tahoma"/>
      <w:sz w:val="24"/>
    </w:rPr>
  </w:style>
  <w:style w:type="paragraph" w:customStyle="1" w:styleId="382">
    <w:name w:val="正文11"/>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83">
    <w:name w:val="font9"/>
    <w:basedOn w:val="1"/>
    <w:qFormat/>
    <w:uiPriority w:val="0"/>
    <w:pPr>
      <w:keepNext/>
      <w:keepLines/>
      <w:widowControl/>
      <w:spacing w:before="100" w:beforeAutospacing="1" w:after="100" w:afterAutospacing="1" w:line="400" w:lineRule="exact"/>
      <w:jc w:val="left"/>
    </w:pPr>
    <w:rPr>
      <w:rFonts w:ascii="Arial Narrow" w:hAnsi="Arial Narrow" w:eastAsia="楷体_GB2312"/>
      <w:kern w:val="0"/>
      <w:sz w:val="20"/>
      <w:szCs w:val="20"/>
    </w:rPr>
  </w:style>
  <w:style w:type="paragraph" w:customStyle="1" w:styleId="384">
    <w:name w:val="xl33"/>
    <w:basedOn w:val="1"/>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left"/>
    </w:pPr>
    <w:rPr>
      <w:rFonts w:ascii="Arial Narrow" w:hAnsi="Arial Narrow"/>
      <w:kern w:val="0"/>
      <w:sz w:val="20"/>
      <w:szCs w:val="20"/>
    </w:rPr>
  </w:style>
  <w:style w:type="paragraph" w:customStyle="1" w:styleId="385">
    <w:name w:val="菲页1"/>
    <w:basedOn w:val="3"/>
    <w:qFormat/>
    <w:uiPriority w:val="0"/>
    <w:pPr>
      <w:tabs>
        <w:tab w:val="left" w:pos="840"/>
      </w:tabs>
      <w:spacing w:before="120" w:after="120" w:line="413" w:lineRule="auto"/>
      <w:jc w:val="center"/>
    </w:pPr>
    <w:rPr>
      <w:rFonts w:ascii="黑体" w:hAnsi="宋体" w:eastAsia="宋体"/>
      <w:b w:val="0"/>
      <w:bCs w:val="0"/>
      <w:kern w:val="0"/>
      <w:sz w:val="52"/>
      <w:szCs w:val="20"/>
    </w:rPr>
  </w:style>
  <w:style w:type="paragraph" w:customStyle="1" w:styleId="38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87">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388">
    <w:name w:val="xl48"/>
    <w:basedOn w:val="1"/>
    <w:qFormat/>
    <w:uiPriority w:val="0"/>
    <w:pPr>
      <w:keepNext/>
      <w:keepLines/>
      <w:widowControl/>
      <w:pBdr>
        <w:top w:val="single" w:color="auto" w:sz="4" w:space="0"/>
        <w:left w:val="double" w:color="auto" w:sz="6" w:space="0"/>
        <w:bottom w:val="single" w:color="auto" w:sz="4" w:space="0"/>
        <w:right w:val="single" w:color="auto" w:sz="4" w:space="0"/>
      </w:pBdr>
      <w:spacing w:before="100" w:beforeAutospacing="1" w:after="100" w:afterAutospacing="1" w:line="400" w:lineRule="exact"/>
      <w:jc w:val="center"/>
      <w:textAlignment w:val="center"/>
    </w:pPr>
    <w:rPr>
      <w:rFonts w:ascii="楷体_GB2312" w:eastAsia="楷体_GB2312"/>
      <w:kern w:val="0"/>
      <w:sz w:val="20"/>
      <w:szCs w:val="20"/>
    </w:rPr>
  </w:style>
  <w:style w:type="paragraph" w:customStyle="1" w:styleId="389">
    <w:name w:val="2册标题3"/>
    <w:basedOn w:val="1"/>
    <w:next w:val="1"/>
    <w:qFormat/>
    <w:uiPriority w:val="0"/>
    <w:pPr>
      <w:spacing w:beforeLines="50" w:afterLines="50" w:line="300" w:lineRule="auto"/>
      <w:ind w:left="210" w:leftChars="100"/>
      <w:jc w:val="center"/>
      <w:outlineLvl w:val="2"/>
    </w:pPr>
    <w:rPr>
      <w:rFonts w:ascii="宋体" w:hAnsi="宋体"/>
      <w:b/>
      <w:sz w:val="30"/>
      <w:szCs w:val="20"/>
    </w:rPr>
  </w:style>
  <w:style w:type="paragraph" w:customStyle="1" w:styleId="390">
    <w:name w:val="封面标准英文名称"/>
    <w:autoRedefine/>
    <w:qFormat/>
    <w:uiPriority w:val="0"/>
    <w:pPr>
      <w:widowControl w:val="0"/>
      <w:spacing w:before="370" w:line="400" w:lineRule="exact"/>
      <w:jc w:val="center"/>
    </w:pPr>
    <w:rPr>
      <w:rFonts w:ascii="Times New Roman" w:hAnsi="Times New Roman" w:eastAsia="宋体" w:cs="Times New Roman"/>
      <w:sz w:val="28"/>
      <w:szCs w:val="28"/>
      <w:lang w:val="en-US" w:eastAsia="zh-CN" w:bidi="ar-SA"/>
    </w:rPr>
  </w:style>
  <w:style w:type="paragraph" w:customStyle="1" w:styleId="391">
    <w:name w:val="pa-34"/>
    <w:basedOn w:val="1"/>
    <w:qFormat/>
    <w:uiPriority w:val="0"/>
    <w:pPr>
      <w:widowControl/>
      <w:spacing w:before="100" w:beforeAutospacing="1" w:after="100" w:afterAutospacing="1"/>
      <w:jc w:val="left"/>
    </w:pPr>
    <w:rPr>
      <w:rFonts w:ascii="宋体" w:hAnsi="宋体" w:cs="宋体"/>
      <w:kern w:val="0"/>
      <w:sz w:val="24"/>
    </w:rPr>
  </w:style>
  <w:style w:type="paragraph" w:customStyle="1" w:styleId="392">
    <w:name w:val="文章标题"/>
    <w:basedOn w:val="58"/>
    <w:next w:val="58"/>
    <w:qFormat/>
    <w:uiPriority w:val="0"/>
    <w:pPr>
      <w:widowControl/>
      <w:tabs>
        <w:tab w:val="left" w:pos="0"/>
      </w:tabs>
      <w:outlineLvl w:val="9"/>
    </w:pPr>
    <w:rPr>
      <w:rFonts w:ascii="宋体" w:hAnsi="宋体" w:eastAsia="宋体"/>
      <w:kern w:val="0"/>
    </w:rPr>
  </w:style>
  <w:style w:type="paragraph" w:customStyle="1" w:styleId="393">
    <w:name w:val="Char Char1 Char Char Char Char Char Char Char Char Char Char"/>
    <w:basedOn w:val="1"/>
    <w:qFormat/>
    <w:uiPriority w:val="0"/>
    <w:pPr>
      <w:jc w:val="left"/>
    </w:pPr>
    <w:rPr>
      <w:rFonts w:ascii="Tahoma" w:hAnsi="Tahoma"/>
      <w:sz w:val="24"/>
      <w:szCs w:val="20"/>
    </w:rPr>
  </w:style>
  <w:style w:type="paragraph" w:customStyle="1" w:styleId="394">
    <w:name w:val="四级标题"/>
    <w:basedOn w:val="35"/>
    <w:qFormat/>
    <w:uiPriority w:val="0"/>
    <w:pPr>
      <w:spacing w:line="360" w:lineRule="auto"/>
    </w:pPr>
    <w:rPr>
      <w:rFonts w:eastAsia="黑体"/>
    </w:rPr>
  </w:style>
  <w:style w:type="paragraph" w:customStyle="1" w:styleId="395">
    <w:name w:val="目录文字"/>
    <w:basedOn w:val="1"/>
    <w:qFormat/>
    <w:uiPriority w:val="0"/>
    <w:pPr>
      <w:widowControl/>
      <w:spacing w:line="480" w:lineRule="auto"/>
      <w:jc w:val="left"/>
    </w:pPr>
    <w:rPr>
      <w:rFonts w:ascii="宋体" w:hAnsi="宋体"/>
      <w:kern w:val="0"/>
      <w:sz w:val="24"/>
      <w:szCs w:val="20"/>
    </w:rPr>
  </w:style>
  <w:style w:type="paragraph" w:customStyle="1" w:styleId="396">
    <w:name w:val="文章副标题"/>
    <w:basedOn w:val="1"/>
    <w:next w:val="1"/>
    <w:qFormat/>
    <w:uiPriority w:val="0"/>
    <w:pPr>
      <w:widowControl/>
      <w:spacing w:before="187" w:after="175" w:line="1870" w:lineRule="atLeast"/>
      <w:jc w:val="center"/>
      <w:textAlignment w:val="baseline"/>
    </w:pPr>
    <w:rPr>
      <w:color w:val="000000"/>
      <w:kern w:val="0"/>
      <w:sz w:val="36"/>
    </w:rPr>
  </w:style>
  <w:style w:type="paragraph" w:customStyle="1" w:styleId="397">
    <w:name w:val="xl64"/>
    <w:basedOn w:val="1"/>
    <w:autoRedefine/>
    <w:qFormat/>
    <w:uiPriority w:val="0"/>
    <w:pPr>
      <w:keepNext/>
      <w:keepLines/>
      <w:widowControl/>
      <w:pBdr>
        <w:top w:val="single" w:color="auto" w:sz="4" w:space="0"/>
        <w:left w:val="single" w:color="auto" w:sz="4" w:space="0"/>
        <w:bottom w:val="single" w:color="auto" w:sz="4" w:space="0"/>
        <w:right w:val="double" w:color="auto" w:sz="6"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398">
    <w:name w:val="Char Char Char Char Char Char1 Char Char Char Char Char"/>
    <w:basedOn w:val="18"/>
    <w:qFormat/>
    <w:uiPriority w:val="0"/>
    <w:pPr>
      <w:jc w:val="left"/>
    </w:pPr>
    <w:rPr>
      <w:rFonts w:ascii="Tahoma" w:hAnsi="Tahoma"/>
      <w:sz w:val="24"/>
    </w:rPr>
  </w:style>
  <w:style w:type="paragraph" w:customStyle="1" w:styleId="39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Times New Roman" w:cs="Arial"/>
      <w:kern w:val="0"/>
      <w:sz w:val="20"/>
      <w:szCs w:val="20"/>
      <w:lang w:eastAsia="en-US"/>
    </w:rPr>
  </w:style>
  <w:style w:type="paragraph" w:customStyle="1" w:styleId="400">
    <w:name w:val="_Style 68"/>
    <w:basedOn w:val="1"/>
    <w:next w:val="24"/>
    <w:autoRedefine/>
    <w:qFormat/>
    <w:uiPriority w:val="0"/>
    <w:pPr>
      <w:spacing w:line="240" w:lineRule="atLeast"/>
      <w:jc w:val="left"/>
    </w:pPr>
    <w:rPr>
      <w:sz w:val="30"/>
      <w:szCs w:val="20"/>
    </w:rPr>
  </w:style>
  <w:style w:type="paragraph" w:customStyle="1" w:styleId="401">
    <w:name w:val="xl31"/>
    <w:basedOn w:val="1"/>
    <w:qFormat/>
    <w:uiPriority w:val="0"/>
    <w:pPr>
      <w:keepNext/>
      <w:keepLines/>
      <w:widowControl/>
      <w:spacing w:before="100" w:beforeAutospacing="1" w:after="100" w:afterAutospacing="1" w:line="400" w:lineRule="exact"/>
      <w:jc w:val="center"/>
      <w:textAlignment w:val="center"/>
    </w:pPr>
    <w:rPr>
      <w:rFonts w:ascii="Arial Narrow" w:hAnsi="Arial Narrow" w:eastAsia="楷体_GB2312"/>
      <w:b/>
      <w:bCs/>
      <w:kern w:val="0"/>
      <w:sz w:val="28"/>
      <w:szCs w:val="28"/>
    </w:rPr>
  </w:style>
  <w:style w:type="paragraph" w:customStyle="1" w:styleId="40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Arial Unicode MS"/>
      <w:kern w:val="0"/>
      <w:sz w:val="18"/>
      <w:szCs w:val="20"/>
    </w:rPr>
  </w:style>
  <w:style w:type="paragraph" w:customStyle="1" w:styleId="403">
    <w:name w:val="保留正文"/>
    <w:basedOn w:val="24"/>
    <w:qFormat/>
    <w:uiPriority w:val="0"/>
    <w:pPr>
      <w:keepNext/>
      <w:spacing w:after="160"/>
    </w:pPr>
  </w:style>
  <w:style w:type="paragraph" w:customStyle="1" w:styleId="404">
    <w:name w:val="五号正文（标准）"/>
    <w:basedOn w:val="1"/>
    <w:qFormat/>
    <w:uiPriority w:val="0"/>
    <w:pPr>
      <w:jc w:val="left"/>
    </w:pPr>
    <w:rPr>
      <w:rFonts w:ascii="仿宋_GB2312" w:hAnsi="宋体" w:eastAsia="仿宋_GB2312" w:cs="Plotter"/>
      <w:sz w:val="24"/>
    </w:rPr>
  </w:style>
  <w:style w:type="paragraph" w:customStyle="1" w:styleId="405">
    <w:name w:val="xl60"/>
    <w:basedOn w:val="1"/>
    <w:qFormat/>
    <w:uiPriority w:val="0"/>
    <w:pPr>
      <w:keepNext/>
      <w:keepLines/>
      <w:widowControl/>
      <w:pBdr>
        <w:top w:val="single" w:color="auto" w:sz="4" w:space="0"/>
        <w:left w:val="double" w:color="auto" w:sz="6"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406">
    <w:name w:val="Char1 Char Char Char"/>
    <w:basedOn w:val="1"/>
    <w:qFormat/>
    <w:uiPriority w:val="0"/>
    <w:rPr>
      <w:rFonts w:ascii="Tahoma" w:hAnsi="Tahoma"/>
      <w:sz w:val="24"/>
      <w:szCs w:val="20"/>
    </w:rPr>
  </w:style>
  <w:style w:type="paragraph" w:customStyle="1" w:styleId="407">
    <w:name w:val="xl62"/>
    <w:basedOn w:val="1"/>
    <w:qFormat/>
    <w:uiPriority w:val="0"/>
    <w:pPr>
      <w:keepNext/>
      <w:keepLines/>
      <w:widowControl/>
      <w:pBdr>
        <w:top w:val="double" w:color="auto" w:sz="6"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408">
    <w:name w:val="xl37"/>
    <w:basedOn w:val="1"/>
    <w:qFormat/>
    <w:uiPriority w:val="0"/>
    <w:pPr>
      <w:widowControl/>
      <w:spacing w:before="100" w:beforeAutospacing="1" w:after="100" w:afterAutospacing="1"/>
      <w:jc w:val="center"/>
    </w:pPr>
    <w:rPr>
      <w:rFonts w:hint="eastAsia" w:ascii="仿宋_GB2312" w:hAnsi="宋体" w:eastAsia="仿宋_GB2312"/>
      <w:kern w:val="0"/>
      <w:sz w:val="24"/>
      <w:szCs w:val="20"/>
    </w:rPr>
  </w:style>
  <w:style w:type="paragraph" w:customStyle="1" w:styleId="409">
    <w:name w:val="标题4"/>
    <w:basedOn w:val="1"/>
    <w:qFormat/>
    <w:uiPriority w:val="0"/>
    <w:pPr>
      <w:widowControl/>
      <w:snapToGrid w:val="0"/>
      <w:spacing w:line="500" w:lineRule="exact"/>
      <w:ind w:firstLine="641"/>
      <w:jc w:val="left"/>
    </w:pPr>
    <w:rPr>
      <w:rFonts w:ascii="Verdana" w:hAnsi="Verdana" w:eastAsia="黑体"/>
      <w:b/>
      <w:kern w:val="0"/>
      <w:sz w:val="32"/>
      <w:szCs w:val="32"/>
      <w:lang w:eastAsia="en-US"/>
    </w:rPr>
  </w:style>
  <w:style w:type="paragraph" w:customStyle="1" w:styleId="410">
    <w:name w:val="Char Char Char Char Char Char Char Char Char Char Char Char Char Char Char Char1"/>
    <w:basedOn w:val="1"/>
    <w:qFormat/>
    <w:uiPriority w:val="0"/>
    <w:pPr>
      <w:tabs>
        <w:tab w:val="left" w:pos="360"/>
      </w:tabs>
      <w:jc w:val="left"/>
    </w:pPr>
    <w:rPr>
      <w:sz w:val="24"/>
      <w:szCs w:val="20"/>
    </w:rPr>
  </w:style>
  <w:style w:type="paragraph" w:customStyle="1" w:styleId="411">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FF"/>
      <w:kern w:val="0"/>
      <w:sz w:val="20"/>
      <w:szCs w:val="20"/>
      <w:u w:val="single"/>
    </w:rPr>
  </w:style>
  <w:style w:type="paragraph" w:customStyle="1" w:styleId="412">
    <w:name w:val="样式 宋体 一号 加粗 居中 行距: 最小值 25 磅"/>
    <w:basedOn w:val="1"/>
    <w:qFormat/>
    <w:uiPriority w:val="0"/>
    <w:pPr>
      <w:spacing w:line="500" w:lineRule="atLeast"/>
      <w:jc w:val="center"/>
    </w:pPr>
    <w:rPr>
      <w:rFonts w:ascii="宋体" w:hAnsi="宋体"/>
      <w:b/>
      <w:sz w:val="52"/>
      <w:szCs w:val="20"/>
    </w:rPr>
  </w:style>
  <w:style w:type="paragraph" w:customStyle="1" w:styleId="413">
    <w:name w:val="样式2"/>
    <w:basedOn w:val="39"/>
    <w:qFormat/>
    <w:uiPriority w:val="0"/>
    <w:pPr>
      <w:jc w:val="both"/>
    </w:pPr>
    <w:rPr>
      <w:kern w:val="0"/>
      <w:szCs w:val="20"/>
    </w:rPr>
  </w:style>
  <w:style w:type="paragraph" w:customStyle="1" w:styleId="414">
    <w:name w:val="列出段落11"/>
    <w:basedOn w:val="1"/>
    <w:qFormat/>
    <w:uiPriority w:val="34"/>
    <w:pPr>
      <w:ind w:firstLine="420" w:firstLineChars="200"/>
    </w:pPr>
  </w:style>
  <w:style w:type="paragraph" w:customStyle="1" w:styleId="415">
    <w:name w:val="标题 33"/>
    <w:basedOn w:val="1"/>
    <w:qFormat/>
    <w:uiPriority w:val="0"/>
    <w:pPr>
      <w:widowControl/>
      <w:jc w:val="left"/>
    </w:pPr>
    <w:rPr>
      <w:kern w:val="0"/>
      <w:sz w:val="20"/>
      <w:szCs w:val="20"/>
    </w:rPr>
  </w:style>
  <w:style w:type="paragraph" w:customStyle="1" w:styleId="416">
    <w:name w:val="Char Char Char Char Char Char Char Char Char"/>
    <w:basedOn w:val="18"/>
    <w:qFormat/>
    <w:uiPriority w:val="0"/>
    <w:pPr>
      <w:jc w:val="left"/>
    </w:pPr>
    <w:rPr>
      <w:rFonts w:ascii="Tahoma" w:hAnsi="Tahoma"/>
      <w:sz w:val="24"/>
      <w:szCs w:val="20"/>
    </w:rPr>
  </w:style>
  <w:style w:type="paragraph" w:customStyle="1" w:styleId="417">
    <w:name w:val="三级标题"/>
    <w:basedOn w:val="1"/>
    <w:qFormat/>
    <w:uiPriority w:val="0"/>
    <w:pPr>
      <w:spacing w:line="360" w:lineRule="auto"/>
      <w:jc w:val="center"/>
    </w:pPr>
    <w:rPr>
      <w:rFonts w:eastAsia="黑体"/>
      <w:sz w:val="24"/>
      <w:szCs w:val="20"/>
    </w:rPr>
  </w:style>
  <w:style w:type="paragraph" w:customStyle="1" w:styleId="418">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419">
    <w:name w:val="xl66"/>
    <w:basedOn w:val="1"/>
    <w:qFormat/>
    <w:uiPriority w:val="0"/>
    <w:pPr>
      <w:keepNext/>
      <w:keepLines/>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420">
    <w:name w:val="默认段落字体 Para Char Char Char Char"/>
    <w:basedOn w:val="1"/>
    <w:qFormat/>
    <w:uiPriority w:val="0"/>
    <w:rPr>
      <w:szCs w:val="20"/>
    </w:rPr>
  </w:style>
  <w:style w:type="paragraph" w:customStyle="1" w:styleId="421">
    <w:name w:val="注："/>
    <w:next w:val="284"/>
    <w:qFormat/>
    <w:uiPriority w:val="0"/>
    <w:pPr>
      <w:widowControl w:val="0"/>
      <w:tabs>
        <w:tab w:val="left" w:pos="840"/>
      </w:tabs>
      <w:autoSpaceDE w:val="0"/>
      <w:autoSpaceDN w:val="0"/>
      <w:ind w:left="840" w:hanging="840"/>
      <w:jc w:val="both"/>
    </w:pPr>
    <w:rPr>
      <w:rFonts w:ascii="宋体" w:hAnsi="Times New Roman" w:eastAsia="宋体" w:cs="Times New Roman"/>
      <w:sz w:val="18"/>
      <w:lang w:val="en-US" w:eastAsia="zh-CN" w:bidi="ar-SA"/>
    </w:rPr>
  </w:style>
  <w:style w:type="paragraph" w:styleId="422">
    <w:name w:val="List Paragraph"/>
    <w:basedOn w:val="1"/>
    <w:autoRedefine/>
    <w:qFormat/>
    <w:uiPriority w:val="1"/>
    <w:pPr>
      <w:ind w:left="747" w:hanging="526"/>
    </w:pPr>
    <w:rPr>
      <w:rFonts w:ascii="宋体" w:hAnsi="宋体" w:eastAsia="宋体" w:cs="宋体"/>
      <w:lang w:val="zh-CN" w:eastAsia="zh-CN" w:bidi="zh-CN"/>
    </w:rPr>
  </w:style>
  <w:style w:type="paragraph" w:customStyle="1" w:styleId="423">
    <w:name w:val="xl44"/>
    <w:basedOn w:val="1"/>
    <w:qFormat/>
    <w:uiPriority w:val="0"/>
    <w:pPr>
      <w:keepNext/>
      <w:keepLines/>
      <w:widowControl/>
      <w:pBdr>
        <w:top w:val="single" w:color="auto" w:sz="4" w:space="0"/>
        <w:left w:val="single" w:color="auto" w:sz="4" w:space="0"/>
        <w:bottom w:val="double" w:color="auto" w:sz="6" w:space="0"/>
        <w:right w:val="single" w:color="auto" w:sz="4" w:space="0"/>
      </w:pBdr>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424">
    <w:name w:val="样式 (中文) 仿宋_GB2312 四号 行距: 多倍行距 1.25 字行1"/>
    <w:basedOn w:val="1"/>
    <w:qFormat/>
    <w:uiPriority w:val="0"/>
    <w:pPr>
      <w:snapToGrid w:val="0"/>
      <w:spacing w:line="300" w:lineRule="auto"/>
      <w:ind w:firstLine="560" w:firstLineChars="200"/>
    </w:pPr>
    <w:rPr>
      <w:rFonts w:eastAsia="仿宋_GB2312"/>
      <w:color w:val="000000"/>
      <w:kern w:val="0"/>
      <w:sz w:val="28"/>
      <w:szCs w:val="20"/>
    </w:rPr>
  </w:style>
  <w:style w:type="paragraph" w:customStyle="1" w:styleId="425">
    <w:name w:val="彩色底纹 - 强调文字颜色 11"/>
    <w:semiHidden/>
    <w:qFormat/>
    <w:uiPriority w:val="99"/>
    <w:rPr>
      <w:rFonts w:ascii="Times New Roman" w:hAnsi="Times New Roman" w:eastAsia="宋体" w:cs="Times New Roman"/>
      <w:kern w:val="2"/>
      <w:sz w:val="21"/>
      <w:szCs w:val="24"/>
      <w:lang w:val="en-US" w:eastAsia="zh-CN" w:bidi="ar-SA"/>
    </w:rPr>
  </w:style>
  <w:style w:type="paragraph" w:customStyle="1" w:styleId="426">
    <w:name w:val="样式 2册标题2 + 段前: 0.5 行 段后: 0.5 行"/>
    <w:basedOn w:val="374"/>
    <w:qFormat/>
    <w:uiPriority w:val="0"/>
    <w:pPr>
      <w:spacing w:beforeLines="0" w:line="240" w:lineRule="auto"/>
    </w:pPr>
    <w:rPr>
      <w:sz w:val="32"/>
    </w:rPr>
  </w:style>
  <w:style w:type="paragraph" w:customStyle="1" w:styleId="427">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4"/>
    </w:rPr>
  </w:style>
  <w:style w:type="paragraph" w:customStyle="1" w:styleId="428">
    <w:name w:val="xl46"/>
    <w:basedOn w:val="1"/>
    <w:qFormat/>
    <w:uiPriority w:val="0"/>
    <w:pPr>
      <w:keepNext/>
      <w:keepLines/>
      <w:widowControl/>
      <w:pBdr>
        <w:top w:val="single" w:color="auto" w:sz="4" w:space="0"/>
        <w:left w:val="single" w:color="auto" w:sz="4" w:space="0"/>
        <w:bottom w:val="single" w:color="auto" w:sz="4" w:space="0"/>
        <w:right w:val="double" w:color="auto" w:sz="6" w:space="0"/>
      </w:pBdr>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429">
    <w:name w:val="font5"/>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430">
    <w:name w:val="样式 宋体 五号 行距: 单倍行距"/>
    <w:basedOn w:val="1"/>
    <w:qFormat/>
    <w:uiPriority w:val="0"/>
    <w:pPr>
      <w:adjustRightInd w:val="0"/>
      <w:jc w:val="left"/>
      <w:textAlignment w:val="baseline"/>
    </w:pPr>
    <w:rPr>
      <w:rFonts w:ascii="宋体" w:hAnsi="宋体"/>
      <w:kern w:val="0"/>
      <w:sz w:val="24"/>
      <w:szCs w:val="20"/>
    </w:rPr>
  </w:style>
  <w:style w:type="paragraph" w:customStyle="1" w:styleId="431">
    <w:name w:val="Char4"/>
    <w:basedOn w:val="1"/>
    <w:qFormat/>
    <w:uiPriority w:val="0"/>
    <w:rPr>
      <w:rFonts w:ascii="仿宋_GB2312" w:eastAsia="仿宋_GB2312"/>
      <w:b/>
      <w:sz w:val="32"/>
      <w:szCs w:val="32"/>
    </w:rPr>
  </w:style>
  <w:style w:type="paragraph" w:customStyle="1" w:styleId="432">
    <w:name w:val="标题 31"/>
    <w:basedOn w:val="253"/>
    <w:next w:val="16"/>
    <w:qFormat/>
    <w:uiPriority w:val="0"/>
    <w:pPr>
      <w:tabs>
        <w:tab w:val="left" w:pos="851"/>
        <w:tab w:val="left" w:pos="1560"/>
        <w:tab w:val="left" w:pos="2907"/>
      </w:tabs>
      <w:adjustRightInd w:val="0"/>
      <w:ind w:left="1560" w:leftChars="0" w:hanging="720" w:firstLineChars="0"/>
      <w:jc w:val="left"/>
      <w:textAlignment w:val="baseline"/>
    </w:pPr>
    <w:rPr>
      <w:rFonts w:hAnsi="Times New Roman"/>
      <w:sz w:val="24"/>
      <w:szCs w:val="20"/>
    </w:rPr>
  </w:style>
  <w:style w:type="paragraph" w:customStyle="1" w:styleId="433">
    <w:name w:val="Bullet Level 1"/>
    <w:basedOn w:val="1"/>
    <w:autoRedefine/>
    <w:qFormat/>
    <w:uiPriority w:val="0"/>
    <w:pPr>
      <w:widowControl/>
      <w:tabs>
        <w:tab w:val="left" w:pos="360"/>
        <w:tab w:val="left" w:pos="1474"/>
      </w:tabs>
      <w:spacing w:before="120"/>
      <w:ind w:left="1508" w:hanging="357"/>
      <w:jc w:val="left"/>
    </w:pPr>
    <w:rPr>
      <w:rFonts w:ascii="Verdana" w:hAnsi="Verdana"/>
      <w:kern w:val="0"/>
      <w:sz w:val="20"/>
      <w:lang w:val="en-GB"/>
    </w:rPr>
  </w:style>
  <w:style w:type="paragraph" w:customStyle="1" w:styleId="434">
    <w:name w:val="正文1.2"/>
    <w:basedOn w:val="1"/>
    <w:qFormat/>
    <w:uiPriority w:val="0"/>
    <w:pPr>
      <w:spacing w:line="288" w:lineRule="auto"/>
      <w:jc w:val="left"/>
    </w:pPr>
    <w:rPr>
      <w:rFonts w:ascii="宋体"/>
      <w:kern w:val="0"/>
      <w:sz w:val="28"/>
      <w:szCs w:val="20"/>
      <w:lang w:eastAsia="en-US"/>
    </w:rPr>
  </w:style>
  <w:style w:type="paragraph" w:customStyle="1" w:styleId="435">
    <w:name w:val="样式 表头 + 首行缩进:  2 字符"/>
    <w:basedOn w:val="1"/>
    <w:autoRedefine/>
    <w:qFormat/>
    <w:uiPriority w:val="0"/>
    <w:pPr>
      <w:spacing w:line="240" w:lineRule="atLeast"/>
      <w:ind w:firstLine="480" w:firstLineChars="100"/>
      <w:jc w:val="center"/>
    </w:pPr>
    <w:rPr>
      <w:rFonts w:ascii="宋体" w:hAnsi="宋体" w:eastAsia="黑体" w:cs="宋体"/>
      <w:color w:val="000000"/>
      <w:sz w:val="28"/>
      <w:szCs w:val="20"/>
    </w:rPr>
  </w:style>
  <w:style w:type="paragraph" w:customStyle="1" w:styleId="436">
    <w:name w:val="样式11"/>
    <w:basedOn w:val="9"/>
    <w:next w:val="1"/>
    <w:qFormat/>
    <w:uiPriority w:val="0"/>
    <w:pPr>
      <w:tabs>
        <w:tab w:val="left" w:pos="360"/>
        <w:tab w:val="left" w:pos="735"/>
        <w:tab w:val="left" w:pos="851"/>
        <w:tab w:val="clear" w:pos="5760"/>
      </w:tabs>
      <w:adjustRightInd/>
      <w:snapToGrid/>
      <w:spacing w:before="0" w:after="0" w:line="360" w:lineRule="auto"/>
      <w:ind w:left="840" w:hanging="420"/>
      <w:jc w:val="left"/>
      <w:textAlignment w:val="auto"/>
    </w:pPr>
    <w:rPr>
      <w:rFonts w:ascii="宋体" w:hAnsi="宋体" w:eastAsia="宋体"/>
      <w:sz w:val="32"/>
    </w:rPr>
  </w:style>
  <w:style w:type="paragraph" w:customStyle="1" w:styleId="437">
    <w:name w:val="xl59"/>
    <w:basedOn w:val="1"/>
    <w:qFormat/>
    <w:uiPriority w:val="0"/>
    <w:pPr>
      <w:keepNext/>
      <w:keepLines/>
      <w:widowControl/>
      <w:pBdr>
        <w:top w:val="double" w:color="auto" w:sz="6" w:space="0"/>
        <w:left w:val="double" w:color="auto" w:sz="6" w:space="0"/>
        <w:bottom w:val="single" w:color="auto" w:sz="4" w:space="0"/>
        <w:right w:val="single" w:color="auto" w:sz="4" w:space="0"/>
      </w:pBdr>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438">
    <w:name w:val="表头"/>
    <w:basedOn w:val="1"/>
    <w:qFormat/>
    <w:uiPriority w:val="0"/>
    <w:pPr>
      <w:autoSpaceDE w:val="0"/>
      <w:autoSpaceDN w:val="0"/>
      <w:adjustRightInd w:val="0"/>
      <w:spacing w:line="312" w:lineRule="atLeast"/>
      <w:jc w:val="center"/>
      <w:textAlignment w:val="baseline"/>
    </w:pPr>
    <w:rPr>
      <w:rFonts w:ascii="黑体" w:hAnsi="Tms Rmn" w:eastAsia="黑体"/>
      <w:kern w:val="0"/>
      <w:szCs w:val="20"/>
    </w:rPr>
  </w:style>
  <w:style w:type="paragraph" w:customStyle="1" w:styleId="439">
    <w:name w:val="样式 宋体 行距: 1.5 倍行距"/>
    <w:basedOn w:val="1"/>
    <w:autoRedefine/>
    <w:qFormat/>
    <w:uiPriority w:val="0"/>
    <w:pPr>
      <w:tabs>
        <w:tab w:val="left" w:pos="360"/>
        <w:tab w:val="left" w:pos="420"/>
      </w:tabs>
      <w:ind w:left="360" w:hanging="360"/>
    </w:pPr>
    <w:rPr>
      <w:szCs w:val="20"/>
    </w:rPr>
  </w:style>
  <w:style w:type="paragraph" w:customStyle="1" w:styleId="440">
    <w:name w:val="样式6"/>
    <w:basedOn w:val="2"/>
    <w:qFormat/>
    <w:uiPriority w:val="0"/>
    <w:pPr>
      <w:tabs>
        <w:tab w:val="left" w:pos="780"/>
        <w:tab w:val="left" w:pos="851"/>
      </w:tabs>
      <w:spacing w:before="0" w:after="0"/>
      <w:ind w:left="840" w:hanging="840"/>
      <w:jc w:val="left"/>
    </w:pPr>
    <w:rPr>
      <w:rFonts w:ascii="宋体" w:hAnsi="宋体" w:eastAsia="宋体"/>
      <w:bCs w:val="0"/>
      <w:kern w:val="0"/>
      <w:sz w:val="28"/>
      <w:szCs w:val="20"/>
    </w:rPr>
  </w:style>
  <w:style w:type="paragraph" w:customStyle="1" w:styleId="441">
    <w:name w:val="符号标题3"/>
    <w:basedOn w:val="1"/>
    <w:qFormat/>
    <w:uiPriority w:val="0"/>
    <w:pPr>
      <w:spacing w:before="50"/>
      <w:ind w:firstLine="359" w:firstLineChars="171"/>
      <w:jc w:val="left"/>
    </w:pPr>
    <w:rPr>
      <w:rFonts w:ascii="宋体" w:hAnsi="宋体"/>
      <w:sz w:val="24"/>
    </w:rPr>
  </w:style>
  <w:style w:type="paragraph" w:customStyle="1" w:styleId="442">
    <w:name w:val="标五"/>
    <w:next w:val="1"/>
    <w:qFormat/>
    <w:uiPriority w:val="0"/>
    <w:pPr>
      <w:spacing w:line="360" w:lineRule="auto"/>
      <w:ind w:firstLine="1"/>
      <w:outlineLvl w:val="4"/>
    </w:pPr>
    <w:rPr>
      <w:rFonts w:ascii="仿宋_GB2312" w:hAnsi="Plotter" w:eastAsia="仿宋_GB2312" w:cs="Plotter"/>
      <w:sz w:val="24"/>
      <w:szCs w:val="24"/>
      <w:lang w:val="en-US" w:eastAsia="zh-CN" w:bidi="ar-SA"/>
    </w:rPr>
  </w:style>
  <w:style w:type="paragraph" w:customStyle="1" w:styleId="443">
    <w:name w:val="6'"/>
    <w:basedOn w:val="1"/>
    <w:qFormat/>
    <w:uiPriority w:val="0"/>
    <w:pPr>
      <w:autoSpaceDE w:val="0"/>
      <w:autoSpaceDN w:val="0"/>
      <w:adjustRightInd w:val="0"/>
      <w:snapToGrid w:val="0"/>
      <w:spacing w:line="320" w:lineRule="exact"/>
      <w:jc w:val="center"/>
      <w:textAlignment w:val="baseline"/>
    </w:pPr>
    <w:rPr>
      <w:rFonts w:cs="Plotter"/>
      <w:spacing w:val="20"/>
      <w:kern w:val="28"/>
      <w:sz w:val="24"/>
      <w:szCs w:val="20"/>
    </w:rPr>
  </w:style>
  <w:style w:type="paragraph" w:customStyle="1" w:styleId="444">
    <w:name w:val="USE 3"/>
    <w:basedOn w:val="1"/>
    <w:qFormat/>
    <w:uiPriority w:val="0"/>
    <w:pPr>
      <w:tabs>
        <w:tab w:val="left" w:pos="720"/>
      </w:tabs>
      <w:spacing w:line="360" w:lineRule="auto"/>
      <w:ind w:left="720" w:hanging="720"/>
      <w:jc w:val="left"/>
    </w:pPr>
    <w:rPr>
      <w:rFonts w:ascii="宋体" w:hAnsi="宋体"/>
      <w:sz w:val="24"/>
      <w:szCs w:val="20"/>
    </w:rPr>
  </w:style>
  <w:style w:type="paragraph" w:customStyle="1" w:styleId="445">
    <w:name w:val="默认段落字体 Para Char"/>
    <w:basedOn w:val="1"/>
    <w:qFormat/>
    <w:uiPriority w:val="0"/>
    <w:pPr>
      <w:tabs>
        <w:tab w:val="left" w:pos="360"/>
      </w:tabs>
      <w:ind w:left="420" w:hanging="420"/>
    </w:pPr>
    <w:rPr>
      <w:sz w:val="24"/>
    </w:rPr>
  </w:style>
  <w:style w:type="paragraph" w:customStyle="1" w:styleId="446">
    <w:name w:val="样式8"/>
    <w:basedOn w:val="1"/>
    <w:autoRedefine/>
    <w:qFormat/>
    <w:uiPriority w:val="0"/>
    <w:pPr>
      <w:tabs>
        <w:tab w:val="left" w:pos="720"/>
      </w:tabs>
      <w:spacing w:line="360" w:lineRule="auto"/>
      <w:ind w:left="720" w:hanging="720"/>
      <w:jc w:val="left"/>
      <w:outlineLvl w:val="0"/>
    </w:pPr>
    <w:rPr>
      <w:szCs w:val="20"/>
    </w:rPr>
  </w:style>
  <w:style w:type="paragraph" w:customStyle="1" w:styleId="447">
    <w:name w:val="xl30"/>
    <w:basedOn w:val="1"/>
    <w:qFormat/>
    <w:uiPriority w:val="0"/>
    <w:pPr>
      <w:keepNext/>
      <w:keepLines/>
      <w:widowControl/>
      <w:pBdr>
        <w:top w:val="single" w:color="auto" w:sz="4" w:space="0"/>
        <w:left w:val="single" w:color="auto" w:sz="4" w:space="0"/>
        <w:bottom w:val="single" w:color="auto" w:sz="4" w:space="0"/>
        <w:right w:val="double" w:color="auto" w:sz="6" w:space="0"/>
      </w:pBdr>
      <w:spacing w:before="100" w:beforeAutospacing="1" w:after="100" w:afterAutospacing="1" w:line="400" w:lineRule="exact"/>
      <w:jc w:val="left"/>
      <w:textAlignment w:val="center"/>
    </w:pPr>
    <w:rPr>
      <w:rFonts w:ascii="Arial Narrow" w:hAnsi="Arial Narrow" w:eastAsia="楷体_GB2312"/>
      <w:i/>
      <w:iCs/>
      <w:kern w:val="0"/>
      <w:sz w:val="20"/>
      <w:szCs w:val="20"/>
    </w:rPr>
  </w:style>
  <w:style w:type="paragraph" w:customStyle="1" w:styleId="448">
    <w:name w:val="xl43"/>
    <w:basedOn w:val="1"/>
    <w:qFormat/>
    <w:uiPriority w:val="0"/>
    <w:pPr>
      <w:keepNext/>
      <w:keepLines/>
      <w:widowControl/>
      <w:spacing w:before="100" w:beforeAutospacing="1" w:after="100" w:afterAutospacing="1" w:line="400" w:lineRule="exact"/>
      <w:jc w:val="left"/>
    </w:pPr>
    <w:rPr>
      <w:rFonts w:ascii="宋体" w:eastAsia="楷体_GB2312"/>
      <w:b/>
      <w:bCs/>
      <w:kern w:val="0"/>
      <w:sz w:val="20"/>
      <w:szCs w:val="20"/>
    </w:rPr>
  </w:style>
  <w:style w:type="paragraph" w:customStyle="1" w:styleId="449">
    <w:name w:val="样式 段后: 3 磅 行距: 1.5 倍行距"/>
    <w:basedOn w:val="1"/>
    <w:qFormat/>
    <w:uiPriority w:val="0"/>
    <w:pPr>
      <w:spacing w:after="60" w:line="360" w:lineRule="auto"/>
    </w:pPr>
    <w:rPr>
      <w:szCs w:val="20"/>
    </w:rPr>
  </w:style>
  <w:style w:type="paragraph" w:customStyle="1" w:styleId="450">
    <w:name w:val="Default Text"/>
    <w:basedOn w:val="1"/>
    <w:autoRedefine/>
    <w:qFormat/>
    <w:uiPriority w:val="0"/>
    <w:pPr>
      <w:autoSpaceDE w:val="0"/>
      <w:autoSpaceDN w:val="0"/>
      <w:adjustRightInd w:val="0"/>
      <w:jc w:val="left"/>
    </w:pPr>
    <w:rPr>
      <w:kern w:val="0"/>
      <w:sz w:val="24"/>
      <w:szCs w:val="20"/>
    </w:rPr>
  </w:style>
  <w:style w:type="paragraph" w:customStyle="1" w:styleId="451">
    <w:name w:val="c12px"/>
    <w:basedOn w:val="1"/>
    <w:qFormat/>
    <w:uiPriority w:val="0"/>
    <w:pPr>
      <w:widowControl/>
      <w:spacing w:before="100" w:beforeAutospacing="1" w:after="100" w:afterAutospacing="1"/>
      <w:jc w:val="left"/>
    </w:pPr>
    <w:rPr>
      <w:rFonts w:ascii="Arial Unicode MS" w:hAnsi="Arial Unicode MS" w:eastAsia="Times New Roman"/>
      <w:kern w:val="0"/>
      <w:sz w:val="18"/>
      <w:szCs w:val="18"/>
    </w:rPr>
  </w:style>
  <w:style w:type="paragraph" w:customStyle="1" w:styleId="452">
    <w:name w:val="【标题1】"/>
    <w:basedOn w:val="1"/>
    <w:qFormat/>
    <w:uiPriority w:val="0"/>
    <w:pPr>
      <w:pageBreakBefore/>
      <w:tabs>
        <w:tab w:val="left" w:pos="425"/>
        <w:tab w:val="left" w:pos="890"/>
      </w:tabs>
      <w:spacing w:beforeLines="100" w:afterLines="100"/>
      <w:ind w:left="890" w:hanging="465"/>
      <w:jc w:val="center"/>
      <w:outlineLvl w:val="0"/>
    </w:pPr>
    <w:rPr>
      <w:rFonts w:ascii="宋体" w:hAnsi="宋体" w:cs="宋体"/>
      <w:b/>
      <w:bCs/>
      <w:kern w:val="44"/>
      <w:sz w:val="36"/>
      <w:szCs w:val="20"/>
    </w:rPr>
  </w:style>
  <w:style w:type="paragraph" w:customStyle="1" w:styleId="453">
    <w:name w:val="ÕýÎÄ"/>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zh-CN" w:bidi="ar-SA"/>
    </w:rPr>
  </w:style>
  <w:style w:type="paragraph" w:customStyle="1" w:styleId="454">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455">
    <w:name w:val="符合标题4"/>
    <w:basedOn w:val="1"/>
    <w:qFormat/>
    <w:uiPriority w:val="0"/>
    <w:pPr>
      <w:widowControl/>
      <w:tabs>
        <w:tab w:val="left" w:pos="360"/>
        <w:tab w:val="left" w:pos="840"/>
      </w:tabs>
      <w:spacing w:before="50"/>
      <w:ind w:left="300" w:hanging="840"/>
      <w:jc w:val="left"/>
    </w:pPr>
    <w:rPr>
      <w:rFonts w:ascii="宋体" w:hAnsi="宋体"/>
      <w:kern w:val="0"/>
      <w:sz w:val="24"/>
      <w:szCs w:val="18"/>
    </w:rPr>
  </w:style>
  <w:style w:type="paragraph" w:customStyle="1" w:styleId="456">
    <w:name w:val="正文文本1"/>
    <w:basedOn w:val="1"/>
    <w:qFormat/>
    <w:uiPriority w:val="0"/>
    <w:pPr>
      <w:adjustRightInd w:val="0"/>
      <w:spacing w:after="120"/>
      <w:ind w:right="74" w:firstLine="482"/>
      <w:jc w:val="left"/>
      <w:textAlignment w:val="baseline"/>
    </w:pPr>
    <w:rPr>
      <w:rFonts w:cs="Plotter"/>
      <w:kern w:val="0"/>
      <w:sz w:val="24"/>
      <w:szCs w:val="20"/>
    </w:rPr>
  </w:style>
  <w:style w:type="paragraph" w:customStyle="1" w:styleId="457">
    <w:name w:val="CM41"/>
    <w:basedOn w:val="1"/>
    <w:next w:val="1"/>
    <w:autoRedefine/>
    <w:qFormat/>
    <w:uiPriority w:val="0"/>
    <w:pPr>
      <w:autoSpaceDE w:val="0"/>
      <w:autoSpaceDN w:val="0"/>
      <w:adjustRightInd w:val="0"/>
      <w:spacing w:line="468" w:lineRule="atLeast"/>
      <w:jc w:val="left"/>
    </w:pPr>
    <w:rPr>
      <w:rFonts w:ascii="宋体"/>
      <w:kern w:val="0"/>
      <w:sz w:val="24"/>
    </w:rPr>
  </w:style>
  <w:style w:type="paragraph" w:customStyle="1" w:styleId="458">
    <w:name w:val="Para 1"/>
    <w:basedOn w:val="24"/>
    <w:qFormat/>
    <w:uiPriority w:val="0"/>
    <w:pPr>
      <w:widowControl/>
      <w:ind w:left="720"/>
    </w:pPr>
    <w:rPr>
      <w:rFonts w:ascii="Arial" w:hAnsi="Arial"/>
      <w:kern w:val="0"/>
      <w:sz w:val="22"/>
      <w:szCs w:val="22"/>
      <w:lang w:eastAsia="en-US"/>
    </w:rPr>
  </w:style>
  <w:style w:type="paragraph" w:customStyle="1" w:styleId="459">
    <w:name w:val="Char Char Char"/>
    <w:basedOn w:val="1"/>
    <w:qFormat/>
    <w:uiPriority w:val="0"/>
    <w:rPr>
      <w:rFonts w:ascii="Tahoma" w:hAnsi="Tahoma"/>
      <w:sz w:val="24"/>
      <w:szCs w:val="20"/>
    </w:rPr>
  </w:style>
  <w:style w:type="paragraph" w:customStyle="1" w:styleId="460">
    <w:name w:val="样式 样式 样式 样式 标题 2 + 宋体 五号 非加粗 黑色 + 段前: 6 磅 段后: 0 磅 行距: 单倍行距 + 段前:..."/>
    <w:basedOn w:val="1"/>
    <w:qFormat/>
    <w:uiPriority w:val="0"/>
    <w:pPr>
      <w:keepNext/>
      <w:keepLines/>
      <w:tabs>
        <w:tab w:val="left" w:pos="840"/>
        <w:tab w:val="left" w:pos="1080"/>
      </w:tabs>
      <w:adjustRightInd w:val="0"/>
      <w:spacing w:before="240"/>
      <w:ind w:left="1080" w:hanging="360"/>
      <w:jc w:val="left"/>
      <w:textAlignment w:val="baseline"/>
      <w:outlineLvl w:val="1"/>
    </w:pPr>
    <w:rPr>
      <w:rFonts w:ascii="宋体" w:hAnsi="宋体"/>
      <w:b/>
      <w:color w:val="000000"/>
      <w:kern w:val="0"/>
      <w:szCs w:val="20"/>
    </w:rPr>
  </w:style>
  <w:style w:type="paragraph" w:customStyle="1" w:styleId="461">
    <w:name w:val="xl54"/>
    <w:basedOn w:val="1"/>
    <w:autoRedefine/>
    <w:qFormat/>
    <w:uiPriority w:val="0"/>
    <w:pPr>
      <w:keepNext/>
      <w:keepLines/>
      <w:widowControl/>
      <w:pBdr>
        <w:top w:val="single" w:color="auto" w:sz="4" w:space="0"/>
        <w:left w:val="single" w:color="auto" w:sz="4" w:space="0"/>
        <w:bottom w:val="single" w:color="auto" w:sz="4" w:space="0"/>
        <w:right w:val="double" w:color="auto" w:sz="6" w:space="0"/>
      </w:pBdr>
      <w:shd w:val="clear" w:color="auto" w:fill="C0C0C0"/>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462">
    <w:name w:val="xl52"/>
    <w:basedOn w:val="1"/>
    <w:qFormat/>
    <w:uiPriority w:val="0"/>
    <w:pPr>
      <w:keepNext/>
      <w:keepLines/>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463">
    <w:name w:val="xl25"/>
    <w:basedOn w:val="1"/>
    <w:qFormat/>
    <w:uiPriority w:val="0"/>
    <w:pPr>
      <w:widowControl/>
      <w:spacing w:before="100" w:beforeAutospacing="1" w:after="100" w:afterAutospacing="1"/>
      <w:jc w:val="center"/>
      <w:textAlignment w:val="bottom"/>
    </w:pPr>
    <w:rPr>
      <w:rFonts w:ascii="宋体" w:hAnsi="宋体"/>
      <w:kern w:val="0"/>
      <w:sz w:val="24"/>
    </w:rPr>
  </w:style>
  <w:style w:type="paragraph" w:customStyle="1" w:styleId="464">
    <w:name w:val="1 Char Char Char Char"/>
    <w:basedOn w:val="1"/>
    <w:qFormat/>
    <w:uiPriority w:val="0"/>
    <w:rPr>
      <w:rFonts w:ascii="Tahoma" w:hAnsi="Tahoma"/>
      <w:sz w:val="24"/>
      <w:szCs w:val="20"/>
    </w:rPr>
  </w:style>
  <w:style w:type="paragraph" w:customStyle="1" w:styleId="465">
    <w:name w:val="Char Char Char Char Char Char Char"/>
    <w:basedOn w:val="1"/>
    <w:qFormat/>
    <w:uiPriority w:val="0"/>
    <w:pPr>
      <w:tabs>
        <w:tab w:val="left" w:pos="432"/>
      </w:tabs>
      <w:ind w:left="432" w:hanging="432"/>
    </w:pPr>
    <w:rPr>
      <w:rFonts w:ascii="Tahoma" w:hAnsi="Tahoma"/>
      <w:sz w:val="24"/>
      <w:szCs w:val="20"/>
    </w:rPr>
  </w:style>
  <w:style w:type="paragraph" w:customStyle="1" w:styleId="466">
    <w:name w:val="xl49"/>
    <w:basedOn w:val="1"/>
    <w:qFormat/>
    <w:uiPriority w:val="0"/>
    <w:pPr>
      <w:keepNext/>
      <w:keepLines/>
      <w:widowControl/>
      <w:pBdr>
        <w:top w:val="single" w:color="auto" w:sz="4" w:space="0"/>
        <w:left w:val="double" w:color="auto" w:sz="6" w:space="0"/>
        <w:bottom w:val="single" w:color="auto" w:sz="4" w:space="0"/>
        <w:right w:val="single" w:color="auto" w:sz="4" w:space="0"/>
      </w:pBdr>
      <w:shd w:val="clear" w:color="auto" w:fill="C0C0C0"/>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467">
    <w:name w:val="xl65"/>
    <w:basedOn w:val="1"/>
    <w:qFormat/>
    <w:uiPriority w:val="0"/>
    <w:pPr>
      <w:keepNext/>
      <w:keepLines/>
      <w:widowControl/>
      <w:pBdr>
        <w:top w:val="single" w:color="auto" w:sz="4" w:space="0"/>
        <w:left w:val="double" w:color="auto" w:sz="6"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468">
    <w:name w:val="样式 标题 2标题 1.1H2Heading 2 HiddenHeading 2 CCBSheading 2第一章 ...1"/>
    <w:basedOn w:val="3"/>
    <w:autoRedefine/>
    <w:qFormat/>
    <w:uiPriority w:val="0"/>
    <w:pPr>
      <w:tabs>
        <w:tab w:val="left" w:pos="840"/>
      </w:tabs>
      <w:spacing w:before="156" w:after="156" w:line="360" w:lineRule="auto"/>
      <w:outlineLvl w:val="9"/>
    </w:pPr>
    <w:rPr>
      <w:rFonts w:eastAsia="宋体"/>
      <w:bCs w:val="0"/>
      <w:kern w:val="0"/>
      <w:sz w:val="21"/>
      <w:szCs w:val="20"/>
    </w:rPr>
  </w:style>
  <w:style w:type="paragraph" w:customStyle="1" w:styleId="469">
    <w:name w:val="标题 3正文"/>
    <w:basedOn w:val="1"/>
    <w:qFormat/>
    <w:uiPriority w:val="0"/>
    <w:pPr>
      <w:spacing w:beforeLines="50" w:line="440" w:lineRule="exact"/>
      <w:ind w:left="900"/>
      <w:jc w:val="left"/>
    </w:pPr>
    <w:rPr>
      <w:rFonts w:ascii="宋体" w:hAnsi="宋体"/>
      <w:sz w:val="24"/>
    </w:rPr>
  </w:style>
  <w:style w:type="paragraph" w:customStyle="1" w:styleId="470">
    <w:name w:val="列项——（一级）"/>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471">
    <w:name w:val="注"/>
    <w:basedOn w:val="114"/>
    <w:qFormat/>
    <w:uiPriority w:val="0"/>
    <w:rPr>
      <w:rFonts w:ascii="长城楷体" w:eastAsia="长城楷体"/>
      <w:sz w:val="21"/>
    </w:rPr>
  </w:style>
  <w:style w:type="paragraph" w:customStyle="1" w:styleId="472">
    <w:name w:val="Numbered list 2.3"/>
    <w:basedOn w:val="4"/>
    <w:next w:val="1"/>
    <w:qFormat/>
    <w:uiPriority w:val="0"/>
    <w:pPr>
      <w:keepLines w:val="0"/>
      <w:widowControl/>
      <w:tabs>
        <w:tab w:val="left" w:pos="360"/>
        <w:tab w:val="left" w:pos="705"/>
        <w:tab w:val="left" w:pos="1080"/>
      </w:tabs>
      <w:spacing w:before="240" w:after="60" w:line="240" w:lineRule="auto"/>
      <w:ind w:left="720" w:hanging="720"/>
      <w:jc w:val="left"/>
    </w:pPr>
    <w:rPr>
      <w:rFonts w:ascii="Arial" w:hAnsi="Arial"/>
      <w:b w:val="0"/>
      <w:iCs/>
      <w:kern w:val="0"/>
      <w:sz w:val="28"/>
      <w:szCs w:val="24"/>
    </w:rPr>
  </w:style>
  <w:style w:type="paragraph" w:customStyle="1" w:styleId="473">
    <w:name w:val="Char3"/>
    <w:basedOn w:val="1"/>
    <w:qFormat/>
    <w:uiPriority w:val="0"/>
    <w:rPr>
      <w:rFonts w:ascii="Tahoma" w:hAnsi="Tahoma"/>
      <w:sz w:val="24"/>
      <w:szCs w:val="20"/>
    </w:rPr>
  </w:style>
  <w:style w:type="paragraph" w:customStyle="1" w:styleId="474">
    <w:name w:val="五级条标题"/>
    <w:basedOn w:val="475"/>
    <w:next w:val="284"/>
    <w:qFormat/>
    <w:uiPriority w:val="0"/>
    <w:pPr>
      <w:tabs>
        <w:tab w:val="left" w:pos="735"/>
      </w:tabs>
      <w:outlineLvl w:val="6"/>
    </w:pPr>
  </w:style>
  <w:style w:type="paragraph" w:customStyle="1" w:styleId="475">
    <w:name w:val="四级条标题"/>
    <w:basedOn w:val="366"/>
    <w:next w:val="284"/>
    <w:qFormat/>
    <w:uiPriority w:val="0"/>
    <w:pPr>
      <w:outlineLvl w:val="5"/>
    </w:pPr>
  </w:style>
  <w:style w:type="paragraph" w:customStyle="1" w:styleId="476">
    <w:name w:val="Char2 Char Char Char Char Char Char1"/>
    <w:basedOn w:val="1"/>
    <w:qFormat/>
    <w:uiPriority w:val="0"/>
    <w:rPr>
      <w:rFonts w:ascii="仿宋_GB2312"/>
      <w:b/>
      <w:sz w:val="30"/>
      <w:szCs w:val="32"/>
    </w:rPr>
  </w:style>
  <w:style w:type="paragraph" w:customStyle="1" w:styleId="47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78">
    <w:name w:val="项目1"/>
    <w:basedOn w:val="1"/>
    <w:autoRedefine/>
    <w:qFormat/>
    <w:uiPriority w:val="0"/>
    <w:pPr>
      <w:widowControl/>
      <w:tabs>
        <w:tab w:val="left" w:pos="720"/>
      </w:tabs>
      <w:autoSpaceDE w:val="0"/>
      <w:autoSpaceDN w:val="0"/>
      <w:adjustRightInd w:val="0"/>
      <w:spacing w:before="120" w:after="120" w:line="300" w:lineRule="auto"/>
      <w:ind w:left="720" w:hanging="720"/>
      <w:jc w:val="left"/>
      <w:textAlignment w:val="bottom"/>
    </w:pPr>
    <w:rPr>
      <w:rFonts w:eastAsia="楷体_GB2312"/>
      <w:kern w:val="0"/>
      <w:sz w:val="24"/>
      <w:szCs w:val="20"/>
    </w:rPr>
  </w:style>
  <w:style w:type="paragraph" w:customStyle="1" w:styleId="479">
    <w:name w:val="xl29"/>
    <w:basedOn w:val="1"/>
    <w:qFormat/>
    <w:uiPriority w:val="0"/>
    <w:pPr>
      <w:keepNext/>
      <w:keepLines/>
      <w:widowControl/>
      <w:spacing w:before="100" w:beforeAutospacing="1" w:after="100" w:afterAutospacing="1" w:line="400" w:lineRule="exact"/>
      <w:jc w:val="center"/>
      <w:textAlignment w:val="center"/>
    </w:pPr>
    <w:rPr>
      <w:rFonts w:ascii="Arial Narrow" w:hAnsi="Arial Narrow" w:eastAsia="楷体_GB2312"/>
      <w:b/>
      <w:bCs/>
      <w:kern w:val="0"/>
      <w:sz w:val="28"/>
      <w:szCs w:val="28"/>
    </w:rPr>
  </w:style>
  <w:style w:type="paragraph" w:customStyle="1" w:styleId="480">
    <w:name w:val="样式 标题 2H2Heading 2 HiddenHeading 2 CCBS2nd levelh22Header..."/>
    <w:basedOn w:val="3"/>
    <w:qFormat/>
    <w:uiPriority w:val="0"/>
    <w:pPr>
      <w:tabs>
        <w:tab w:val="left" w:pos="840"/>
        <w:tab w:val="left" w:pos="930"/>
      </w:tabs>
      <w:spacing w:before="200" w:after="200" w:line="415" w:lineRule="auto"/>
      <w:ind w:left="930" w:hanging="240"/>
    </w:pPr>
    <w:rPr>
      <w:rFonts w:ascii="宋体" w:hAnsi="宋体" w:eastAsia="宋体" w:cs="宋体"/>
      <w:sz w:val="21"/>
      <w:szCs w:val="20"/>
    </w:rPr>
  </w:style>
  <w:style w:type="paragraph" w:customStyle="1" w:styleId="481">
    <w:name w:val="标准1 段落"/>
    <w:basedOn w:val="1"/>
    <w:qFormat/>
    <w:uiPriority w:val="0"/>
    <w:pPr>
      <w:tabs>
        <w:tab w:val="left" w:pos="360"/>
      </w:tabs>
      <w:spacing w:beforeLines="50" w:line="360" w:lineRule="auto"/>
      <w:ind w:left="360" w:hanging="360"/>
    </w:pPr>
    <w:rPr>
      <w:sz w:val="24"/>
    </w:rPr>
  </w:style>
  <w:style w:type="paragraph" w:customStyle="1" w:styleId="482">
    <w:name w:val="xl42"/>
    <w:basedOn w:val="1"/>
    <w:autoRedefine/>
    <w:qFormat/>
    <w:uiPriority w:val="0"/>
    <w:pPr>
      <w:keepNext/>
      <w:keepLines/>
      <w:widowControl/>
      <w:pBdr>
        <w:top w:val="single" w:color="auto" w:sz="4" w:space="0"/>
        <w:left w:val="single" w:color="auto" w:sz="4" w:space="0"/>
        <w:bottom w:val="double" w:color="auto" w:sz="6" w:space="0"/>
        <w:right w:val="single" w:color="auto" w:sz="4" w:space="0"/>
      </w:pBdr>
      <w:spacing w:before="100" w:beforeAutospacing="1" w:after="100" w:afterAutospacing="1" w:line="400" w:lineRule="exact"/>
      <w:jc w:val="left"/>
      <w:textAlignment w:val="center"/>
    </w:pPr>
    <w:rPr>
      <w:rFonts w:ascii="Arial Narrow" w:hAnsi="Arial Narrow" w:eastAsia="楷体_GB2312"/>
      <w:b/>
      <w:bCs/>
      <w:kern w:val="0"/>
      <w:sz w:val="20"/>
      <w:szCs w:val="20"/>
    </w:rPr>
  </w:style>
  <w:style w:type="paragraph" w:customStyle="1" w:styleId="483">
    <w:name w:val="编号1"/>
    <w:basedOn w:val="1"/>
    <w:qFormat/>
    <w:uiPriority w:val="0"/>
    <w:pPr>
      <w:tabs>
        <w:tab w:val="left" w:pos="1344"/>
      </w:tabs>
      <w:spacing w:line="360" w:lineRule="auto"/>
      <w:outlineLvl w:val="0"/>
    </w:pPr>
    <w:rPr>
      <w:rFonts w:ascii="宋体" w:hAnsi="宋体"/>
      <w:sz w:val="24"/>
      <w:szCs w:val="20"/>
    </w:rPr>
  </w:style>
  <w:style w:type="paragraph" w:customStyle="1" w:styleId="484">
    <w:name w:val="表格内容"/>
    <w:next w:val="1"/>
    <w:qFormat/>
    <w:uiPriority w:val="0"/>
    <w:pPr>
      <w:widowControl w:val="0"/>
      <w:adjustRightInd w:val="0"/>
      <w:snapToGrid w:val="0"/>
      <w:ind w:left="-108"/>
      <w:jc w:val="center"/>
      <w:textAlignment w:val="center"/>
    </w:pPr>
    <w:rPr>
      <w:rFonts w:ascii="Times New Roman" w:hAnsi="Times New Roman" w:eastAsia="仿宋_GB2312" w:cs="Times New Roman"/>
      <w:sz w:val="18"/>
      <w:lang w:val="en-US" w:eastAsia="zh-CN" w:bidi="ar-SA"/>
    </w:rPr>
  </w:style>
  <w:style w:type="paragraph" w:customStyle="1" w:styleId="485">
    <w:name w:val="正文列表"/>
    <w:basedOn w:val="1"/>
    <w:qFormat/>
    <w:uiPriority w:val="0"/>
    <w:pPr>
      <w:spacing w:line="360" w:lineRule="auto"/>
      <w:jc w:val="center"/>
    </w:pPr>
    <w:rPr>
      <w:rFonts w:ascii="宋体" w:hAnsi="宋体"/>
      <w:kern w:val="0"/>
      <w:position w:val="24"/>
      <w:szCs w:val="20"/>
    </w:rPr>
  </w:style>
  <w:style w:type="paragraph" w:customStyle="1" w:styleId="486">
    <w:name w:val="样式 行距: 1.5 倍行距"/>
    <w:basedOn w:val="1"/>
    <w:qFormat/>
    <w:uiPriority w:val="0"/>
    <w:pPr>
      <w:spacing w:line="360" w:lineRule="auto"/>
    </w:pPr>
    <w:rPr>
      <w:rFonts w:ascii="宋体" w:hAnsi="宋体"/>
      <w:szCs w:val="20"/>
    </w:rPr>
  </w:style>
  <w:style w:type="paragraph" w:customStyle="1" w:styleId="487">
    <w:name w:val="样式7"/>
    <w:basedOn w:val="2"/>
    <w:next w:val="2"/>
    <w:qFormat/>
    <w:uiPriority w:val="0"/>
    <w:pPr>
      <w:tabs>
        <w:tab w:val="left" w:pos="951"/>
        <w:tab w:val="left" w:pos="2907"/>
      </w:tabs>
      <w:spacing w:before="0" w:after="0"/>
      <w:ind w:left="2907" w:hanging="1755"/>
      <w:jc w:val="left"/>
    </w:pPr>
    <w:rPr>
      <w:rFonts w:ascii="宋体" w:hAnsi="宋体" w:eastAsia="宋体"/>
      <w:bCs w:val="0"/>
      <w:kern w:val="0"/>
      <w:sz w:val="24"/>
      <w:szCs w:val="20"/>
    </w:rPr>
  </w:style>
  <w:style w:type="paragraph" w:customStyle="1" w:styleId="488">
    <w:name w:val="首行缩进"/>
    <w:basedOn w:val="1"/>
    <w:autoRedefine/>
    <w:qFormat/>
    <w:uiPriority w:val="0"/>
    <w:pPr>
      <w:ind w:firstLine="480" w:firstLineChars="200"/>
    </w:pPr>
    <w:rPr>
      <w:rFonts w:ascii="Calibri" w:hAnsi="Calibri" w:cs="Times New Roman"/>
      <w:szCs w:val="22"/>
      <w:lang w:val="zh-CN"/>
    </w:rPr>
  </w:style>
  <w:style w:type="character" w:customStyle="1" w:styleId="489">
    <w:name w:val="hover18"/>
    <w:basedOn w:val="64"/>
    <w:qFormat/>
    <w:uiPriority w:val="0"/>
  </w:style>
  <w:style w:type="paragraph" w:customStyle="1" w:styleId="490">
    <w:name w:val="Body text|1"/>
    <w:basedOn w:val="1"/>
    <w:qFormat/>
    <w:uiPriority w:val="0"/>
    <w:pPr>
      <w:widowControl w:val="0"/>
      <w:shd w:val="clear" w:color="auto" w:fill="auto"/>
      <w:spacing w:line="480" w:lineRule="auto"/>
      <w:ind w:firstLine="400"/>
    </w:pPr>
    <w:rPr>
      <w:rFonts w:ascii="宋体" w:hAnsi="宋体" w:eastAsia="宋体" w:cs="宋体"/>
      <w:sz w:val="20"/>
      <w:szCs w:val="20"/>
      <w:u w:val="none"/>
      <w:shd w:val="clear" w:color="auto" w:fill="auto"/>
      <w:lang w:val="zh-TW" w:eastAsia="zh-TW" w:bidi="zh-TW"/>
    </w:rPr>
  </w:style>
  <w:style w:type="paragraph" w:customStyle="1" w:styleId="491">
    <w:name w:val="无间隔1"/>
    <w:basedOn w:val="1"/>
    <w:qFormat/>
    <w:uiPriority w:val="99"/>
    <w:pPr>
      <w:spacing w:line="400" w:lineRule="exact"/>
    </w:pPr>
    <w:rPr>
      <w:rFonts w:ascii="Times New Roman" w:hAnsi="Times New Roman"/>
      <w:sz w:val="24"/>
      <w:szCs w:val="24"/>
    </w:rPr>
  </w:style>
  <w:style w:type="paragraph" w:customStyle="1" w:styleId="492">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493">
    <w:name w:val="Table Paragraph"/>
    <w:basedOn w:val="1"/>
    <w:qFormat/>
    <w:uiPriority w:val="1"/>
    <w:pPr>
      <w:autoSpaceDE w:val="0"/>
      <w:autoSpaceDN w:val="0"/>
      <w:jc w:val="left"/>
    </w:pPr>
    <w:rPr>
      <w:rFonts w:ascii="仿宋" w:hAnsi="仿宋" w:eastAsia="仿宋" w:cs="仿宋"/>
      <w:kern w:val="0"/>
      <w:sz w:val="22"/>
      <w:szCs w:val="22"/>
      <w:lang w:val="zh-CN" w:bidi="zh-CN"/>
    </w:rPr>
  </w:style>
  <w:style w:type="table" w:customStyle="1" w:styleId="49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control" Target="activeX/activeX2.xml"/><Relationship Id="rId18" Type="http://schemas.openxmlformats.org/officeDocument/2006/relationships/image" Target="media/image1.wmf"/><Relationship Id="rId17" Type="http://schemas.openxmlformats.org/officeDocument/2006/relationships/control" Target="activeX/activeX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6-5CC6-11CF-8D67-00AA00BDCE1D}" r:id="rId1" ax:persistence="persistStorage"/>
</file>

<file path=word/activeX/activeX2.xml><?xml version="1.0" encoding="utf-8"?>
<ax:ocx xmlns:ax="http://schemas.microsoft.com/office/2006/activeX" xmlns:r="http://schemas.openxmlformats.org/officeDocument/2006/relationships" ax:classid="{5512D116-5CC6-11CF-8D67-00AA00BDCE1D}" r:id="rId1" ax:persistence="persistStorag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77</Pages>
  <Words>27002</Words>
  <Characters>29295</Characters>
  <Lines>211</Lines>
  <Paragraphs>59</Paragraphs>
  <TotalTime>1</TotalTime>
  <ScaleCrop>false</ScaleCrop>
  <LinksUpToDate>false</LinksUpToDate>
  <CharactersWithSpaces>29762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2019-07-29T09:04:00Z</dcterms:created>
  <dc:creator>NTKO</dc:creator>
  <cp:lastModifiedBy>l</cp:lastModifiedBy>
  <cp:lastPrinted>2020-02-26T01:41:00Z</cp:lastPrinted>
  <dcterms:modified xsi:type="dcterms:W3CDTF">2025-07-17T11:42:05Z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6934649E3D8E4E6BB511A82FC5BCB39B_13</vt:lpwstr>
  </property>
  <property fmtid="{D5CDD505-2E9C-101B-9397-08002B2CF9AE}" pid="4" name="KSOTemplateDocerSaveRecord">
    <vt:lpwstr>eyJoZGlkIjoiMzEwNTM5NzYwMDRjMzkwZTVkZjY2ODkwMGIxNGU0OTUiLCJ1c2VySWQiOiIzNTczNzEyNzgifQ==</vt:lpwstr>
  </property>
</Properties>
</file>